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6B12CE" w:rsidP="006B12CE" w:rsidRDefault="006B12CE" w14:paraId="298F07C5" w14:textId="4FBE4304">
      <w:pPr>
        <w:rPr>
          <w:b w:val="1"/>
          <w:bCs w:val="1"/>
          <w:lang w:val="en-US"/>
        </w:rPr>
      </w:pPr>
      <w:r w:rsidRPr="0A9DD993" w:rsidR="73591080">
        <w:rPr>
          <w:b w:val="1"/>
          <w:bCs w:val="1"/>
          <w:lang w:val="en-US"/>
        </w:rPr>
        <w:t>STUDENT NAME: UZMA MUHAMMAD</w:t>
      </w:r>
    </w:p>
    <w:p w:rsidR="73591080" w:rsidP="0A9DD993" w:rsidRDefault="73591080" w14:paraId="531C4908" w14:textId="1DEAD651">
      <w:pPr>
        <w:rPr>
          <w:b w:val="1"/>
          <w:bCs w:val="1"/>
          <w:lang w:val="en-US"/>
        </w:rPr>
      </w:pPr>
      <w:r w:rsidRPr="0A9DD993" w:rsidR="73591080">
        <w:rPr>
          <w:b w:val="1"/>
          <w:bCs w:val="1"/>
          <w:lang w:val="en-US"/>
        </w:rPr>
        <w:t>STUDENT NO: 2406912</w:t>
      </w:r>
    </w:p>
    <w:p w:rsidR="73591080" w:rsidP="0A9DD993" w:rsidRDefault="73591080" w14:paraId="2B93AC25" w14:textId="59E4A213">
      <w:pPr>
        <w:rPr>
          <w:b w:val="1"/>
          <w:bCs w:val="1"/>
          <w:lang w:val="en-US"/>
        </w:rPr>
      </w:pPr>
      <w:r w:rsidRPr="0A9DD993" w:rsidR="73591080">
        <w:rPr>
          <w:b w:val="1"/>
          <w:bCs w:val="1"/>
          <w:lang w:val="en-US"/>
        </w:rPr>
        <w:t xml:space="preserve">MODULE: </w:t>
      </w:r>
      <w:r w:rsidRPr="0A9DD993" w:rsidR="67D5EDCD">
        <w:rPr>
          <w:b w:val="1"/>
          <w:bCs w:val="1"/>
          <w:lang w:val="en-US"/>
        </w:rPr>
        <w:t>PRINCIPLES OF HEALTH &amp; SOCIAL CARE PRACTICE</w:t>
      </w:r>
    </w:p>
    <w:p w:rsidR="67D5EDCD" w:rsidP="0A9DD993" w:rsidRDefault="67D5EDCD" w14:paraId="3B1C785D" w14:textId="42E8203E">
      <w:pPr>
        <w:rPr>
          <w:b w:val="1"/>
          <w:bCs w:val="1"/>
          <w:lang w:val="en-US"/>
        </w:rPr>
      </w:pPr>
      <w:r w:rsidRPr="0A9DD993" w:rsidR="67D5EDCD">
        <w:rPr>
          <w:b w:val="1"/>
          <w:bCs w:val="1"/>
          <w:lang w:val="en-US"/>
        </w:rPr>
        <w:t>MODULE CODE: BMHP5016</w:t>
      </w:r>
    </w:p>
    <w:p w:rsidR="67D5EDCD" w:rsidP="0A9DD993" w:rsidRDefault="67D5EDCD" w14:paraId="7524FE5D" w14:textId="49C588CA">
      <w:pPr>
        <w:rPr>
          <w:b w:val="1"/>
          <w:bCs w:val="1"/>
          <w:lang w:val="en-US"/>
        </w:rPr>
      </w:pPr>
      <w:r w:rsidRPr="529CA6F1" w:rsidR="67D5EDCD">
        <w:rPr>
          <w:b w:val="1"/>
          <w:bCs w:val="1"/>
          <w:lang w:val="en-US"/>
        </w:rPr>
        <w:t xml:space="preserve">LECTURER: </w:t>
      </w:r>
      <w:r w:rsidRPr="529CA6F1" w:rsidR="43E8D591">
        <w:rPr>
          <w:b w:val="1"/>
          <w:bCs w:val="1"/>
          <w:lang w:val="en-US"/>
        </w:rPr>
        <w:t>PARESE AHMED</w:t>
      </w:r>
    </w:p>
    <w:p w:rsidR="67D5EDCD" w:rsidP="0A9DD993" w:rsidRDefault="67D5EDCD" w14:paraId="1A3EAD58" w14:textId="1445B647">
      <w:pPr>
        <w:rPr>
          <w:b w:val="1"/>
          <w:bCs w:val="1"/>
          <w:lang w:val="en-US"/>
        </w:rPr>
      </w:pPr>
      <w:r w:rsidRPr="0A9DD993" w:rsidR="67D5EDCD">
        <w:rPr>
          <w:b w:val="1"/>
          <w:bCs w:val="1"/>
          <w:lang w:val="en-US"/>
        </w:rPr>
        <w:t xml:space="preserve">ASSIGNMENT TITLE: WRITTEN ASSIGNMENT </w:t>
      </w:r>
      <w:r w:rsidRPr="0A9DD993" w:rsidR="68302968">
        <w:rPr>
          <w:b w:val="1"/>
          <w:bCs w:val="1"/>
          <w:lang w:val="en-US"/>
        </w:rPr>
        <w:t>(REPORT</w:t>
      </w:r>
      <w:r w:rsidRPr="0A9DD993" w:rsidR="68302968">
        <w:rPr>
          <w:b w:val="1"/>
          <w:bCs w:val="1"/>
          <w:lang w:val="en-US"/>
        </w:rPr>
        <w:t>)</w:t>
      </w:r>
    </w:p>
    <w:p w:rsidR="006B12CE" w:rsidP="006B12CE" w:rsidRDefault="006B12CE" w14:paraId="6F29E6E2" w14:textId="77777777">
      <w:pPr>
        <w:rPr>
          <w:b/>
          <w:bCs/>
          <w:lang w:val="en-US"/>
        </w:rPr>
      </w:pPr>
    </w:p>
    <w:p w:rsidR="006B12CE" w:rsidP="006B12CE" w:rsidRDefault="006B12CE" w14:paraId="358B4F88" w14:textId="77777777">
      <w:pPr>
        <w:rPr>
          <w:b/>
          <w:bCs/>
          <w:lang w:val="en-US"/>
        </w:rPr>
      </w:pPr>
    </w:p>
    <w:p w:rsidR="006B12CE" w:rsidP="006B12CE" w:rsidRDefault="006B12CE" w14:paraId="3C76EFBF" w14:textId="77777777">
      <w:pPr>
        <w:rPr>
          <w:b/>
          <w:bCs/>
          <w:lang w:val="en-US"/>
        </w:rPr>
      </w:pPr>
    </w:p>
    <w:p w:rsidR="006B12CE" w:rsidP="006B12CE" w:rsidRDefault="006B12CE" w14:paraId="39D835F9" w14:textId="77777777">
      <w:pPr>
        <w:rPr>
          <w:b/>
          <w:bCs/>
          <w:lang w:val="en-US"/>
        </w:rPr>
      </w:pPr>
    </w:p>
    <w:p w:rsidR="006B12CE" w:rsidP="006B12CE" w:rsidRDefault="006B12CE" w14:paraId="369B6527" w14:textId="77777777">
      <w:pPr>
        <w:rPr>
          <w:b/>
          <w:bCs/>
          <w:lang w:val="en-US"/>
        </w:rPr>
      </w:pPr>
    </w:p>
    <w:p w:rsidR="006B12CE" w:rsidP="006B12CE" w:rsidRDefault="006B12CE" w14:paraId="02845EE4" w14:textId="77777777">
      <w:pPr>
        <w:rPr>
          <w:b/>
          <w:bCs/>
          <w:lang w:val="en-US"/>
        </w:rPr>
      </w:pPr>
    </w:p>
    <w:p w:rsidR="006B12CE" w:rsidP="006B12CE" w:rsidRDefault="006B12CE" w14:paraId="2B38FC83" w14:textId="77777777">
      <w:pPr>
        <w:rPr>
          <w:b/>
          <w:bCs/>
          <w:lang w:val="en-US"/>
        </w:rPr>
      </w:pPr>
    </w:p>
    <w:p w:rsidR="006B12CE" w:rsidP="006B12CE" w:rsidRDefault="006B12CE" w14:paraId="443C0376" w14:textId="77777777">
      <w:pPr>
        <w:rPr>
          <w:b/>
          <w:bCs/>
          <w:lang w:val="en-US"/>
        </w:rPr>
      </w:pPr>
    </w:p>
    <w:p w:rsidR="006B12CE" w:rsidP="006B12CE" w:rsidRDefault="006B12CE" w14:paraId="4D5D967D" w14:textId="77777777">
      <w:pPr>
        <w:rPr>
          <w:b/>
          <w:bCs/>
          <w:lang w:val="en-US"/>
        </w:rPr>
      </w:pPr>
    </w:p>
    <w:p w:rsidR="006B12CE" w:rsidP="006B12CE" w:rsidRDefault="006B12CE" w14:paraId="1A632456" w14:textId="77777777">
      <w:pPr>
        <w:rPr>
          <w:b/>
          <w:bCs/>
          <w:lang w:val="en-US"/>
        </w:rPr>
      </w:pPr>
    </w:p>
    <w:p w:rsidR="006B12CE" w:rsidP="006B12CE" w:rsidRDefault="006B12CE" w14:paraId="6875B26F" w14:textId="77777777">
      <w:pPr>
        <w:rPr>
          <w:b/>
          <w:bCs/>
          <w:lang w:val="en-US"/>
        </w:rPr>
      </w:pPr>
    </w:p>
    <w:p w:rsidR="006B12CE" w:rsidP="006B12CE" w:rsidRDefault="006B12CE" w14:paraId="064B3933" w14:textId="77777777">
      <w:pPr>
        <w:rPr>
          <w:b/>
          <w:bCs/>
          <w:lang w:val="en-US"/>
        </w:rPr>
      </w:pPr>
    </w:p>
    <w:p w:rsidR="006B12CE" w:rsidP="006B12CE" w:rsidRDefault="006B12CE" w14:paraId="0EDE0A16" w14:textId="77777777">
      <w:pPr>
        <w:rPr>
          <w:b/>
          <w:bCs/>
          <w:lang w:val="en-US"/>
        </w:rPr>
      </w:pPr>
    </w:p>
    <w:p w:rsidR="006B12CE" w:rsidP="006B12CE" w:rsidRDefault="006B12CE" w14:paraId="77359613" w14:textId="77777777">
      <w:pPr>
        <w:rPr>
          <w:b/>
          <w:bCs/>
          <w:lang w:val="en-US"/>
        </w:rPr>
      </w:pPr>
    </w:p>
    <w:p w:rsidR="006B12CE" w:rsidP="006B12CE" w:rsidRDefault="006B12CE" w14:paraId="5DCB5DEC" w14:textId="77777777">
      <w:pPr>
        <w:rPr>
          <w:b/>
          <w:bCs/>
          <w:lang w:val="en-US"/>
        </w:rPr>
      </w:pPr>
    </w:p>
    <w:p w:rsidR="006B12CE" w:rsidP="006B12CE" w:rsidRDefault="006B12CE" w14:paraId="5DDF0CB6" w14:textId="77777777">
      <w:pPr>
        <w:rPr>
          <w:b/>
          <w:bCs/>
          <w:lang w:val="en-US"/>
        </w:rPr>
      </w:pPr>
    </w:p>
    <w:p w:rsidR="006B12CE" w:rsidP="006B12CE" w:rsidRDefault="006B12CE" w14:paraId="50F7841F" w14:textId="77777777">
      <w:pPr>
        <w:rPr>
          <w:b/>
          <w:bCs/>
          <w:lang w:val="en-US"/>
        </w:rPr>
      </w:pPr>
    </w:p>
    <w:p w:rsidR="006B12CE" w:rsidP="006B12CE" w:rsidRDefault="006B12CE" w14:paraId="42948994" w14:textId="77777777">
      <w:pPr>
        <w:rPr>
          <w:b/>
          <w:bCs/>
          <w:lang w:val="en-US"/>
        </w:rPr>
      </w:pPr>
    </w:p>
    <w:p w:rsidR="006B12CE" w:rsidP="006B12CE" w:rsidRDefault="006B12CE" w14:paraId="576ED751" w14:textId="77777777">
      <w:pPr>
        <w:rPr>
          <w:b/>
          <w:bCs/>
          <w:lang w:val="en-US"/>
        </w:rPr>
      </w:pPr>
    </w:p>
    <w:p w:rsidR="006B12CE" w:rsidP="006B12CE" w:rsidRDefault="006B12CE" w14:paraId="5247357C" w14:textId="77777777">
      <w:pPr>
        <w:rPr>
          <w:b/>
          <w:bCs/>
          <w:lang w:val="en-US"/>
        </w:rPr>
      </w:pPr>
    </w:p>
    <w:p w:rsidRPr="00501341" w:rsidR="00501341" w:rsidP="00501341" w:rsidRDefault="00501341" w14:paraId="10DBC7F1" w14:textId="77777777">
      <w:pPr>
        <w:rPr>
          <w:b/>
          <w:bCs/>
          <w:lang w:val="en-US"/>
        </w:rPr>
      </w:pPr>
      <w:r>
        <w:rPr>
          <w:b/>
          <w:bCs/>
          <w:lang w:val="en-US"/>
        </w:rPr>
        <w:t>Abstract</w:t>
      </w:r>
    </w:p>
    <w:p w:rsidR="00501341" w:rsidP="00501341" w:rsidRDefault="00501341" w14:paraId="5A921F9F" w14:textId="7B3090F2">
      <w:pPr>
        <w:rPr>
          <w:lang w:val="en-US"/>
        </w:rPr>
      </w:pPr>
      <w:r w:rsidRPr="529CA6F1" w:rsidR="00501341">
        <w:rPr>
          <w:lang w:val="en-US"/>
        </w:rPr>
        <w:t>Dementia is now the leading registered cause of death in England and Wa</w:t>
      </w:r>
      <w:r w:rsidRPr="529CA6F1" w:rsidR="003168A4">
        <w:rPr>
          <w:lang w:val="en-US"/>
        </w:rPr>
        <w:t>les, with 68,273 deaths in 2024</w:t>
      </w:r>
      <w:r w:rsidRPr="529CA6F1" w:rsidR="00501341">
        <w:rPr>
          <w:lang w:val="en-US"/>
        </w:rPr>
        <w:t>. The United Kingdom cost of dementia is forecast at £42 billion in 2024, rising to £90 billion by 2040, which intensifies pressure on</w:t>
      </w:r>
      <w:r w:rsidRPr="529CA6F1" w:rsidR="00501341">
        <w:rPr>
          <w:lang w:val="en-US"/>
        </w:rPr>
        <w:t xml:space="preserve"> community pathways and carers</w:t>
      </w:r>
      <w:r w:rsidRPr="529CA6F1" w:rsidR="00501341">
        <w:rPr>
          <w:lang w:val="en-US"/>
        </w:rPr>
        <w:t>. This report evaluates how person-</w:t>
      </w:r>
      <w:r w:rsidRPr="529CA6F1" w:rsidR="00501341">
        <w:rPr>
          <w:lang w:val="en-US"/>
        </w:rPr>
        <w:t>centred</w:t>
      </w:r>
      <w:r w:rsidRPr="529CA6F1" w:rsidR="00501341">
        <w:rPr>
          <w:lang w:val="en-US"/>
        </w:rPr>
        <w:t xml:space="preserve"> care (PCC) and partnership working (PW) </w:t>
      </w:r>
      <w:r w:rsidRPr="529CA6F1" w:rsidR="00501341">
        <w:rPr>
          <w:lang w:val="en-US"/>
        </w:rPr>
        <w:t>operate</w:t>
      </w:r>
      <w:r w:rsidRPr="529CA6F1" w:rsidR="00501341">
        <w:rPr>
          <w:lang w:val="en-US"/>
        </w:rPr>
        <w:t xml:space="preserve"> together in </w:t>
      </w:r>
      <w:r w:rsidRPr="529CA6F1" w:rsidR="70A9F427">
        <w:rPr>
          <w:lang w:val="en-US"/>
        </w:rPr>
        <w:t>the Integrated</w:t>
      </w:r>
      <w:r w:rsidRPr="529CA6F1" w:rsidR="00501341">
        <w:rPr>
          <w:lang w:val="en-US"/>
        </w:rPr>
        <w:t xml:space="preserve"> Care System (ICS) community dementia services in England. </w:t>
      </w:r>
      <w:r w:rsidRPr="529CA6F1" w:rsidR="00501341">
        <w:rPr>
          <w:lang w:val="en-US"/>
        </w:rPr>
        <w:t>It compares evidence from NICE guidance, systematic reviews, and system reports to show where claims are strong and where evidence is weaker.</w:t>
      </w:r>
      <w:r w:rsidRPr="529CA6F1" w:rsidR="3EBD06E3">
        <w:rPr>
          <w:lang w:val="en-US"/>
        </w:rPr>
        <w:t xml:space="preserve"> </w:t>
      </w:r>
      <w:r w:rsidRPr="529CA6F1" w:rsidR="00501341">
        <w:rPr>
          <w:lang w:val="en-US"/>
        </w:rPr>
        <w:t xml:space="preserve">It </w:t>
      </w:r>
      <w:r w:rsidRPr="529CA6F1" w:rsidR="14719FE7">
        <w:rPr>
          <w:lang w:val="en-US"/>
        </w:rPr>
        <w:t>applies to</w:t>
      </w:r>
      <w:r w:rsidRPr="529CA6F1" w:rsidR="00501341">
        <w:rPr>
          <w:lang w:val="en-US"/>
        </w:rPr>
        <w:t xml:space="preserve"> the Person-</w:t>
      </w:r>
      <w:r w:rsidRPr="529CA6F1" w:rsidR="00501341">
        <w:rPr>
          <w:lang w:val="en-US"/>
        </w:rPr>
        <w:t>Centred</w:t>
      </w:r>
      <w:r w:rsidRPr="529CA6F1" w:rsidR="00501341">
        <w:rPr>
          <w:lang w:val="en-US"/>
        </w:rPr>
        <w:t xml:space="preserve"> Nursing Framework and dementia personhood theory to judge practice in a real pathway, from referral to crisis response. It analyses ethics using autonomy, beneficence, non-maleficence, and justice, linked to capacity law, safeguarding duties, and lawful information sharing. It concludes that PCC fails without reliable PW infrastructure, especially shared </w:t>
      </w:r>
      <w:r w:rsidRPr="529CA6F1" w:rsidR="00501341">
        <w:rPr>
          <w:lang w:val="en-US"/>
        </w:rPr>
        <w:t>records</w:t>
      </w:r>
      <w:r w:rsidRPr="529CA6F1" w:rsidR="00501341">
        <w:rPr>
          <w:lang w:val="en-US"/>
        </w:rPr>
        <w:t xml:space="preserve"> and clear accountability. It recommends contractable actions, measurable outcomes, and funded voluntary sector capacity, with quarterly monitoring using experience and adult social care outcome indicators.</w:t>
      </w:r>
      <w:r w:rsidRPr="529CA6F1" w:rsidR="40F1355A">
        <w:rPr>
          <w:lang w:val="en-US"/>
        </w:rPr>
        <w:t xml:space="preserve"> </w:t>
      </w:r>
    </w:p>
    <w:p w:rsidR="00501341" w:rsidP="00501341" w:rsidRDefault="00501341" w14:paraId="32D40402" w14:textId="77777777">
      <w:pPr>
        <w:rPr>
          <w:lang w:val="en-US"/>
        </w:rPr>
      </w:pPr>
    </w:p>
    <w:p w:rsidR="00501341" w:rsidP="00501341" w:rsidRDefault="00501341" w14:paraId="0AAA9420" w14:textId="77777777">
      <w:pPr>
        <w:rPr>
          <w:lang w:val="en-US"/>
        </w:rPr>
      </w:pPr>
    </w:p>
    <w:p w:rsidR="00501341" w:rsidP="00501341" w:rsidRDefault="00501341" w14:paraId="4D014978" w14:textId="77777777">
      <w:pPr>
        <w:rPr>
          <w:lang w:val="en-US"/>
        </w:rPr>
      </w:pPr>
    </w:p>
    <w:p w:rsidR="00501341" w:rsidP="00501341" w:rsidRDefault="00501341" w14:paraId="456C6320" w14:textId="77777777">
      <w:pPr>
        <w:rPr>
          <w:lang w:val="en-US"/>
        </w:rPr>
      </w:pPr>
    </w:p>
    <w:p w:rsidR="00501341" w:rsidP="00501341" w:rsidRDefault="00501341" w14:paraId="6A2396FE" w14:textId="77777777">
      <w:pPr>
        <w:rPr>
          <w:lang w:val="en-US"/>
        </w:rPr>
      </w:pPr>
    </w:p>
    <w:p w:rsidR="00501341" w:rsidP="00501341" w:rsidRDefault="00501341" w14:paraId="72647C57" w14:textId="77777777">
      <w:pPr>
        <w:rPr>
          <w:lang w:val="en-US"/>
        </w:rPr>
      </w:pPr>
    </w:p>
    <w:p w:rsidR="00501341" w:rsidP="00501341" w:rsidRDefault="00501341" w14:paraId="14030F4B" w14:textId="77777777">
      <w:pPr>
        <w:rPr>
          <w:lang w:val="en-US"/>
        </w:rPr>
      </w:pPr>
    </w:p>
    <w:p w:rsidR="00501341" w:rsidP="00501341" w:rsidRDefault="00501341" w14:paraId="546E631F" w14:textId="77777777">
      <w:pPr>
        <w:rPr>
          <w:lang w:val="en-US"/>
        </w:rPr>
      </w:pPr>
    </w:p>
    <w:p w:rsidR="00501341" w:rsidP="00501341" w:rsidRDefault="00501341" w14:paraId="29DD82EA" w14:textId="77777777">
      <w:pPr>
        <w:rPr>
          <w:lang w:val="en-US"/>
        </w:rPr>
      </w:pPr>
    </w:p>
    <w:p w:rsidR="00501341" w:rsidP="00501341" w:rsidRDefault="00501341" w14:paraId="31F41F01" w14:textId="77777777">
      <w:pPr>
        <w:rPr>
          <w:lang w:val="en-US"/>
        </w:rPr>
      </w:pPr>
    </w:p>
    <w:p w:rsidR="00501341" w:rsidP="00501341" w:rsidRDefault="00501341" w14:paraId="7D563496" w14:textId="77777777">
      <w:pPr>
        <w:rPr>
          <w:lang w:val="en-US"/>
        </w:rPr>
      </w:pPr>
    </w:p>
    <w:p w:rsidR="00501341" w:rsidP="00501341" w:rsidRDefault="00501341" w14:paraId="6F2C6CC7" w14:textId="77777777">
      <w:pPr>
        <w:rPr>
          <w:lang w:val="en-US"/>
        </w:rPr>
      </w:pPr>
    </w:p>
    <w:sdt>
      <w:sdtPr>
        <w:id w:val="-687681822"/>
        <w:docPartObj>
          <w:docPartGallery w:val="Table of Contents"/>
          <w:docPartUnique/>
        </w:docPartObj>
        <w:rPr>
          <w:rFonts w:ascii="Times New Roman" w:hAnsi="Times New Roman" w:eastAsia="Calibri" w:cs="" w:eastAsiaTheme="minorAscii" w:cstheme="minorBidi"/>
          <w:color w:val="000000" w:themeColor="text1"/>
          <w:sz w:val="24"/>
          <w:szCs w:val="24"/>
          <w:lang w:val="en-GB"/>
        </w:rPr>
      </w:sdtPr>
      <w:sdtEndPr>
        <w:rPr>
          <w:rFonts w:ascii="Times New Roman" w:hAnsi="Times New Roman" w:eastAsia="Calibri" w:cs="" w:eastAsiaTheme="minorAscii" w:cstheme="minorBidi"/>
          <w:b w:val="1"/>
          <w:bCs w:val="1"/>
          <w:noProof/>
          <w:color w:val="000000" w:themeColor="text1" w:themeTint="FF" w:themeShade="FF"/>
          <w:sz w:val="24"/>
          <w:szCs w:val="24"/>
          <w:lang w:val="en-GB"/>
        </w:rPr>
      </w:sdtEndPr>
      <w:sdtContent>
        <w:p w:rsidR="002039A3" w:rsidRDefault="002039A3" w14:paraId="16560C1A" w14:textId="77777777">
          <w:pPr>
            <w:pStyle w:val="TOCHeading"/>
          </w:pPr>
          <w:r>
            <w:t>Contents</w:t>
          </w:r>
        </w:p>
        <w:p w:rsidR="00D11F15" w:rsidRDefault="002039A3" w14:paraId="7E1AF405" w14:textId="77777777">
          <w:pPr>
            <w:pStyle w:val="TOC1"/>
            <w:tabs>
              <w:tab w:val="left" w:pos="440"/>
              <w:tab w:val="right" w:leader="dot" w:pos="9350"/>
            </w:tabs>
            <w:rPr>
              <w:rFonts w:asciiTheme="minorHAnsi" w:hAnsiTheme="minorHAnsi" w:eastAsiaTheme="minorEastAsia"/>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history="1" w:anchor="_Toc222002457">
            <w:r w:rsidRPr="00984011" w:rsidR="00D11F15">
              <w:rPr>
                <w:rStyle w:val="Hyperlink"/>
                <w:noProof/>
              </w:rPr>
              <w:t>1</w:t>
            </w:r>
            <w:r w:rsidR="00D11F15">
              <w:rPr>
                <w:rFonts w:asciiTheme="minorHAnsi" w:hAnsiTheme="minorHAnsi" w:eastAsiaTheme="minorEastAsia"/>
                <w:noProof/>
                <w:color w:val="auto"/>
                <w:sz w:val="22"/>
                <w:lang w:val="en-US"/>
              </w:rPr>
              <w:tab/>
            </w:r>
            <w:r w:rsidRPr="00984011" w:rsidR="00D11F15">
              <w:rPr>
                <w:rStyle w:val="Hyperlink"/>
                <w:noProof/>
              </w:rPr>
              <w:t>Introduction</w:t>
            </w:r>
            <w:r w:rsidR="00D11F15">
              <w:rPr>
                <w:noProof/>
                <w:webHidden/>
              </w:rPr>
              <w:tab/>
            </w:r>
            <w:r w:rsidR="00D11F15">
              <w:rPr>
                <w:noProof/>
                <w:webHidden/>
              </w:rPr>
              <w:fldChar w:fldCharType="begin"/>
            </w:r>
            <w:r w:rsidR="00D11F15">
              <w:rPr>
                <w:noProof/>
                <w:webHidden/>
              </w:rPr>
              <w:instrText xml:space="preserve"> PAGEREF _Toc222002457 \h </w:instrText>
            </w:r>
            <w:r w:rsidR="00D11F15">
              <w:rPr>
                <w:noProof/>
                <w:webHidden/>
              </w:rPr>
            </w:r>
            <w:r w:rsidR="00D11F15">
              <w:rPr>
                <w:noProof/>
                <w:webHidden/>
              </w:rPr>
              <w:fldChar w:fldCharType="separate"/>
            </w:r>
            <w:r w:rsidR="00D11F15">
              <w:rPr>
                <w:noProof/>
                <w:webHidden/>
              </w:rPr>
              <w:t>3</w:t>
            </w:r>
            <w:r w:rsidR="00D11F15">
              <w:rPr>
                <w:noProof/>
                <w:webHidden/>
              </w:rPr>
              <w:fldChar w:fldCharType="end"/>
            </w:r>
          </w:hyperlink>
        </w:p>
        <w:p w:rsidR="00D11F15" w:rsidRDefault="00D11F15" w14:paraId="6B1054F5" w14:textId="77777777">
          <w:pPr>
            <w:pStyle w:val="TOC1"/>
            <w:tabs>
              <w:tab w:val="left" w:pos="440"/>
              <w:tab w:val="right" w:leader="dot" w:pos="9350"/>
            </w:tabs>
            <w:rPr>
              <w:rFonts w:asciiTheme="minorHAnsi" w:hAnsiTheme="minorHAnsi" w:eastAsiaTheme="minorEastAsia"/>
              <w:noProof/>
              <w:color w:val="auto"/>
              <w:sz w:val="22"/>
              <w:lang w:val="en-US"/>
            </w:rPr>
          </w:pPr>
          <w:hyperlink w:history="1" w:anchor="_Toc222002458">
            <w:r w:rsidRPr="00984011">
              <w:rPr>
                <w:rStyle w:val="Hyperlink"/>
                <w:noProof/>
              </w:rPr>
              <w:t>2</w:t>
            </w:r>
            <w:r>
              <w:rPr>
                <w:rFonts w:asciiTheme="minorHAnsi" w:hAnsiTheme="minorHAnsi" w:eastAsiaTheme="minorEastAsia"/>
                <w:noProof/>
                <w:color w:val="auto"/>
                <w:sz w:val="22"/>
                <w:lang w:val="en-US"/>
              </w:rPr>
              <w:tab/>
            </w:r>
            <w:r w:rsidRPr="00984011">
              <w:rPr>
                <w:rStyle w:val="Hyperlink"/>
                <w:noProof/>
              </w:rPr>
              <w:t>Person-centred care: definition, benefits, limits</w:t>
            </w:r>
            <w:r>
              <w:rPr>
                <w:noProof/>
                <w:webHidden/>
              </w:rPr>
              <w:tab/>
            </w:r>
            <w:r>
              <w:rPr>
                <w:noProof/>
                <w:webHidden/>
              </w:rPr>
              <w:fldChar w:fldCharType="begin"/>
            </w:r>
            <w:r>
              <w:rPr>
                <w:noProof/>
                <w:webHidden/>
              </w:rPr>
              <w:instrText xml:space="preserve"> PAGEREF _Toc222002458 \h </w:instrText>
            </w:r>
            <w:r>
              <w:rPr>
                <w:noProof/>
                <w:webHidden/>
              </w:rPr>
            </w:r>
            <w:r>
              <w:rPr>
                <w:noProof/>
                <w:webHidden/>
              </w:rPr>
              <w:fldChar w:fldCharType="separate"/>
            </w:r>
            <w:r>
              <w:rPr>
                <w:noProof/>
                <w:webHidden/>
              </w:rPr>
              <w:t>3</w:t>
            </w:r>
            <w:r>
              <w:rPr>
                <w:noProof/>
                <w:webHidden/>
              </w:rPr>
              <w:fldChar w:fldCharType="end"/>
            </w:r>
          </w:hyperlink>
        </w:p>
        <w:p w:rsidR="00D11F15" w:rsidRDefault="00D11F15" w14:paraId="6C981F7B" w14:textId="77777777">
          <w:pPr>
            <w:pStyle w:val="TOC1"/>
            <w:tabs>
              <w:tab w:val="left" w:pos="440"/>
              <w:tab w:val="right" w:leader="dot" w:pos="9350"/>
            </w:tabs>
            <w:rPr>
              <w:rFonts w:asciiTheme="minorHAnsi" w:hAnsiTheme="minorHAnsi" w:eastAsiaTheme="minorEastAsia"/>
              <w:noProof/>
              <w:color w:val="auto"/>
              <w:sz w:val="22"/>
              <w:lang w:val="en-US"/>
            </w:rPr>
          </w:pPr>
          <w:hyperlink w:history="1" w:anchor="_Toc222002459">
            <w:r w:rsidRPr="00984011">
              <w:rPr>
                <w:rStyle w:val="Hyperlink"/>
                <w:noProof/>
              </w:rPr>
              <w:t>3</w:t>
            </w:r>
            <w:r>
              <w:rPr>
                <w:rFonts w:asciiTheme="minorHAnsi" w:hAnsiTheme="minorHAnsi" w:eastAsiaTheme="minorEastAsia"/>
                <w:noProof/>
                <w:color w:val="auto"/>
                <w:sz w:val="22"/>
                <w:lang w:val="en-US"/>
              </w:rPr>
              <w:tab/>
            </w:r>
            <w:r w:rsidRPr="00984011">
              <w:rPr>
                <w:rStyle w:val="Hyperlink"/>
                <w:noProof/>
              </w:rPr>
              <w:t>Theories underpinning PCC</w:t>
            </w:r>
            <w:r>
              <w:rPr>
                <w:noProof/>
                <w:webHidden/>
              </w:rPr>
              <w:tab/>
            </w:r>
            <w:r>
              <w:rPr>
                <w:noProof/>
                <w:webHidden/>
              </w:rPr>
              <w:fldChar w:fldCharType="begin"/>
            </w:r>
            <w:r>
              <w:rPr>
                <w:noProof/>
                <w:webHidden/>
              </w:rPr>
              <w:instrText xml:space="preserve"> PAGEREF _Toc222002459 \h </w:instrText>
            </w:r>
            <w:r>
              <w:rPr>
                <w:noProof/>
                <w:webHidden/>
              </w:rPr>
            </w:r>
            <w:r>
              <w:rPr>
                <w:noProof/>
                <w:webHidden/>
              </w:rPr>
              <w:fldChar w:fldCharType="separate"/>
            </w:r>
            <w:r>
              <w:rPr>
                <w:noProof/>
                <w:webHidden/>
              </w:rPr>
              <w:t>4</w:t>
            </w:r>
            <w:r>
              <w:rPr>
                <w:noProof/>
                <w:webHidden/>
              </w:rPr>
              <w:fldChar w:fldCharType="end"/>
            </w:r>
          </w:hyperlink>
        </w:p>
        <w:p w:rsidR="00D11F15" w:rsidRDefault="00D11F15" w14:paraId="22FCA1DA" w14:textId="77777777">
          <w:pPr>
            <w:pStyle w:val="TOC2"/>
            <w:tabs>
              <w:tab w:val="left" w:pos="880"/>
              <w:tab w:val="right" w:leader="dot" w:pos="9350"/>
            </w:tabs>
            <w:rPr>
              <w:rFonts w:asciiTheme="minorHAnsi" w:hAnsiTheme="minorHAnsi" w:eastAsiaTheme="minorEastAsia"/>
              <w:noProof/>
              <w:color w:val="auto"/>
              <w:sz w:val="22"/>
              <w:lang w:val="en-US"/>
            </w:rPr>
          </w:pPr>
          <w:hyperlink w:history="1" w:anchor="_Toc222002460">
            <w:r w:rsidRPr="00984011">
              <w:rPr>
                <w:rStyle w:val="Hyperlink"/>
                <w:noProof/>
              </w:rPr>
              <w:t>3.1</w:t>
            </w:r>
            <w:r>
              <w:rPr>
                <w:rFonts w:asciiTheme="minorHAnsi" w:hAnsiTheme="minorHAnsi" w:eastAsiaTheme="minorEastAsia"/>
                <w:noProof/>
                <w:color w:val="auto"/>
                <w:sz w:val="22"/>
                <w:lang w:val="en-US"/>
              </w:rPr>
              <w:tab/>
            </w:r>
            <w:r w:rsidRPr="00984011">
              <w:rPr>
                <w:rStyle w:val="Hyperlink"/>
                <w:noProof/>
              </w:rPr>
              <w:t>Person-Centred Nursing Framework (PCNF)</w:t>
            </w:r>
            <w:r>
              <w:rPr>
                <w:noProof/>
                <w:webHidden/>
              </w:rPr>
              <w:tab/>
            </w:r>
            <w:r>
              <w:rPr>
                <w:noProof/>
                <w:webHidden/>
              </w:rPr>
              <w:fldChar w:fldCharType="begin"/>
            </w:r>
            <w:r>
              <w:rPr>
                <w:noProof/>
                <w:webHidden/>
              </w:rPr>
              <w:instrText xml:space="preserve"> PAGEREF _Toc222002460 \h </w:instrText>
            </w:r>
            <w:r>
              <w:rPr>
                <w:noProof/>
                <w:webHidden/>
              </w:rPr>
            </w:r>
            <w:r>
              <w:rPr>
                <w:noProof/>
                <w:webHidden/>
              </w:rPr>
              <w:fldChar w:fldCharType="separate"/>
            </w:r>
            <w:r>
              <w:rPr>
                <w:noProof/>
                <w:webHidden/>
              </w:rPr>
              <w:t>4</w:t>
            </w:r>
            <w:r>
              <w:rPr>
                <w:noProof/>
                <w:webHidden/>
              </w:rPr>
              <w:fldChar w:fldCharType="end"/>
            </w:r>
          </w:hyperlink>
        </w:p>
        <w:p w:rsidR="00D11F15" w:rsidRDefault="00D11F15" w14:paraId="50D9FEE3" w14:textId="77777777">
          <w:pPr>
            <w:pStyle w:val="TOC2"/>
            <w:tabs>
              <w:tab w:val="left" w:pos="880"/>
              <w:tab w:val="right" w:leader="dot" w:pos="9350"/>
            </w:tabs>
            <w:rPr>
              <w:rFonts w:asciiTheme="minorHAnsi" w:hAnsiTheme="minorHAnsi" w:eastAsiaTheme="minorEastAsia"/>
              <w:noProof/>
              <w:color w:val="auto"/>
              <w:sz w:val="22"/>
              <w:lang w:val="en-US"/>
            </w:rPr>
          </w:pPr>
          <w:hyperlink w:history="1" w:anchor="_Toc222002461">
            <w:r w:rsidRPr="00984011">
              <w:rPr>
                <w:rStyle w:val="Hyperlink"/>
                <w:noProof/>
              </w:rPr>
              <w:t>3.2</w:t>
            </w:r>
            <w:r>
              <w:rPr>
                <w:rFonts w:asciiTheme="minorHAnsi" w:hAnsiTheme="minorHAnsi" w:eastAsiaTheme="minorEastAsia"/>
                <w:noProof/>
                <w:color w:val="auto"/>
                <w:sz w:val="22"/>
                <w:lang w:val="en-US"/>
              </w:rPr>
              <w:tab/>
            </w:r>
            <w:r w:rsidRPr="00984011">
              <w:rPr>
                <w:rStyle w:val="Hyperlink"/>
                <w:noProof/>
              </w:rPr>
              <w:t>Dementia personhood theory</w:t>
            </w:r>
            <w:r>
              <w:rPr>
                <w:noProof/>
                <w:webHidden/>
              </w:rPr>
              <w:tab/>
            </w:r>
            <w:r>
              <w:rPr>
                <w:noProof/>
                <w:webHidden/>
              </w:rPr>
              <w:fldChar w:fldCharType="begin"/>
            </w:r>
            <w:r>
              <w:rPr>
                <w:noProof/>
                <w:webHidden/>
              </w:rPr>
              <w:instrText xml:space="preserve"> PAGEREF _Toc222002461 \h </w:instrText>
            </w:r>
            <w:r>
              <w:rPr>
                <w:noProof/>
                <w:webHidden/>
              </w:rPr>
            </w:r>
            <w:r>
              <w:rPr>
                <w:noProof/>
                <w:webHidden/>
              </w:rPr>
              <w:fldChar w:fldCharType="separate"/>
            </w:r>
            <w:r>
              <w:rPr>
                <w:noProof/>
                <w:webHidden/>
              </w:rPr>
              <w:t>4</w:t>
            </w:r>
            <w:r>
              <w:rPr>
                <w:noProof/>
                <w:webHidden/>
              </w:rPr>
              <w:fldChar w:fldCharType="end"/>
            </w:r>
          </w:hyperlink>
        </w:p>
        <w:p w:rsidR="00D11F15" w:rsidRDefault="00D11F15" w14:paraId="56142A5F" w14:textId="77777777">
          <w:pPr>
            <w:pStyle w:val="TOC1"/>
            <w:tabs>
              <w:tab w:val="left" w:pos="440"/>
              <w:tab w:val="right" w:leader="dot" w:pos="9350"/>
            </w:tabs>
            <w:rPr>
              <w:rFonts w:asciiTheme="minorHAnsi" w:hAnsiTheme="minorHAnsi" w:eastAsiaTheme="minorEastAsia"/>
              <w:noProof/>
              <w:color w:val="auto"/>
              <w:sz w:val="22"/>
              <w:lang w:val="en-US"/>
            </w:rPr>
          </w:pPr>
          <w:hyperlink w:history="1" w:anchor="_Toc222002462">
            <w:r w:rsidRPr="00984011">
              <w:rPr>
                <w:rStyle w:val="Hyperlink"/>
                <w:noProof/>
              </w:rPr>
              <w:t>4</w:t>
            </w:r>
            <w:r>
              <w:rPr>
                <w:rFonts w:asciiTheme="minorHAnsi" w:hAnsiTheme="minorHAnsi" w:eastAsiaTheme="minorEastAsia"/>
                <w:noProof/>
                <w:color w:val="auto"/>
                <w:sz w:val="22"/>
                <w:lang w:val="en-US"/>
              </w:rPr>
              <w:tab/>
            </w:r>
            <w:r w:rsidRPr="00984011">
              <w:rPr>
                <w:rStyle w:val="Hyperlink"/>
                <w:noProof/>
              </w:rPr>
              <w:t>Ethical fundamentals in health and social care</w:t>
            </w:r>
            <w:r>
              <w:rPr>
                <w:noProof/>
                <w:webHidden/>
              </w:rPr>
              <w:tab/>
            </w:r>
            <w:r>
              <w:rPr>
                <w:noProof/>
                <w:webHidden/>
              </w:rPr>
              <w:fldChar w:fldCharType="begin"/>
            </w:r>
            <w:r>
              <w:rPr>
                <w:noProof/>
                <w:webHidden/>
              </w:rPr>
              <w:instrText xml:space="preserve"> PAGEREF _Toc222002462 \h </w:instrText>
            </w:r>
            <w:r>
              <w:rPr>
                <w:noProof/>
                <w:webHidden/>
              </w:rPr>
            </w:r>
            <w:r>
              <w:rPr>
                <w:noProof/>
                <w:webHidden/>
              </w:rPr>
              <w:fldChar w:fldCharType="separate"/>
            </w:r>
            <w:r>
              <w:rPr>
                <w:noProof/>
                <w:webHidden/>
              </w:rPr>
              <w:t>5</w:t>
            </w:r>
            <w:r>
              <w:rPr>
                <w:noProof/>
                <w:webHidden/>
              </w:rPr>
              <w:fldChar w:fldCharType="end"/>
            </w:r>
          </w:hyperlink>
        </w:p>
        <w:p w:rsidR="00D11F15" w:rsidRDefault="00D11F15" w14:paraId="5EAA6B88" w14:textId="77777777">
          <w:pPr>
            <w:pStyle w:val="TOC1"/>
            <w:tabs>
              <w:tab w:val="left" w:pos="440"/>
              <w:tab w:val="right" w:leader="dot" w:pos="9350"/>
            </w:tabs>
            <w:rPr>
              <w:rFonts w:asciiTheme="minorHAnsi" w:hAnsiTheme="minorHAnsi" w:eastAsiaTheme="minorEastAsia"/>
              <w:noProof/>
              <w:color w:val="auto"/>
              <w:sz w:val="22"/>
              <w:lang w:val="en-US"/>
            </w:rPr>
          </w:pPr>
          <w:hyperlink w:history="1" w:anchor="_Toc222002463">
            <w:r w:rsidRPr="00984011">
              <w:rPr>
                <w:rStyle w:val="Hyperlink"/>
                <w:noProof/>
              </w:rPr>
              <w:t>5</w:t>
            </w:r>
            <w:r>
              <w:rPr>
                <w:rFonts w:asciiTheme="minorHAnsi" w:hAnsiTheme="minorHAnsi" w:eastAsiaTheme="minorEastAsia"/>
                <w:noProof/>
                <w:color w:val="auto"/>
                <w:sz w:val="22"/>
                <w:lang w:val="en-US"/>
              </w:rPr>
              <w:tab/>
            </w:r>
            <w:r w:rsidRPr="00984011">
              <w:rPr>
                <w:rStyle w:val="Hyperlink"/>
                <w:noProof/>
              </w:rPr>
              <w:t>Partnership working: value, risks, and evidence</w:t>
            </w:r>
            <w:r>
              <w:rPr>
                <w:noProof/>
                <w:webHidden/>
              </w:rPr>
              <w:tab/>
            </w:r>
            <w:r>
              <w:rPr>
                <w:noProof/>
                <w:webHidden/>
              </w:rPr>
              <w:fldChar w:fldCharType="begin"/>
            </w:r>
            <w:r>
              <w:rPr>
                <w:noProof/>
                <w:webHidden/>
              </w:rPr>
              <w:instrText xml:space="preserve"> PAGEREF _Toc222002463 \h </w:instrText>
            </w:r>
            <w:r>
              <w:rPr>
                <w:noProof/>
                <w:webHidden/>
              </w:rPr>
            </w:r>
            <w:r>
              <w:rPr>
                <w:noProof/>
                <w:webHidden/>
              </w:rPr>
              <w:fldChar w:fldCharType="separate"/>
            </w:r>
            <w:r>
              <w:rPr>
                <w:noProof/>
                <w:webHidden/>
              </w:rPr>
              <w:t>5</w:t>
            </w:r>
            <w:r>
              <w:rPr>
                <w:noProof/>
                <w:webHidden/>
              </w:rPr>
              <w:fldChar w:fldCharType="end"/>
            </w:r>
          </w:hyperlink>
        </w:p>
        <w:p w:rsidR="00D11F15" w:rsidRDefault="00D11F15" w14:paraId="4AEC2542" w14:textId="77777777">
          <w:pPr>
            <w:pStyle w:val="TOC1"/>
            <w:tabs>
              <w:tab w:val="left" w:pos="440"/>
              <w:tab w:val="right" w:leader="dot" w:pos="9350"/>
            </w:tabs>
            <w:rPr>
              <w:rFonts w:asciiTheme="minorHAnsi" w:hAnsiTheme="minorHAnsi" w:eastAsiaTheme="minorEastAsia"/>
              <w:noProof/>
              <w:color w:val="auto"/>
              <w:sz w:val="22"/>
              <w:lang w:val="en-US"/>
            </w:rPr>
          </w:pPr>
          <w:hyperlink w:history="1" w:anchor="_Toc222002464">
            <w:r w:rsidRPr="00984011">
              <w:rPr>
                <w:rStyle w:val="Hyperlink"/>
                <w:noProof/>
              </w:rPr>
              <w:t>6</w:t>
            </w:r>
            <w:r>
              <w:rPr>
                <w:rFonts w:asciiTheme="minorHAnsi" w:hAnsiTheme="minorHAnsi" w:eastAsiaTheme="minorEastAsia"/>
                <w:noProof/>
                <w:color w:val="auto"/>
                <w:sz w:val="22"/>
                <w:lang w:val="en-US"/>
              </w:rPr>
              <w:tab/>
            </w:r>
            <w:r w:rsidRPr="00984011">
              <w:rPr>
                <w:rStyle w:val="Hyperlink"/>
                <w:noProof/>
              </w:rPr>
              <w:t>Application in an ICS community dementia pathway</w:t>
            </w:r>
            <w:r>
              <w:rPr>
                <w:noProof/>
                <w:webHidden/>
              </w:rPr>
              <w:tab/>
            </w:r>
            <w:r>
              <w:rPr>
                <w:noProof/>
                <w:webHidden/>
              </w:rPr>
              <w:fldChar w:fldCharType="begin"/>
            </w:r>
            <w:r>
              <w:rPr>
                <w:noProof/>
                <w:webHidden/>
              </w:rPr>
              <w:instrText xml:space="preserve"> PAGEREF _Toc222002464 \h </w:instrText>
            </w:r>
            <w:r>
              <w:rPr>
                <w:noProof/>
                <w:webHidden/>
              </w:rPr>
            </w:r>
            <w:r>
              <w:rPr>
                <w:noProof/>
                <w:webHidden/>
              </w:rPr>
              <w:fldChar w:fldCharType="separate"/>
            </w:r>
            <w:r>
              <w:rPr>
                <w:noProof/>
                <w:webHidden/>
              </w:rPr>
              <w:t>6</w:t>
            </w:r>
            <w:r>
              <w:rPr>
                <w:noProof/>
                <w:webHidden/>
              </w:rPr>
              <w:fldChar w:fldCharType="end"/>
            </w:r>
          </w:hyperlink>
        </w:p>
        <w:p w:rsidR="00D11F15" w:rsidRDefault="00D11F15" w14:paraId="605E418C" w14:textId="77777777">
          <w:pPr>
            <w:pStyle w:val="TOC1"/>
            <w:tabs>
              <w:tab w:val="left" w:pos="440"/>
              <w:tab w:val="right" w:leader="dot" w:pos="9350"/>
            </w:tabs>
            <w:rPr>
              <w:rFonts w:asciiTheme="minorHAnsi" w:hAnsiTheme="minorHAnsi" w:eastAsiaTheme="minorEastAsia"/>
              <w:noProof/>
              <w:color w:val="auto"/>
              <w:sz w:val="22"/>
              <w:lang w:val="en-US"/>
            </w:rPr>
          </w:pPr>
          <w:hyperlink w:history="1" w:anchor="_Toc222002465">
            <w:r w:rsidRPr="00984011">
              <w:rPr>
                <w:rStyle w:val="Hyperlink"/>
                <w:noProof/>
              </w:rPr>
              <w:t>7</w:t>
            </w:r>
            <w:r>
              <w:rPr>
                <w:rFonts w:asciiTheme="minorHAnsi" w:hAnsiTheme="minorHAnsi" w:eastAsiaTheme="minorEastAsia"/>
                <w:noProof/>
                <w:color w:val="auto"/>
                <w:sz w:val="22"/>
                <w:lang w:val="en-US"/>
              </w:rPr>
              <w:tab/>
            </w:r>
            <w:r w:rsidRPr="00984011">
              <w:rPr>
                <w:rStyle w:val="Hyperlink"/>
                <w:noProof/>
              </w:rPr>
              <w:t>Policy and legislation for PCC and PW</w:t>
            </w:r>
            <w:r>
              <w:rPr>
                <w:noProof/>
                <w:webHidden/>
              </w:rPr>
              <w:tab/>
            </w:r>
            <w:r>
              <w:rPr>
                <w:noProof/>
                <w:webHidden/>
              </w:rPr>
              <w:fldChar w:fldCharType="begin"/>
            </w:r>
            <w:r>
              <w:rPr>
                <w:noProof/>
                <w:webHidden/>
              </w:rPr>
              <w:instrText xml:space="preserve"> PAGEREF _Toc222002465 \h </w:instrText>
            </w:r>
            <w:r>
              <w:rPr>
                <w:noProof/>
                <w:webHidden/>
              </w:rPr>
            </w:r>
            <w:r>
              <w:rPr>
                <w:noProof/>
                <w:webHidden/>
              </w:rPr>
              <w:fldChar w:fldCharType="separate"/>
            </w:r>
            <w:r>
              <w:rPr>
                <w:noProof/>
                <w:webHidden/>
              </w:rPr>
              <w:t>7</w:t>
            </w:r>
            <w:r>
              <w:rPr>
                <w:noProof/>
                <w:webHidden/>
              </w:rPr>
              <w:fldChar w:fldCharType="end"/>
            </w:r>
          </w:hyperlink>
        </w:p>
        <w:p w:rsidR="00D11F15" w:rsidRDefault="00D11F15" w14:paraId="1B057945" w14:textId="77777777">
          <w:pPr>
            <w:pStyle w:val="TOC1"/>
            <w:tabs>
              <w:tab w:val="left" w:pos="440"/>
              <w:tab w:val="right" w:leader="dot" w:pos="9350"/>
            </w:tabs>
            <w:rPr>
              <w:rFonts w:asciiTheme="minorHAnsi" w:hAnsiTheme="minorHAnsi" w:eastAsiaTheme="minorEastAsia"/>
              <w:noProof/>
              <w:color w:val="auto"/>
              <w:sz w:val="22"/>
              <w:lang w:val="en-US"/>
            </w:rPr>
          </w:pPr>
          <w:hyperlink w:history="1" w:anchor="_Toc222002466">
            <w:r w:rsidRPr="00984011">
              <w:rPr>
                <w:rStyle w:val="Hyperlink"/>
                <w:noProof/>
              </w:rPr>
              <w:t>8</w:t>
            </w:r>
            <w:r>
              <w:rPr>
                <w:rFonts w:asciiTheme="minorHAnsi" w:hAnsiTheme="minorHAnsi" w:eastAsiaTheme="minorEastAsia"/>
                <w:noProof/>
                <w:color w:val="auto"/>
                <w:sz w:val="22"/>
                <w:lang w:val="en-US"/>
              </w:rPr>
              <w:tab/>
            </w:r>
            <w:r w:rsidRPr="00984011">
              <w:rPr>
                <w:rStyle w:val="Hyperlink"/>
                <w:noProof/>
              </w:rPr>
              <w:t>Recommendations for development in the United Kingdom</w:t>
            </w:r>
            <w:r>
              <w:rPr>
                <w:noProof/>
                <w:webHidden/>
              </w:rPr>
              <w:tab/>
            </w:r>
            <w:r>
              <w:rPr>
                <w:noProof/>
                <w:webHidden/>
              </w:rPr>
              <w:fldChar w:fldCharType="begin"/>
            </w:r>
            <w:r>
              <w:rPr>
                <w:noProof/>
                <w:webHidden/>
              </w:rPr>
              <w:instrText xml:space="preserve"> PAGEREF _Toc222002466 \h </w:instrText>
            </w:r>
            <w:r>
              <w:rPr>
                <w:noProof/>
                <w:webHidden/>
              </w:rPr>
            </w:r>
            <w:r>
              <w:rPr>
                <w:noProof/>
                <w:webHidden/>
              </w:rPr>
              <w:fldChar w:fldCharType="separate"/>
            </w:r>
            <w:r>
              <w:rPr>
                <w:noProof/>
                <w:webHidden/>
              </w:rPr>
              <w:t>7</w:t>
            </w:r>
            <w:r>
              <w:rPr>
                <w:noProof/>
                <w:webHidden/>
              </w:rPr>
              <w:fldChar w:fldCharType="end"/>
            </w:r>
          </w:hyperlink>
        </w:p>
        <w:p w:rsidR="00D11F15" w:rsidRDefault="00D11F15" w14:paraId="3C0A04A3" w14:textId="77777777">
          <w:pPr>
            <w:pStyle w:val="TOC1"/>
            <w:tabs>
              <w:tab w:val="left" w:pos="440"/>
              <w:tab w:val="right" w:leader="dot" w:pos="9350"/>
            </w:tabs>
            <w:rPr>
              <w:rFonts w:asciiTheme="minorHAnsi" w:hAnsiTheme="minorHAnsi" w:eastAsiaTheme="minorEastAsia"/>
              <w:noProof/>
              <w:color w:val="auto"/>
              <w:sz w:val="22"/>
              <w:lang w:val="en-US"/>
            </w:rPr>
          </w:pPr>
          <w:hyperlink w:history="1" w:anchor="_Toc222002467">
            <w:r w:rsidRPr="00984011">
              <w:rPr>
                <w:rStyle w:val="Hyperlink"/>
                <w:noProof/>
              </w:rPr>
              <w:t>9</w:t>
            </w:r>
            <w:r>
              <w:rPr>
                <w:rFonts w:asciiTheme="minorHAnsi" w:hAnsiTheme="minorHAnsi" w:eastAsiaTheme="minorEastAsia"/>
                <w:noProof/>
                <w:color w:val="auto"/>
                <w:sz w:val="22"/>
                <w:lang w:val="en-US"/>
              </w:rPr>
              <w:tab/>
            </w:r>
            <w:r w:rsidRPr="00984011">
              <w:rPr>
                <w:rStyle w:val="Hyperlink"/>
                <w:noProof/>
              </w:rPr>
              <w:t>Conclusion</w:t>
            </w:r>
            <w:r>
              <w:rPr>
                <w:noProof/>
                <w:webHidden/>
              </w:rPr>
              <w:tab/>
            </w:r>
            <w:r>
              <w:rPr>
                <w:noProof/>
                <w:webHidden/>
              </w:rPr>
              <w:fldChar w:fldCharType="begin"/>
            </w:r>
            <w:r>
              <w:rPr>
                <w:noProof/>
                <w:webHidden/>
              </w:rPr>
              <w:instrText xml:space="preserve"> PAGEREF _Toc222002467 \h </w:instrText>
            </w:r>
            <w:r>
              <w:rPr>
                <w:noProof/>
                <w:webHidden/>
              </w:rPr>
            </w:r>
            <w:r>
              <w:rPr>
                <w:noProof/>
                <w:webHidden/>
              </w:rPr>
              <w:fldChar w:fldCharType="separate"/>
            </w:r>
            <w:r>
              <w:rPr>
                <w:noProof/>
                <w:webHidden/>
              </w:rPr>
              <w:t>9</w:t>
            </w:r>
            <w:r>
              <w:rPr>
                <w:noProof/>
                <w:webHidden/>
              </w:rPr>
              <w:fldChar w:fldCharType="end"/>
            </w:r>
          </w:hyperlink>
        </w:p>
        <w:p w:rsidR="00D11F15" w:rsidRDefault="00D11F15" w14:paraId="6760C05F" w14:textId="77777777">
          <w:pPr>
            <w:pStyle w:val="TOC1"/>
            <w:tabs>
              <w:tab w:val="left" w:pos="660"/>
              <w:tab w:val="right" w:leader="dot" w:pos="9350"/>
            </w:tabs>
            <w:rPr>
              <w:rFonts w:asciiTheme="minorHAnsi" w:hAnsiTheme="minorHAnsi" w:eastAsiaTheme="minorEastAsia"/>
              <w:noProof/>
              <w:color w:val="auto"/>
              <w:sz w:val="22"/>
              <w:lang w:val="en-US"/>
            </w:rPr>
          </w:pPr>
          <w:hyperlink w:history="1" w:anchor="_Toc222002468">
            <w:r w:rsidRPr="00984011">
              <w:rPr>
                <w:rStyle w:val="Hyperlink"/>
                <w:noProof/>
              </w:rPr>
              <w:t>10</w:t>
            </w:r>
            <w:r>
              <w:rPr>
                <w:rFonts w:asciiTheme="minorHAnsi" w:hAnsiTheme="minorHAnsi" w:eastAsiaTheme="minorEastAsia"/>
                <w:noProof/>
                <w:color w:val="auto"/>
                <w:sz w:val="22"/>
                <w:lang w:val="en-US"/>
              </w:rPr>
              <w:tab/>
            </w:r>
            <w:r w:rsidRPr="00984011">
              <w:rPr>
                <w:rStyle w:val="Hyperlink"/>
                <w:noProof/>
              </w:rPr>
              <w:t>References</w:t>
            </w:r>
            <w:r>
              <w:rPr>
                <w:noProof/>
                <w:webHidden/>
              </w:rPr>
              <w:tab/>
            </w:r>
            <w:r>
              <w:rPr>
                <w:noProof/>
                <w:webHidden/>
              </w:rPr>
              <w:fldChar w:fldCharType="begin"/>
            </w:r>
            <w:r>
              <w:rPr>
                <w:noProof/>
                <w:webHidden/>
              </w:rPr>
              <w:instrText xml:space="preserve"> PAGEREF _Toc222002468 \h </w:instrText>
            </w:r>
            <w:r>
              <w:rPr>
                <w:noProof/>
                <w:webHidden/>
              </w:rPr>
            </w:r>
            <w:r>
              <w:rPr>
                <w:noProof/>
                <w:webHidden/>
              </w:rPr>
              <w:fldChar w:fldCharType="separate"/>
            </w:r>
            <w:r>
              <w:rPr>
                <w:noProof/>
                <w:webHidden/>
              </w:rPr>
              <w:t>10</w:t>
            </w:r>
            <w:r>
              <w:rPr>
                <w:noProof/>
                <w:webHidden/>
              </w:rPr>
              <w:fldChar w:fldCharType="end"/>
            </w:r>
          </w:hyperlink>
        </w:p>
        <w:p w:rsidR="002039A3" w:rsidRDefault="002039A3" w14:paraId="05C0F094" w14:textId="77777777">
          <w:r>
            <w:rPr>
              <w:b/>
              <w:bCs/>
              <w:noProof/>
            </w:rPr>
            <w:fldChar w:fldCharType="end"/>
          </w:r>
        </w:p>
      </w:sdtContent>
    </w:sdt>
    <w:p w:rsidR="002039A3" w:rsidP="00501341" w:rsidRDefault="002039A3" w14:paraId="55DA1F1A" w14:textId="77777777">
      <w:pPr>
        <w:rPr>
          <w:lang w:val="en-US"/>
        </w:rPr>
      </w:pPr>
    </w:p>
    <w:p w:rsidR="002039A3" w:rsidP="00501341" w:rsidRDefault="002039A3" w14:paraId="2BE81146" w14:textId="77777777">
      <w:pPr>
        <w:rPr>
          <w:lang w:val="en-US"/>
        </w:rPr>
      </w:pPr>
    </w:p>
    <w:p w:rsidR="002039A3" w:rsidP="00501341" w:rsidRDefault="002039A3" w14:paraId="00EB6255" w14:textId="77777777">
      <w:pPr>
        <w:rPr>
          <w:lang w:val="en-US"/>
        </w:rPr>
      </w:pPr>
    </w:p>
    <w:p w:rsidR="002039A3" w:rsidP="00501341" w:rsidRDefault="002039A3" w14:paraId="6127F752" w14:textId="77777777">
      <w:pPr>
        <w:rPr>
          <w:lang w:val="en-US"/>
        </w:rPr>
      </w:pPr>
    </w:p>
    <w:p w:rsidR="002039A3" w:rsidP="00501341" w:rsidRDefault="002039A3" w14:paraId="5547F794" w14:textId="77777777">
      <w:pPr>
        <w:rPr>
          <w:lang w:val="en-US"/>
        </w:rPr>
      </w:pPr>
    </w:p>
    <w:p w:rsidR="002039A3" w:rsidP="00501341" w:rsidRDefault="002039A3" w14:paraId="44F1D88F" w14:textId="77777777">
      <w:pPr>
        <w:rPr>
          <w:lang w:val="en-US"/>
        </w:rPr>
      </w:pPr>
    </w:p>
    <w:p w:rsidR="002039A3" w:rsidP="00501341" w:rsidRDefault="002039A3" w14:paraId="0D0DC017" w14:textId="77777777">
      <w:pPr>
        <w:rPr>
          <w:lang w:val="en-US"/>
        </w:rPr>
      </w:pPr>
    </w:p>
    <w:p w:rsidR="002039A3" w:rsidP="00501341" w:rsidRDefault="002039A3" w14:paraId="638EF989" w14:textId="77777777">
      <w:pPr>
        <w:rPr>
          <w:lang w:val="en-US"/>
        </w:rPr>
      </w:pPr>
    </w:p>
    <w:p w:rsidRPr="00501341" w:rsidR="002039A3" w:rsidP="00501341" w:rsidRDefault="002039A3" w14:paraId="7F07EC09" w14:textId="77777777">
      <w:pPr>
        <w:rPr>
          <w:lang w:val="en-US"/>
        </w:rPr>
      </w:pPr>
    </w:p>
    <w:p w:rsidRPr="00501341" w:rsidR="00501341" w:rsidP="00501341" w:rsidRDefault="00501341" w14:paraId="6DF70B5B" w14:textId="77777777">
      <w:pPr>
        <w:pStyle w:val="Heading1"/>
      </w:pPr>
      <w:bookmarkStart w:name="_Toc222002457" w:id="0"/>
      <w:r w:rsidRPr="00501341">
        <w:t>Introduction</w:t>
      </w:r>
      <w:bookmarkEnd w:id="0"/>
    </w:p>
    <w:p w:rsidRPr="003168A4" w:rsidR="003168A4" w:rsidP="003168A4" w:rsidRDefault="003168A4" w14:paraId="397B8617" w14:textId="0CF24174">
      <w:pPr>
        <w:rPr>
          <w:lang w:val="en-US"/>
        </w:rPr>
      </w:pPr>
      <w:r w:rsidRPr="529CA6F1" w:rsidR="003168A4">
        <w:rPr>
          <w:lang w:val="en-US"/>
        </w:rPr>
        <w:t xml:space="preserve">This report argues that PCC and PW are inseparable in community dementia care </w:t>
      </w:r>
      <w:r w:rsidRPr="529CA6F1" w:rsidR="2E19C93A">
        <w:rPr>
          <w:lang w:val="en-US"/>
        </w:rPr>
        <w:t>because it</w:t>
      </w:r>
      <w:r w:rsidRPr="529CA6F1" w:rsidR="003168A4">
        <w:rPr>
          <w:lang w:val="en-US"/>
        </w:rPr>
        <w:t xml:space="preserve"> needs change and risks span health, social care, and family life. Because it is the leading cause of registered deaths and sustains community service demand, dementia is a high-salience policy issue (Office for National Statistics, 2025). The economic case </w:t>
      </w:r>
      <w:bookmarkStart w:name="_Int_N9ycTjtZ" w:id="163557481"/>
      <w:r w:rsidRPr="529CA6F1" w:rsidR="003168A4">
        <w:rPr>
          <w:lang w:val="en-US"/>
        </w:rPr>
        <w:t>matters</w:t>
      </w:r>
      <w:bookmarkEnd w:id="163557481"/>
      <w:r w:rsidRPr="529CA6F1" w:rsidR="003168A4">
        <w:rPr>
          <w:lang w:val="en-US"/>
        </w:rPr>
        <w:t xml:space="preserve"> too. Weak coordination costs emergency, social, and unpaid care £42 billion in 2024 and £90 billion in 2040, according to the Alzheimer's Society (2024). </w:t>
      </w:r>
    </w:p>
    <w:p w:rsidRPr="00501341" w:rsidR="00501341" w:rsidP="003168A4" w:rsidRDefault="003168A4" w14:paraId="52D3E6B6" w14:textId="488010B1">
      <w:pPr>
        <w:rPr>
          <w:lang w:val="en-US"/>
        </w:rPr>
      </w:pPr>
      <w:r w:rsidRPr="0A9DD993" w:rsidR="003168A4">
        <w:rPr>
          <w:lang w:val="en-US"/>
        </w:rPr>
        <w:t xml:space="preserve">Integrated Care System. NHS, local government, and </w:t>
      </w:r>
      <w:r w:rsidRPr="0A9DD993" w:rsidR="145DCF42">
        <w:rPr>
          <w:lang w:val="en-US"/>
        </w:rPr>
        <w:t>voluntary community and social enterprise</w:t>
      </w:r>
      <w:r w:rsidRPr="0A9DD993" w:rsidR="02608956">
        <w:rPr>
          <w:lang w:val="en-US"/>
        </w:rPr>
        <w:t xml:space="preserve"> </w:t>
      </w:r>
      <w:r w:rsidRPr="0A9DD993" w:rsidR="3B66497D">
        <w:rPr>
          <w:lang w:val="en-US"/>
        </w:rPr>
        <w:t>(</w:t>
      </w:r>
      <w:r w:rsidRPr="0A9DD993" w:rsidR="003168A4">
        <w:rPr>
          <w:lang w:val="en-US"/>
        </w:rPr>
        <w:t>VCSE</w:t>
      </w:r>
      <w:r w:rsidRPr="0A9DD993" w:rsidR="54971F6F">
        <w:rPr>
          <w:lang w:val="en-US"/>
        </w:rPr>
        <w:t>)</w:t>
      </w:r>
      <w:r w:rsidRPr="0A9DD993" w:rsidR="003168A4">
        <w:rPr>
          <w:lang w:val="en-US"/>
        </w:rPr>
        <w:t xml:space="preserve"> </w:t>
      </w:r>
      <w:r w:rsidRPr="0A9DD993" w:rsidR="003168A4">
        <w:rPr>
          <w:lang w:val="en-US"/>
        </w:rPr>
        <w:t>organisations</w:t>
      </w:r>
      <w:r w:rsidRPr="0A9DD993" w:rsidR="003168A4">
        <w:rPr>
          <w:lang w:val="en-US"/>
        </w:rPr>
        <w:t xml:space="preserve"> collaborate on planning and delivery through an ICS (The King's Fund, 2024). The next section defines PCC and debates its pros and cons in the literature.</w:t>
      </w:r>
    </w:p>
    <w:p w:rsidRPr="00501341" w:rsidR="00501341" w:rsidP="00501341" w:rsidRDefault="00501341" w14:paraId="2646C376" w14:textId="77777777">
      <w:pPr>
        <w:pStyle w:val="Heading1"/>
      </w:pPr>
      <w:bookmarkStart w:name="_Toc222002458" w:id="1"/>
      <w:r w:rsidRPr="00501341">
        <w:t>Person-centred care: definition, benefits, limits</w:t>
      </w:r>
      <w:bookmarkEnd w:id="1"/>
    </w:p>
    <w:p w:rsidRPr="00501341" w:rsidR="00501341" w:rsidP="00501341" w:rsidRDefault="00501341" w14:paraId="03C55C90" w14:textId="77777777">
      <w:pPr>
        <w:rPr>
          <w:lang w:val="en-US"/>
        </w:rPr>
      </w:pPr>
      <w:r w:rsidRPr="00501341">
        <w:rPr>
          <w:bCs/>
          <w:lang w:val="en-US"/>
        </w:rPr>
        <w:t>This section argues that PCC improves experience and decision quality, but it can become performative without time, workforce, and data infrastructure.</w:t>
      </w:r>
    </w:p>
    <w:p w:rsidRPr="00D11F15" w:rsidR="00D11F15" w:rsidP="00D11F15" w:rsidRDefault="003168A4" w14:paraId="457CB9DC" w14:textId="77777777">
      <w:pPr>
        <w:rPr>
          <w:lang w:val="en-US"/>
        </w:rPr>
      </w:pPr>
      <w:r w:rsidRPr="003168A4">
        <w:rPr>
          <w:lang w:val="en-US"/>
        </w:rPr>
        <w:t xml:space="preserve">PCC organises support around what matters to the person, not just the diagnosis. In dementia, PCC requires decision-making that recognises personhood and relationships, including carers (NICE, 2018). </w:t>
      </w:r>
      <w:r w:rsidRPr="00D11F15" w:rsidR="00D11F15">
        <w:rPr>
          <w:lang w:val="en-US"/>
        </w:rPr>
        <w:t xml:space="preserve">PCC is said to be advantageous, and the results are not consistent across the outcomes and study designs. NICE guidance summarises additional evidence and creates expectations of the system, whereas local reviews tend to have positive feedback but are unable to demonstrate causality (NICE, 2018; Alzheimer's Society, 2024). </w:t>
      </w:r>
    </w:p>
    <w:p w:rsidR="00B53D8A" w:rsidP="00D11F15" w:rsidRDefault="00D11F15" w14:paraId="5CF2F394" w14:textId="77777777">
      <w:pPr>
        <w:rPr>
          <w:lang w:val="en-US"/>
        </w:rPr>
      </w:pPr>
      <w:r w:rsidRPr="00D11F15">
        <w:rPr>
          <w:lang w:val="en-US"/>
        </w:rPr>
        <w:t>The greatest benefits are produced by experience and coordination, rather than hard results. Evidence of integrated care demonstrates that perceived quality and access are much improved compared to admissions or costs, and the argument that PCC will automatically save money is challenged (Baxter et al., 2018). This is important since dementia pathways can rationalise PCC investment in crisis avoidance. Conditional arguments are more effective. Avoidable crises can be avoided with PCC implemented with a plan in place, a designated coordinator, and quick escalation pathways, as opposed to a discussion.</w:t>
      </w:r>
      <w:r w:rsidRPr="003168A4" w:rsidR="003168A4">
        <w:rPr>
          <w:lang w:val="en-US"/>
        </w:rPr>
        <w:t xml:space="preserve"> </w:t>
      </w:r>
    </w:p>
    <w:p w:rsidRPr="00501341" w:rsidR="00501341" w:rsidP="00501341" w:rsidRDefault="003168A4" w14:paraId="6F77599E" w14:textId="77777777">
      <w:pPr>
        <w:rPr>
          <w:lang w:val="en-US"/>
        </w:rPr>
      </w:pPr>
      <w:r w:rsidRPr="529CA6F1" w:rsidR="003168A4">
        <w:rPr>
          <w:lang w:val="en-US"/>
        </w:rPr>
        <w:t xml:space="preserve">Limits are structural. System reports warn that workforce shortages, unstable funding, and accountability pressures that force </w:t>
      </w:r>
      <w:r w:rsidRPr="529CA6F1" w:rsidR="003168A4">
        <w:rPr>
          <w:lang w:val="en-US"/>
        </w:rPr>
        <w:t>organisations</w:t>
      </w:r>
      <w:r w:rsidRPr="529CA6F1" w:rsidR="003168A4">
        <w:rPr>
          <w:lang w:val="en-US"/>
        </w:rPr>
        <w:t xml:space="preserve"> back into silo performance management threaten ICS partnership goals (The King's Fund, 2024; NHS Confederation, 2024). This causes predictable failure. Documentation calls the pathway “person-</w:t>
      </w:r>
      <w:r w:rsidRPr="529CA6F1" w:rsidR="003168A4">
        <w:rPr>
          <w:lang w:val="en-US"/>
        </w:rPr>
        <w:t>centred</w:t>
      </w:r>
      <w:r w:rsidRPr="529CA6F1" w:rsidR="003168A4">
        <w:rPr>
          <w:lang w:val="en-US"/>
        </w:rPr>
        <w:t>”</w:t>
      </w:r>
      <w:bookmarkStart w:name="_Int_pQHuYQh0" w:id="590703147"/>
      <w:r w:rsidRPr="529CA6F1" w:rsidR="003168A4">
        <w:rPr>
          <w:lang w:val="en-US"/>
        </w:rPr>
        <w:t xml:space="preserve"> but</w:t>
      </w:r>
      <w:bookmarkEnd w:id="590703147"/>
      <w:r w:rsidRPr="529CA6F1" w:rsidR="003168A4">
        <w:rPr>
          <w:lang w:val="en-US"/>
        </w:rPr>
        <w:t xml:space="preserve"> repetition, delays, and inconsistent risk decisions occur. Theory predicts these failures and illustrates how to test them in practice.</w:t>
      </w:r>
    </w:p>
    <w:p w:rsidRPr="00501341" w:rsidR="00501341" w:rsidP="00501341" w:rsidRDefault="00501341" w14:paraId="50B5EEF8" w14:textId="77777777">
      <w:pPr>
        <w:pStyle w:val="Heading1"/>
      </w:pPr>
      <w:bookmarkStart w:name="_Toc222002459" w:id="2"/>
      <w:r w:rsidRPr="00501341">
        <w:t>Theories underpinning PCC</w:t>
      </w:r>
      <w:bookmarkEnd w:id="2"/>
    </w:p>
    <w:p w:rsidRPr="00501341" w:rsidR="00501341" w:rsidP="00501341" w:rsidRDefault="00501341" w14:paraId="6E9D8193" w14:textId="77777777">
      <w:pPr>
        <w:rPr>
          <w:lang w:val="en-US"/>
        </w:rPr>
      </w:pPr>
      <w:r w:rsidRPr="00501341">
        <w:rPr>
          <w:bCs/>
          <w:lang w:val="en-US"/>
        </w:rPr>
        <w:t>This section argues that theory is useful only if it is used to diagnose what breaks in real pathways and why.</w:t>
      </w:r>
    </w:p>
    <w:p w:rsidRPr="00501341" w:rsidR="00501341" w:rsidP="00501341" w:rsidRDefault="00501341" w14:paraId="2B80CA4E" w14:textId="77777777">
      <w:pPr>
        <w:pStyle w:val="Heading2"/>
      </w:pPr>
      <w:bookmarkStart w:name="_Toc222002460" w:id="3"/>
      <w:r w:rsidRPr="00501341">
        <w:t>Person-Centred Nursing Framework (PCNF)</w:t>
      </w:r>
      <w:bookmarkEnd w:id="3"/>
    </w:p>
    <w:p w:rsidRPr="003168A4" w:rsidR="003168A4" w:rsidP="003168A4" w:rsidRDefault="003168A4" w14:paraId="06DDED61" w14:textId="77777777">
      <w:pPr>
        <w:rPr>
          <w:lang w:val="en-US"/>
        </w:rPr>
      </w:pPr>
      <w:r w:rsidRPr="003168A4">
        <w:rPr>
          <w:lang w:val="en-US"/>
        </w:rPr>
        <w:t>The Person-Centred Nursing Framework (PCNF) by McCormack and McCance (2019) explains PCC through staff prerequisites, the care environment, person-centred processes, and outcomes. The framework is useful because it predicts that good staff values are insufficient if the environment hinders communication and collaboration. It also requires evaluation to move beyond “we did a care plan” to “did it change coordination and outcomes”.</w:t>
      </w:r>
    </w:p>
    <w:p w:rsidRPr="00501341" w:rsidR="00501341" w:rsidP="003168A4" w:rsidRDefault="00D11F15" w14:paraId="0AE849F4" w14:textId="3D65E8D3">
      <w:pPr>
        <w:rPr>
          <w:lang w:val="en-US"/>
        </w:rPr>
      </w:pPr>
      <w:r w:rsidRPr="529CA6F1" w:rsidR="00D11F15">
        <w:rPr>
          <w:lang w:val="en-US"/>
        </w:rPr>
        <w:t xml:space="preserve">Use </w:t>
      </w:r>
      <w:r w:rsidRPr="529CA6F1" w:rsidR="60626524">
        <w:rPr>
          <w:lang w:val="en-US"/>
        </w:rPr>
        <w:t>mini case</w:t>
      </w:r>
      <w:r w:rsidRPr="529CA6F1" w:rsidR="00D11F15">
        <w:rPr>
          <w:lang w:val="en-US"/>
        </w:rPr>
        <w:t xml:space="preserve"> (shared records failure): 23 per cent of 1800 adult English people surveyed nationally said they had </w:t>
      </w:r>
      <w:r w:rsidRPr="529CA6F1" w:rsidR="00D11F15">
        <w:rPr>
          <w:lang w:val="en-US"/>
        </w:rPr>
        <w:t>encountered</w:t>
      </w:r>
      <w:r w:rsidRPr="529CA6F1" w:rsidR="00D11F15">
        <w:rPr>
          <w:lang w:val="en-US"/>
        </w:rPr>
        <w:t xml:space="preserve"> errors or </w:t>
      </w:r>
      <w:r w:rsidRPr="529CA6F1" w:rsidR="1A3B3A19">
        <w:rPr>
          <w:lang w:val="en-US"/>
        </w:rPr>
        <w:t>missing parts</w:t>
      </w:r>
      <w:r w:rsidRPr="529CA6F1" w:rsidR="00D11F15">
        <w:rPr>
          <w:lang w:val="en-US"/>
        </w:rPr>
        <w:t xml:space="preserve"> in their NHS records (Healthwatch England, 2025). This is what is termed by PCNF as an environment failure. </w:t>
      </w:r>
      <w:r w:rsidRPr="529CA6F1" w:rsidR="00D11F15">
        <w:rPr>
          <w:lang w:val="en-US"/>
        </w:rPr>
        <w:t>The staff and carers use more time to check the basics compared to planning ahead, which raises transaction costs.</w:t>
      </w:r>
      <w:r w:rsidRPr="529CA6F1" w:rsidR="00D11F15">
        <w:rPr>
          <w:lang w:val="en-US"/>
        </w:rPr>
        <w:t xml:space="preserve"> </w:t>
      </w:r>
      <w:r w:rsidRPr="529CA6F1" w:rsidR="00D11F15">
        <w:rPr>
          <w:lang w:val="en-US"/>
        </w:rPr>
        <w:t xml:space="preserve"> </w:t>
      </w:r>
      <w:r w:rsidRPr="529CA6F1" w:rsidR="00D11F15">
        <w:rPr>
          <w:lang w:val="en-US"/>
        </w:rPr>
        <w:t>PCC audits which measure quality by counting plans completed can exaggerate quality.</w:t>
      </w:r>
      <w:r w:rsidRPr="529CA6F1" w:rsidR="00D11F15">
        <w:rPr>
          <w:lang w:val="en-US"/>
        </w:rPr>
        <w:t xml:space="preserve"> More effective </w:t>
      </w:r>
      <w:r w:rsidRPr="529CA6F1" w:rsidR="7BF33258">
        <w:rPr>
          <w:lang w:val="en-US"/>
        </w:rPr>
        <w:t>tests are</w:t>
      </w:r>
      <w:r w:rsidRPr="529CA6F1" w:rsidR="00D11F15">
        <w:rPr>
          <w:lang w:val="en-US"/>
        </w:rPr>
        <w:t xml:space="preserve"> sharing, </w:t>
      </w:r>
      <w:bookmarkStart w:name="_Int_lynzpNrC" w:id="1890691176"/>
      <w:r w:rsidRPr="529CA6F1" w:rsidR="00D11F15">
        <w:rPr>
          <w:lang w:val="en-US"/>
        </w:rPr>
        <w:t>accuracy</w:t>
      </w:r>
      <w:bookmarkEnd w:id="1890691176"/>
      <w:r w:rsidRPr="529CA6F1" w:rsidR="00D11F15">
        <w:rPr>
          <w:lang w:val="en-US"/>
        </w:rPr>
        <w:t xml:space="preserve"> and use of plans across </w:t>
      </w:r>
      <w:r w:rsidRPr="529CA6F1" w:rsidR="00D11F15">
        <w:rPr>
          <w:lang w:val="en-US"/>
        </w:rPr>
        <w:t>organisations</w:t>
      </w:r>
      <w:r w:rsidRPr="529CA6F1" w:rsidR="00D11F15">
        <w:rPr>
          <w:lang w:val="en-US"/>
        </w:rPr>
        <w:t>.</w:t>
      </w:r>
    </w:p>
    <w:p w:rsidRPr="00501341" w:rsidR="00501341" w:rsidP="00501341" w:rsidRDefault="00501341" w14:paraId="0C69D376" w14:textId="77777777">
      <w:pPr>
        <w:pStyle w:val="Heading2"/>
      </w:pPr>
      <w:bookmarkStart w:name="_Toc222002461" w:id="4"/>
      <w:r w:rsidRPr="00501341">
        <w:t>Dementia personhood theory</w:t>
      </w:r>
      <w:bookmarkEnd w:id="4"/>
    </w:p>
    <w:p w:rsidRPr="00D11F15" w:rsidR="00D11F15" w:rsidP="00D11F15" w:rsidRDefault="00D11F15" w14:paraId="52E203B9" w14:textId="051DDF0D">
      <w:pPr>
        <w:rPr>
          <w:lang w:val="en-US"/>
        </w:rPr>
      </w:pPr>
      <w:r w:rsidRPr="529CA6F1" w:rsidR="00D11F15">
        <w:rPr>
          <w:lang w:val="en-US"/>
        </w:rPr>
        <w:t xml:space="preserve">Dementia PCC </w:t>
      </w:r>
      <w:r w:rsidRPr="529CA6F1" w:rsidR="232D9EE3">
        <w:rPr>
          <w:lang w:val="en-US"/>
        </w:rPr>
        <w:t>requires</w:t>
      </w:r>
      <w:r w:rsidRPr="529CA6F1" w:rsidR="00D11F15">
        <w:rPr>
          <w:lang w:val="en-US"/>
        </w:rPr>
        <w:t xml:space="preserve"> </w:t>
      </w:r>
      <w:r w:rsidRPr="529CA6F1" w:rsidR="1E79B26C">
        <w:rPr>
          <w:lang w:val="en-US"/>
        </w:rPr>
        <w:t>a personhood</w:t>
      </w:r>
      <w:r w:rsidRPr="529CA6F1" w:rsidR="00D11F15">
        <w:rPr>
          <w:lang w:val="en-US"/>
        </w:rPr>
        <w:t xml:space="preserve"> lens. According to research on dementia, relationships, and life history, personhood is safeguarded, </w:t>
      </w:r>
      <w:r w:rsidRPr="529CA6F1" w:rsidR="00D11F15">
        <w:rPr>
          <w:lang w:val="en-US"/>
        </w:rPr>
        <w:t>whereas</w:t>
      </w:r>
      <w:r w:rsidRPr="529CA6F1" w:rsidR="00D11F15">
        <w:rPr>
          <w:lang w:val="en-US"/>
        </w:rPr>
        <w:t xml:space="preserve"> risk-oriented routines may destroy it despite their good intentions (</w:t>
      </w:r>
      <w:r w:rsidRPr="529CA6F1" w:rsidR="00D11F15">
        <w:rPr>
          <w:lang w:val="en-US"/>
        </w:rPr>
        <w:t>Serbser</w:t>
      </w:r>
      <w:r w:rsidRPr="529CA6F1" w:rsidR="00D11F15">
        <w:rPr>
          <w:lang w:val="en-US"/>
        </w:rPr>
        <w:t>-Koal et al., 2024). This will be a significant community dementia care ethical</w:t>
      </w:r>
      <w:r w:rsidRPr="529CA6F1" w:rsidR="62FB5DD5">
        <w:rPr>
          <w:lang w:val="en-US"/>
        </w:rPr>
        <w:t xml:space="preserve"> </w:t>
      </w:r>
      <w:r w:rsidRPr="529CA6F1" w:rsidR="10560487">
        <w:rPr>
          <w:lang w:val="en-US"/>
        </w:rPr>
        <w:t>problem</w:t>
      </w:r>
      <w:r w:rsidRPr="529CA6F1" w:rsidR="00D11F15">
        <w:rPr>
          <w:lang w:val="en-US"/>
        </w:rPr>
        <w:t>.</w:t>
      </w:r>
      <w:r w:rsidRPr="529CA6F1" w:rsidR="3A682DE9">
        <w:rPr>
          <w:lang w:val="en-US"/>
        </w:rPr>
        <w:t xml:space="preserve"> </w:t>
      </w:r>
      <w:r w:rsidRPr="529CA6F1" w:rsidR="00D11F15">
        <w:rPr>
          <w:lang w:val="en-US"/>
        </w:rPr>
        <w:t xml:space="preserve">Systemic safety may imply </w:t>
      </w:r>
      <w:r w:rsidRPr="529CA6F1" w:rsidR="17AC95C2">
        <w:rPr>
          <w:lang w:val="en-US"/>
        </w:rPr>
        <w:t>constraints</w:t>
      </w:r>
      <w:r w:rsidRPr="529CA6F1" w:rsidR="00D11F15">
        <w:rPr>
          <w:lang w:val="en-US"/>
        </w:rPr>
        <w:t xml:space="preserve">, which may </w:t>
      </w:r>
      <w:r w:rsidRPr="529CA6F1" w:rsidR="357B4C0A">
        <w:rPr>
          <w:lang w:val="en-US"/>
        </w:rPr>
        <w:t>increase</w:t>
      </w:r>
      <w:r w:rsidRPr="529CA6F1" w:rsidR="00D11F15">
        <w:rPr>
          <w:lang w:val="en-US"/>
        </w:rPr>
        <w:t xml:space="preserve"> distress, decrease functionality, and overload carers.</w:t>
      </w:r>
    </w:p>
    <w:p w:rsidRPr="003168A4" w:rsidR="003168A4" w:rsidP="00D11F15" w:rsidRDefault="00D11F15" w14:paraId="43B5B057" w14:textId="55BA95DB">
      <w:pPr>
        <w:rPr>
          <w:lang w:val="en-US"/>
        </w:rPr>
      </w:pPr>
      <w:r w:rsidRPr="529CA6F1" w:rsidR="00D11F15">
        <w:rPr>
          <w:lang w:val="en-US"/>
        </w:rPr>
        <w:t xml:space="preserve">Manipulated </w:t>
      </w:r>
      <w:r w:rsidRPr="529CA6F1" w:rsidR="394A5D46">
        <w:rPr>
          <w:lang w:val="en-US"/>
        </w:rPr>
        <w:t>mini case</w:t>
      </w:r>
      <w:r w:rsidRPr="529CA6F1" w:rsidR="00D11F15">
        <w:rPr>
          <w:lang w:val="en-US"/>
        </w:rPr>
        <w:t xml:space="preserve"> (risk and </w:t>
      </w:r>
      <w:r w:rsidRPr="529CA6F1" w:rsidR="00D11F15">
        <w:rPr>
          <w:lang w:val="en-US"/>
        </w:rPr>
        <w:t>restriction):</w:t>
      </w:r>
      <w:r w:rsidRPr="529CA6F1" w:rsidR="00D11F15">
        <w:rPr>
          <w:lang w:val="en-US"/>
        </w:rPr>
        <w:t xml:space="preserve"> Community response delay will drive families to the emergency department. Such a route can add to confusion and strain on the </w:t>
      </w:r>
      <w:bookmarkStart w:name="_Int_WanTxbMz" w:id="997133416"/>
      <w:r w:rsidRPr="529CA6F1" w:rsidR="00D11F15">
        <w:rPr>
          <w:lang w:val="en-US"/>
        </w:rPr>
        <w:t>carers</w:t>
      </w:r>
      <w:bookmarkEnd w:id="997133416"/>
      <w:r w:rsidRPr="529CA6F1" w:rsidR="00D11F15">
        <w:rPr>
          <w:lang w:val="en-US"/>
        </w:rPr>
        <w:t xml:space="preserve"> but it can </w:t>
      </w:r>
      <w:r w:rsidRPr="529CA6F1" w:rsidR="00D11F15">
        <w:rPr>
          <w:lang w:val="en-US"/>
        </w:rPr>
        <w:t>establish</w:t>
      </w:r>
      <w:r w:rsidRPr="529CA6F1" w:rsidR="00D11F15">
        <w:rPr>
          <w:lang w:val="en-US"/>
        </w:rPr>
        <w:t xml:space="preserve"> as the default "risk management tool. The dementia guidance of NICE (NICE, 2018) </w:t>
      </w:r>
    </w:p>
    <w:p w:rsidRPr="00501341" w:rsidR="00501341" w:rsidP="003168A4" w:rsidRDefault="003168A4" w14:paraId="2C3AD52B" w14:textId="77777777">
      <w:pPr>
        <w:rPr>
          <w:lang w:val="en-US"/>
        </w:rPr>
      </w:pPr>
      <w:r w:rsidRPr="003168A4">
        <w:rPr>
          <w:lang w:val="en-US"/>
        </w:rPr>
        <w:t>Ethics are linked here. PCNF shows systemic flaws, while personhood theory explains why “safe” practices can be harmful.</w:t>
      </w:r>
    </w:p>
    <w:p w:rsidRPr="00501341" w:rsidR="00501341" w:rsidP="00501341" w:rsidRDefault="00501341" w14:paraId="6810AB1C" w14:textId="77777777">
      <w:pPr>
        <w:pStyle w:val="Heading1"/>
      </w:pPr>
      <w:bookmarkStart w:name="_Toc222002462" w:id="5"/>
      <w:r w:rsidRPr="00501341">
        <w:t>Ethical fundamentals in health and social care</w:t>
      </w:r>
      <w:bookmarkEnd w:id="5"/>
    </w:p>
    <w:p w:rsidRPr="00501341" w:rsidR="00501341" w:rsidP="00501341" w:rsidRDefault="00501341" w14:paraId="62813EDD" w14:textId="77777777">
      <w:pPr>
        <w:rPr>
          <w:lang w:val="en-US"/>
        </w:rPr>
      </w:pPr>
      <w:r w:rsidRPr="00501341">
        <w:rPr>
          <w:bCs/>
          <w:lang w:val="en-US"/>
        </w:rPr>
        <w:t>This section argues that ethics in dementia services is mainly about defensible trade-offs, not abstract principles.</w:t>
      </w:r>
    </w:p>
    <w:p w:rsidRPr="003168A4" w:rsidR="003168A4" w:rsidP="003168A4" w:rsidRDefault="003168A4" w14:paraId="1355A17E" w14:textId="781B6B6C">
      <w:pPr>
        <w:rPr>
          <w:lang w:val="en-US"/>
        </w:rPr>
      </w:pPr>
      <w:r w:rsidRPr="0A9DD993" w:rsidR="003168A4">
        <w:rPr>
          <w:lang w:val="en-US"/>
        </w:rPr>
        <w:t>Autonomy needs help making decisions. Communication support, time, and trusted carers help ethical practice start earlier in dementia, where autonomy often becomes a capacity question. I</w:t>
      </w:r>
      <w:r w:rsidRPr="0A9DD993" w:rsidR="1DEA8EC8">
        <w:rPr>
          <w:lang w:val="en-US"/>
        </w:rPr>
        <w:t>ntegrated care system (ICS)</w:t>
      </w:r>
      <w:r w:rsidRPr="0A9DD993" w:rsidR="003168A4">
        <w:rPr>
          <w:lang w:val="en-US"/>
        </w:rPr>
        <w:t xml:space="preserve"> assessment by the Care Quality Commission (CQC) </w:t>
      </w:r>
      <w:r w:rsidRPr="0A9DD993" w:rsidR="003168A4">
        <w:rPr>
          <w:lang w:val="en-US"/>
        </w:rPr>
        <w:t>emphasises</w:t>
      </w:r>
      <w:r w:rsidRPr="0A9DD993" w:rsidR="003168A4">
        <w:rPr>
          <w:lang w:val="en-US"/>
        </w:rPr>
        <w:t xml:space="preserve"> quality, safety, and integration, implicitly expecting systems to manage these trade-offs across agencies (CQC, 2023). </w:t>
      </w:r>
    </w:p>
    <w:p w:rsidRPr="003168A4" w:rsidR="003168A4" w:rsidP="003168A4" w:rsidRDefault="003168A4" w14:paraId="57212641" w14:textId="789322F1">
      <w:pPr>
        <w:rPr>
          <w:lang w:val="en-US"/>
        </w:rPr>
      </w:pPr>
      <w:r w:rsidRPr="529CA6F1" w:rsidR="0DACAD22">
        <w:rPr>
          <w:lang w:val="en-US"/>
        </w:rPr>
        <w:t>Benefits</w:t>
      </w:r>
      <w:r w:rsidRPr="529CA6F1" w:rsidR="003168A4">
        <w:rPr>
          <w:lang w:val="en-US"/>
        </w:rPr>
        <w:t xml:space="preserve"> must exceed good intentions. Here, </w:t>
      </w:r>
      <w:r w:rsidRPr="529CA6F1" w:rsidR="23A6A314">
        <w:rPr>
          <w:lang w:val="en-US"/>
        </w:rPr>
        <w:t>evidence of</w:t>
      </w:r>
      <w:r w:rsidRPr="529CA6F1" w:rsidR="003168A4">
        <w:rPr>
          <w:lang w:val="en-US"/>
        </w:rPr>
        <w:t xml:space="preserve"> debate matters. Systematic reviews show that integrated care improves satisfaction and perceived quality more than </w:t>
      </w:r>
      <w:r w:rsidRPr="529CA6F1" w:rsidR="003168A4">
        <w:rPr>
          <w:lang w:val="en-US"/>
        </w:rPr>
        <w:t>utilisation</w:t>
      </w:r>
      <w:r w:rsidRPr="529CA6F1" w:rsidR="003168A4">
        <w:rPr>
          <w:lang w:val="en-US"/>
        </w:rPr>
        <w:t xml:space="preserve"> or cost, so savings claims should be cautious and conditional (Baxter et al., 2018). </w:t>
      </w:r>
    </w:p>
    <w:p w:rsidRPr="003168A4" w:rsidR="003168A4" w:rsidP="003168A4" w:rsidRDefault="003168A4" w14:paraId="2DC57065" w14:textId="77777777">
      <w:pPr>
        <w:rPr>
          <w:lang w:val="en-US"/>
        </w:rPr>
      </w:pPr>
      <w:r w:rsidRPr="003168A4">
        <w:rPr>
          <w:lang w:val="en-US"/>
        </w:rPr>
        <w:t>Non-maleficence is important in communication and transitions. Workaround communication and record gaps cause harm. Poor interoperability can lead to unsafe clinical coordination, even when staff use messaging apps (Financial Times, 2024). This does not affect staff morality. Governance and infrastructure failed.</w:t>
      </w:r>
    </w:p>
    <w:p w:rsidRPr="00501341" w:rsidR="00501341" w:rsidP="003168A4" w:rsidRDefault="003168A4" w14:paraId="0A7591EF" w14:textId="77777777">
      <w:pPr>
        <w:rPr>
          <w:lang w:val="en-US"/>
        </w:rPr>
      </w:pPr>
      <w:r w:rsidRPr="003168A4">
        <w:rPr>
          <w:lang w:val="en-US"/>
        </w:rPr>
        <w:t>Justice means equal PCC access. CQC expects ICSs to address systemic inequalities like digital exclusion, language barriers, and unequal VCSE provision (CQC, 2023). This connects ethics to commissioning. If only some localities receive navigation and carer support, “choice” becomes a postcode lottery. The next section examines how PW mitigates or amplifies ethical risks.</w:t>
      </w:r>
    </w:p>
    <w:p w:rsidRPr="00501341" w:rsidR="00501341" w:rsidP="00501341" w:rsidRDefault="00501341" w14:paraId="5B6C3CFD" w14:textId="2959183D">
      <w:pPr>
        <w:pStyle w:val="Heading1"/>
        <w:rPr/>
      </w:pPr>
      <w:bookmarkStart w:name="_Toc222002463" w:id="6"/>
      <w:r w:rsidR="00501341">
        <w:rPr/>
        <w:t xml:space="preserve">Partnership </w:t>
      </w:r>
      <w:r w:rsidR="70D722DB">
        <w:rPr/>
        <w:t>working</w:t>
      </w:r>
      <w:r w:rsidR="00501341">
        <w:rPr/>
        <w:t xml:space="preserve"> value, risks, and evidence</w:t>
      </w:r>
      <w:bookmarkEnd w:id="6"/>
    </w:p>
    <w:p w:rsidRPr="00501341" w:rsidR="00501341" w:rsidP="00501341" w:rsidRDefault="00501341" w14:paraId="626C9478" w14:textId="6057B4EF">
      <w:pPr>
        <w:rPr>
          <w:lang w:val="en-US"/>
        </w:rPr>
      </w:pPr>
      <w:r w:rsidRPr="0A9DD993" w:rsidR="00501341">
        <w:rPr>
          <w:lang w:val="en-US"/>
        </w:rPr>
        <w:t xml:space="preserve">This section argues that PW can improve continuity, but it can also add complexity and </w:t>
      </w:r>
      <w:r w:rsidRPr="0A9DD993" w:rsidR="254BE4CF">
        <w:rPr>
          <w:lang w:val="en-US"/>
        </w:rPr>
        <w:t>weaken</w:t>
      </w:r>
      <w:r w:rsidRPr="0A9DD993" w:rsidR="00501341">
        <w:rPr>
          <w:lang w:val="en-US"/>
        </w:rPr>
        <w:t xml:space="preserve"> accountability unless it is designed and governed well.</w:t>
      </w:r>
    </w:p>
    <w:p w:rsidRPr="00D11F15" w:rsidR="00D11F15" w:rsidP="00D11F15" w:rsidRDefault="00D11F15" w14:paraId="7A88A245" w14:textId="038191AB">
      <w:pPr>
        <w:rPr>
          <w:lang w:val="en-US"/>
        </w:rPr>
      </w:pPr>
      <w:r w:rsidRPr="529CA6F1" w:rsidR="00D11F15">
        <w:rPr>
          <w:lang w:val="en-US"/>
        </w:rPr>
        <w:t xml:space="preserve">Partnership working (PW) in an ICS entails the planning and review of partnership working in primary care, community services, acute care, adult social care, and the VCSE sector with carers (The King's Fund, 2024). PW claims require evidence. The effect on </w:t>
      </w:r>
      <w:r w:rsidRPr="529CA6F1" w:rsidR="00D11F15">
        <w:rPr>
          <w:lang w:val="en-US"/>
        </w:rPr>
        <w:t>utilisation</w:t>
      </w:r>
      <w:r w:rsidRPr="529CA6F1" w:rsidR="00D11F15">
        <w:rPr>
          <w:lang w:val="en-US"/>
        </w:rPr>
        <w:t xml:space="preserve"> and cost is mixed in Baxter et al. (2018), which makes it difficult to argue that partnership lowers admissions. This </w:t>
      </w:r>
      <w:r w:rsidRPr="529CA6F1" w:rsidR="00D11F15">
        <w:rPr>
          <w:lang w:val="en-US"/>
        </w:rPr>
        <w:t>doesn't</w:t>
      </w:r>
      <w:r w:rsidRPr="529CA6F1" w:rsidR="00D11F15">
        <w:rPr>
          <w:lang w:val="en-US"/>
        </w:rPr>
        <w:t xml:space="preserve"> mean PW fails. Therefore, leadership stability,</w:t>
      </w:r>
      <w:r w:rsidRPr="529CA6F1" w:rsidR="2465590D">
        <w:rPr>
          <w:lang w:val="en-US"/>
        </w:rPr>
        <w:t xml:space="preserve"> </w:t>
      </w:r>
      <w:bookmarkStart w:name="_Int_IhCG7jO8" w:id="1617736966"/>
      <w:r w:rsidRPr="529CA6F1" w:rsidR="2465590D">
        <w:rPr>
          <w:lang w:val="en-US"/>
        </w:rPr>
        <w:t>agreement</w:t>
      </w:r>
      <w:bookmarkEnd w:id="1617736966"/>
      <w:r w:rsidRPr="529CA6F1" w:rsidR="00D11F15">
        <w:rPr>
          <w:lang w:val="en-US"/>
        </w:rPr>
        <w:t xml:space="preserve"> and data end to end influence results.</w:t>
      </w:r>
    </w:p>
    <w:p w:rsidRPr="003168A4" w:rsidR="003168A4" w:rsidP="00D11F15" w:rsidRDefault="00D11F15" w14:paraId="66C639BC" w14:textId="4F039709">
      <w:pPr>
        <w:rPr>
          <w:lang w:val="en-US"/>
        </w:rPr>
      </w:pPr>
      <w:r w:rsidRPr="529CA6F1" w:rsidR="00D11F15">
        <w:rPr>
          <w:lang w:val="en-US"/>
        </w:rPr>
        <w:t xml:space="preserve">PW is also a risk on </w:t>
      </w:r>
      <w:r w:rsidRPr="529CA6F1" w:rsidR="00D11F15">
        <w:rPr>
          <w:lang w:val="en-US"/>
        </w:rPr>
        <w:t>organisation</w:t>
      </w:r>
      <w:r w:rsidRPr="529CA6F1" w:rsidR="00D11F15">
        <w:rPr>
          <w:lang w:val="en-US"/>
        </w:rPr>
        <w:t xml:space="preserve">. The King’s Fund (2024) suggests that accountability arrangements are likely to hamper system working because they promote </w:t>
      </w:r>
      <w:r w:rsidRPr="529CA6F1" w:rsidR="00D11F15">
        <w:rPr>
          <w:lang w:val="en-US"/>
        </w:rPr>
        <w:t>organisational</w:t>
      </w:r>
      <w:r w:rsidRPr="529CA6F1" w:rsidR="00D11F15">
        <w:rPr>
          <w:lang w:val="en-US"/>
        </w:rPr>
        <w:t xml:space="preserve"> </w:t>
      </w:r>
      <w:r w:rsidRPr="529CA6F1" w:rsidR="696357CD">
        <w:rPr>
          <w:lang w:val="en-US"/>
        </w:rPr>
        <w:t>self-</w:t>
      </w:r>
      <w:r w:rsidRPr="529CA6F1" w:rsidR="72411EA7">
        <w:rPr>
          <w:lang w:val="en-US"/>
        </w:rPr>
        <w:t>defense</w:t>
      </w:r>
      <w:r w:rsidRPr="529CA6F1" w:rsidR="00D11F15">
        <w:rPr>
          <w:lang w:val="en-US"/>
        </w:rPr>
        <w:t xml:space="preserve">. The requirement of integrating in the long term and the need to focus on the immediate performance problems result in </w:t>
      </w:r>
      <w:r w:rsidRPr="529CA6F1" w:rsidR="00D11F15">
        <w:rPr>
          <w:lang w:val="en-US"/>
        </w:rPr>
        <w:t>prioritisation</w:t>
      </w:r>
      <w:r w:rsidRPr="529CA6F1" w:rsidR="00D11F15">
        <w:rPr>
          <w:lang w:val="en-US"/>
        </w:rPr>
        <w:t xml:space="preserve"> conflict among ICS leaders (NHS Confederation, 2024).</w:t>
      </w:r>
      <w:r w:rsidRPr="529CA6F1" w:rsidR="003168A4">
        <w:rPr>
          <w:lang w:val="en-US"/>
        </w:rPr>
        <w:t xml:space="preserve"> </w:t>
      </w:r>
    </w:p>
    <w:p w:rsidRPr="00501341" w:rsidR="00501341" w:rsidP="003168A4" w:rsidRDefault="003168A4" w14:paraId="5DA1C71F" w14:textId="77777777">
      <w:pPr>
        <w:rPr>
          <w:lang w:val="en-US"/>
        </w:rPr>
      </w:pPr>
      <w:r w:rsidRPr="003168A4">
        <w:rPr>
          <w:lang w:val="en-US"/>
        </w:rPr>
        <w:t>Handover quality stresses PW in dementia pathways. Weak handovers are linked to errors, supporting standardised transitions as a safety intervention rather than an administrative burden (Joint Commission Journal on Quality and Patient Safety, 2022). This relates to commissioning business. Standardisation requires training and digital change, but it reduces duplication and harm. Next, we demonstrate this in a real ICS dementia pathway.</w:t>
      </w:r>
    </w:p>
    <w:p w:rsidRPr="00501341" w:rsidR="00501341" w:rsidP="00501341" w:rsidRDefault="00501341" w14:paraId="2260EAB2" w14:textId="2426B7AA">
      <w:pPr>
        <w:pStyle w:val="Heading1"/>
        <w:rPr/>
      </w:pPr>
      <w:bookmarkStart w:name="_Toc222002464" w:id="7"/>
      <w:r w:rsidR="00501341">
        <w:rPr/>
        <w:t xml:space="preserve">Application in an </w:t>
      </w:r>
      <w:r w:rsidR="576989D4">
        <w:rPr/>
        <w:t>Integrated Care</w:t>
      </w:r>
      <w:r w:rsidR="1D3F33F9">
        <w:rPr/>
        <w:t xml:space="preserve"> System (I</w:t>
      </w:r>
      <w:r w:rsidR="00501341">
        <w:rPr/>
        <w:t>CS</w:t>
      </w:r>
      <w:r w:rsidR="678F3D96">
        <w:rPr/>
        <w:t>)</w:t>
      </w:r>
      <w:r w:rsidR="00501341">
        <w:rPr/>
        <w:t xml:space="preserve"> community dementia pathway</w:t>
      </w:r>
      <w:bookmarkEnd w:id="7"/>
    </w:p>
    <w:p w:rsidRPr="00501341" w:rsidR="00501341" w:rsidP="00501341" w:rsidRDefault="00501341" w14:paraId="7B1880DB" w14:textId="77777777">
      <w:pPr>
        <w:rPr>
          <w:lang w:val="en-US"/>
        </w:rPr>
      </w:pPr>
      <w:r w:rsidRPr="00501341">
        <w:rPr>
          <w:bCs/>
          <w:lang w:val="en-US"/>
        </w:rPr>
        <w:t>This section argues that “practice understanding” is shown by describing who does what, then judging gaps using theory and evidence.</w:t>
      </w:r>
    </w:p>
    <w:p w:rsidRPr="003168A4" w:rsidR="003168A4" w:rsidP="003168A4" w:rsidRDefault="003168A4" w14:paraId="76145BB9" w14:textId="77777777">
      <w:pPr>
        <w:rPr>
          <w:lang w:val="en-US"/>
        </w:rPr>
      </w:pPr>
      <w:r w:rsidRPr="003168A4">
        <w:rPr>
          <w:lang w:val="en-US"/>
        </w:rPr>
        <w:t>A typical ICS community dementia pathway includes referral, assessment, diagnosis, post-diagnosis support, ongoing review, crisis response, and palliative and end-of-life coordination (NICE, 2018). GP, memory service clinician, community nurse, social worker, care coordinator, and VCSE/carers' support worker are key roles. PW isn't extra. These roles avoid duplication and manage shared risk using it.</w:t>
      </w:r>
    </w:p>
    <w:p w:rsidRPr="003168A4" w:rsidR="003168A4" w:rsidP="003168A4" w:rsidRDefault="003168A4" w14:paraId="060FC651" w14:textId="530D3E39">
      <w:pPr>
        <w:rPr>
          <w:lang w:val="en-US"/>
        </w:rPr>
      </w:pPr>
      <w:r w:rsidRPr="0A9DD993" w:rsidR="003168A4">
        <w:rPr>
          <w:lang w:val="en-US"/>
        </w:rPr>
        <w:t xml:space="preserve">Example of system </w:t>
      </w:r>
      <w:r w:rsidRPr="0A9DD993" w:rsidR="003168A4">
        <w:rPr>
          <w:lang w:val="en-US"/>
        </w:rPr>
        <w:t>standardisation</w:t>
      </w:r>
      <w:r w:rsidRPr="0A9DD993" w:rsidR="003168A4">
        <w:rPr>
          <w:lang w:val="en-US"/>
        </w:rPr>
        <w:t xml:space="preserve">: Greater Manchester publishes dementia quality standards and progress reporting to reduce local variation. Shared expectations, measurement, and place-level improvement cycles are a practical PW mechanism (Dementia United, 2025). Governance is strong. </w:t>
      </w:r>
      <w:r w:rsidRPr="0A9DD993" w:rsidR="1EB0270A">
        <w:rPr>
          <w:lang w:val="en-US"/>
        </w:rPr>
        <w:t>The evidence</w:t>
      </w:r>
      <w:r w:rsidRPr="0A9DD993" w:rsidR="003168A4">
        <w:rPr>
          <w:lang w:val="en-US"/>
        </w:rPr>
        <w:t xml:space="preserve"> type is weak. </w:t>
      </w:r>
      <w:r w:rsidRPr="0A9DD993" w:rsidR="003168A4">
        <w:rPr>
          <w:lang w:val="en-US"/>
        </w:rPr>
        <w:t>Progress reports can demonstrate implementation and variation reduction, but they cannot prove patient-level causal effects without better evaluation design.</w:t>
      </w:r>
      <w:r w:rsidRPr="0A9DD993" w:rsidR="003168A4">
        <w:rPr>
          <w:lang w:val="en-US"/>
        </w:rPr>
        <w:t xml:space="preserve"> Commissioners should </w:t>
      </w:r>
      <w:r w:rsidRPr="0A9DD993" w:rsidR="003168A4">
        <w:rPr>
          <w:lang w:val="en-US"/>
        </w:rPr>
        <w:t>monitor</w:t>
      </w:r>
      <w:r w:rsidRPr="0A9DD993" w:rsidR="003168A4">
        <w:rPr>
          <w:lang w:val="en-US"/>
        </w:rPr>
        <w:t xml:space="preserve"> experience and carer outcomes, not just activity, to pair standards.</w:t>
      </w:r>
    </w:p>
    <w:p w:rsidRPr="003168A4" w:rsidR="003168A4" w:rsidP="003168A4" w:rsidRDefault="003168A4" w14:paraId="2637B984" w14:textId="77777777">
      <w:pPr>
        <w:rPr>
          <w:lang w:val="en-US"/>
        </w:rPr>
      </w:pPr>
      <w:r w:rsidRPr="003168A4">
        <w:rPr>
          <w:lang w:val="en-US"/>
        </w:rPr>
        <w:t>Example of specialist carer support: Despite not being a randomised controlled trial, Admiral Nurses in primary care improve professional confidence and carer experience, according to Dementia UK (2024). Do not reject the model. The recommendation is to commission with evaluation, including crisis admission and delayed residential placement cost-offset tracking.</w:t>
      </w:r>
    </w:p>
    <w:p w:rsidRPr="00501341" w:rsidR="00501341" w:rsidP="003168A4" w:rsidRDefault="003168A4" w14:paraId="42D4B73F" w14:textId="77777777">
      <w:pPr>
        <w:rPr>
          <w:lang w:val="en-US"/>
        </w:rPr>
      </w:pPr>
      <w:r w:rsidRPr="003168A4">
        <w:rPr>
          <w:lang w:val="en-US"/>
        </w:rPr>
        <w:t>This practical perspective reveals the main flaw in many low-scoring reports. They list frameworks and tools but do not demonstrate how they affect workflow, decision rights, and accountability. Next, practice is linked to policy and law.</w:t>
      </w:r>
    </w:p>
    <w:p w:rsidRPr="00501341" w:rsidR="00501341" w:rsidP="00501341" w:rsidRDefault="00501341" w14:paraId="7586D1DC" w14:textId="77777777">
      <w:pPr>
        <w:pStyle w:val="Heading1"/>
      </w:pPr>
      <w:bookmarkStart w:name="_Toc222002465" w:id="8"/>
      <w:r w:rsidRPr="00501341">
        <w:t>Policy and legislation for PCC and PW</w:t>
      </w:r>
      <w:bookmarkEnd w:id="8"/>
    </w:p>
    <w:p w:rsidRPr="00501341" w:rsidR="00501341" w:rsidP="00501341" w:rsidRDefault="00501341" w14:paraId="502DED4A" w14:textId="0D344A79">
      <w:pPr>
        <w:rPr>
          <w:lang w:val="en-US"/>
        </w:rPr>
      </w:pPr>
      <w:r w:rsidRPr="0A9DD993" w:rsidR="00501341">
        <w:rPr>
          <w:lang w:val="en-US"/>
        </w:rPr>
        <w:t xml:space="preserve">This section argues that policy </w:t>
      </w:r>
      <w:r w:rsidRPr="0A9DD993" w:rsidR="646A7372">
        <w:rPr>
          <w:lang w:val="en-US"/>
        </w:rPr>
        <w:t>sets out</w:t>
      </w:r>
      <w:r w:rsidRPr="0A9DD993" w:rsidR="00501341">
        <w:rPr>
          <w:lang w:val="en-US"/>
        </w:rPr>
        <w:t xml:space="preserve"> duties, but implementation depends on whether commissioners translate duties into contracts, data rules, and audit.</w:t>
      </w:r>
    </w:p>
    <w:p w:rsidRPr="003168A4" w:rsidR="003168A4" w:rsidP="003168A4" w:rsidRDefault="003168A4" w14:paraId="0CF52034" w14:textId="40360988">
      <w:pPr>
        <w:rPr>
          <w:lang w:val="en-US"/>
        </w:rPr>
      </w:pPr>
      <w:r w:rsidRPr="0A9DD993" w:rsidR="003168A4">
        <w:rPr>
          <w:lang w:val="en-US"/>
        </w:rPr>
        <w:t xml:space="preserve">The Health and Care Act 2022 </w:t>
      </w:r>
      <w:r w:rsidRPr="0A9DD993" w:rsidR="003168A4">
        <w:rPr>
          <w:lang w:val="en-US"/>
        </w:rPr>
        <w:t>legitimised</w:t>
      </w:r>
      <w:r w:rsidRPr="0A9DD993" w:rsidR="003168A4">
        <w:rPr>
          <w:lang w:val="en-US"/>
        </w:rPr>
        <w:t xml:space="preserve"> ICSs and expanded system responsibilities, including quality assessment (CQC, 2023). CQC interim guidance states that ICS assessment </w:t>
      </w:r>
      <w:r w:rsidRPr="0A9DD993" w:rsidR="4542AABA">
        <w:rPr>
          <w:lang w:val="en-US"/>
        </w:rPr>
        <w:t>priorities</w:t>
      </w:r>
      <w:r w:rsidRPr="0A9DD993" w:rsidR="003168A4">
        <w:rPr>
          <w:lang w:val="en-US"/>
        </w:rPr>
        <w:t xml:space="preserve"> quality and safety, integration, and leadership, creating a measurable and inspectable PW policy driver (CQC, 2023). </w:t>
      </w:r>
    </w:p>
    <w:p w:rsidRPr="00501341" w:rsidR="00501341" w:rsidP="003168A4" w:rsidRDefault="003168A4" w14:paraId="32E12915" w14:textId="77777777">
      <w:pPr>
        <w:rPr>
          <w:lang w:val="en-US"/>
        </w:rPr>
      </w:pPr>
      <w:r w:rsidRPr="003168A4">
        <w:rPr>
          <w:lang w:val="en-US"/>
        </w:rPr>
        <w:t>Policy influences operational expectations. According to The King's Fund (2024), partnership success requires accountability arrangements that reinforce system goals rather than organisational silos, which includes contracting and performance management as part of “care quality” Information sharing must follow data protection and direct care guidelines. Real-world record inaccuracies support the idea that interoperability should include data quality and reconciliation, not just system connectivity (Healthwatch England, 2025).</w:t>
      </w:r>
      <w:r w:rsidRPr="00501341" w:rsidR="00501341">
        <w:rPr>
          <w:lang w:val="en-US"/>
        </w:rPr>
        <w:t xml:space="preserve"> </w:t>
      </w:r>
    </w:p>
    <w:p w:rsidRPr="00501341" w:rsidR="00501341" w:rsidP="00501341" w:rsidRDefault="00501341" w14:paraId="02F1DB55" w14:textId="77777777">
      <w:pPr>
        <w:rPr>
          <w:lang w:val="en-US"/>
        </w:rPr>
      </w:pPr>
      <w:r w:rsidRPr="00501341">
        <w:rPr>
          <w:lang w:val="en-US"/>
        </w:rPr>
        <w:t>This policy analysis leads to recommendations that are specific, lawful, and measurable.</w:t>
      </w:r>
    </w:p>
    <w:p w:rsidRPr="00501341" w:rsidR="00501341" w:rsidP="00501341" w:rsidRDefault="00501341" w14:paraId="1377F10C" w14:textId="77777777">
      <w:pPr>
        <w:pStyle w:val="Heading1"/>
      </w:pPr>
      <w:bookmarkStart w:name="_Toc222002466" w:id="9"/>
      <w:r w:rsidRPr="00501341">
        <w:t>Recommendations for development in the United Kingdom</w:t>
      </w:r>
      <w:bookmarkEnd w:id="9"/>
    </w:p>
    <w:p w:rsidRPr="00501341" w:rsidR="00501341" w:rsidP="00501341" w:rsidRDefault="00501341" w14:paraId="7B67106E" w14:textId="77777777">
      <w:pPr>
        <w:rPr>
          <w:lang w:val="en-US"/>
        </w:rPr>
      </w:pPr>
      <w:r w:rsidRPr="00501341">
        <w:rPr>
          <w:bCs/>
          <w:lang w:val="en-US"/>
        </w:rPr>
        <w:t>This section argues that recommendations score well only when they specify operational action, legal or policy basis, measurable indicators, and likely costs and limits.</w:t>
      </w:r>
    </w:p>
    <w:p w:rsidRPr="00501341" w:rsidR="00501341" w:rsidP="00501341" w:rsidRDefault="00501341" w14:paraId="3BEE5036" w14:textId="77777777">
      <w:pPr>
        <w:numPr>
          <w:ilvl w:val="0"/>
          <w:numId w:val="13"/>
        </w:numPr>
        <w:rPr>
          <w:lang w:val="en-US"/>
        </w:rPr>
      </w:pPr>
      <w:r w:rsidRPr="00501341">
        <w:rPr>
          <w:b/>
          <w:bCs/>
          <w:lang w:val="en-US"/>
        </w:rPr>
        <w:t>Commission one shared personalised plan across partners</w:t>
      </w:r>
    </w:p>
    <w:p w:rsidR="00B53D8A" w:rsidP="00501341" w:rsidRDefault="00501341" w14:paraId="4087F205" w14:textId="77777777">
      <w:pPr>
        <w:ind w:left="360"/>
        <w:rPr>
          <w:lang w:val="en-US"/>
        </w:rPr>
      </w:pPr>
      <w:r w:rsidRPr="00501341">
        <w:rPr>
          <w:b/>
          <w:bCs/>
          <w:lang w:val="en-US"/>
        </w:rPr>
        <w:t>Action:</w:t>
      </w:r>
      <w:r w:rsidRPr="00501341">
        <w:rPr>
          <w:lang w:val="en-US"/>
        </w:rPr>
        <w:t xml:space="preserve"> Require a single Personalised Care and Support Plan (PCSP) shared across NHS, local authority, and VCSE partners, with a named coordinator and review date.</w:t>
      </w:r>
    </w:p>
    <w:p w:rsidR="00501341" w:rsidP="00501341" w:rsidRDefault="00501341" w14:paraId="3A5C91D1" w14:textId="4018DE89">
      <w:pPr>
        <w:ind w:left="360"/>
        <w:rPr>
          <w:lang w:val="en-US"/>
        </w:rPr>
      </w:pPr>
      <w:r w:rsidRPr="529CA6F1" w:rsidR="00501341">
        <w:rPr>
          <w:b w:val="1"/>
          <w:bCs w:val="1"/>
          <w:lang w:val="en-US"/>
        </w:rPr>
        <w:t>Basis:</w:t>
      </w:r>
      <w:r w:rsidRPr="529CA6F1" w:rsidR="00501341">
        <w:rPr>
          <w:lang w:val="en-US"/>
        </w:rPr>
        <w:t xml:space="preserve"> ICS policy </w:t>
      </w:r>
      <w:r w:rsidRPr="529CA6F1" w:rsidR="1AB72133">
        <w:rPr>
          <w:lang w:val="en-US"/>
        </w:rPr>
        <w:t>focuses</w:t>
      </w:r>
      <w:r w:rsidRPr="529CA6F1" w:rsidR="00501341">
        <w:rPr>
          <w:lang w:val="en-US"/>
        </w:rPr>
        <w:t xml:space="preserve"> on integration and CQC’s integration theme in system assessment. </w:t>
      </w:r>
      <w:r>
        <w:br/>
      </w:r>
      <w:r w:rsidRPr="529CA6F1" w:rsidR="00501341">
        <w:rPr>
          <w:b w:val="1"/>
          <w:bCs w:val="1"/>
          <w:lang w:val="en-US"/>
        </w:rPr>
        <w:t>Measure:</w:t>
      </w:r>
      <w:r w:rsidRPr="529CA6F1" w:rsidR="00501341">
        <w:rPr>
          <w:lang w:val="en-US"/>
        </w:rPr>
        <w:t xml:space="preserve"> Monthly PCSP completion, review timeliness, and escalation plan presence; quarterly experience testing.</w:t>
      </w:r>
    </w:p>
    <w:p w:rsidRPr="00501341" w:rsidR="00501341" w:rsidP="00501341" w:rsidRDefault="00501341" w14:paraId="0C52DD44" w14:textId="77777777">
      <w:pPr>
        <w:ind w:left="360"/>
        <w:rPr>
          <w:lang w:val="en-US"/>
        </w:rPr>
      </w:pPr>
      <w:r w:rsidRPr="00501341">
        <w:rPr>
          <w:b/>
          <w:bCs/>
          <w:lang w:val="en-US"/>
        </w:rPr>
        <w:t>Cost and limits:</w:t>
      </w:r>
      <w:r w:rsidRPr="00501341">
        <w:rPr>
          <w:lang w:val="en-US"/>
        </w:rPr>
        <w:t xml:space="preserve"> Upfront time and training cost; risk of form-filling if audits measure completion only. Mitigate by auditing quality fields and use in crises.</w:t>
      </w:r>
    </w:p>
    <w:p w:rsidRPr="00501341" w:rsidR="00501341" w:rsidP="00501341" w:rsidRDefault="00501341" w14:paraId="61FF211D" w14:textId="77777777">
      <w:pPr>
        <w:numPr>
          <w:ilvl w:val="0"/>
          <w:numId w:val="13"/>
        </w:numPr>
        <w:rPr>
          <w:lang w:val="en-US"/>
        </w:rPr>
      </w:pPr>
      <w:r w:rsidRPr="00501341">
        <w:rPr>
          <w:b/>
          <w:bCs/>
          <w:lang w:val="en-US"/>
        </w:rPr>
        <w:t>Protect reliable handovers and transitions as a safety intervention</w:t>
      </w:r>
    </w:p>
    <w:p w:rsidR="00501341" w:rsidP="00501341" w:rsidRDefault="00501341" w14:paraId="13A64435" w14:textId="77777777">
      <w:pPr>
        <w:ind w:left="360"/>
        <w:rPr>
          <w:lang w:val="en-US"/>
        </w:rPr>
      </w:pPr>
      <w:r w:rsidRPr="00501341">
        <w:rPr>
          <w:b/>
          <w:bCs/>
          <w:lang w:val="en-US"/>
        </w:rPr>
        <w:t>Action:</w:t>
      </w:r>
      <w:r w:rsidRPr="00501341">
        <w:rPr>
          <w:lang w:val="en-US"/>
        </w:rPr>
        <w:t xml:space="preserve"> Standardise handover templates for dementia transitions, including baseline cognition, medicines, carer status, and contingency plans.</w:t>
      </w:r>
    </w:p>
    <w:p w:rsidR="00501341" w:rsidP="00501341" w:rsidRDefault="00501341" w14:paraId="6C936398" w14:textId="77777777">
      <w:pPr>
        <w:ind w:left="360"/>
        <w:rPr>
          <w:lang w:val="en-US"/>
        </w:rPr>
      </w:pPr>
      <w:r w:rsidRPr="00501341">
        <w:rPr>
          <w:b/>
          <w:bCs/>
          <w:lang w:val="en-US"/>
        </w:rPr>
        <w:t>Basis:</w:t>
      </w:r>
      <w:r w:rsidRPr="00501341">
        <w:rPr>
          <w:lang w:val="en-US"/>
        </w:rPr>
        <w:t xml:space="preserve"> Evidence links structured transitions to safer care and fewer errors (Joint Commission Journal on Quality and Patient Safety, 2022). </w:t>
      </w:r>
    </w:p>
    <w:p w:rsidR="00501341" w:rsidP="00501341" w:rsidRDefault="00501341" w14:paraId="6D609CDA" w14:textId="77777777">
      <w:pPr>
        <w:ind w:left="360"/>
        <w:rPr>
          <w:lang w:val="en-US"/>
        </w:rPr>
      </w:pPr>
      <w:r w:rsidRPr="00501341">
        <w:rPr>
          <w:b/>
          <w:bCs/>
          <w:lang w:val="en-US"/>
        </w:rPr>
        <w:t>Measure:</w:t>
      </w:r>
      <w:r w:rsidRPr="00501341">
        <w:rPr>
          <w:lang w:val="en-US"/>
        </w:rPr>
        <w:t xml:space="preserve"> Transition-related incident rates; re-assessment duplication counts; unplanned re-attendance within 7–30 days.</w:t>
      </w:r>
    </w:p>
    <w:p w:rsidRPr="00501341" w:rsidR="00501341" w:rsidP="00501341" w:rsidRDefault="00501341" w14:paraId="2E6E40EC" w14:textId="77777777">
      <w:pPr>
        <w:ind w:left="360"/>
        <w:rPr>
          <w:lang w:val="en-US"/>
        </w:rPr>
      </w:pPr>
      <w:r w:rsidRPr="00501341">
        <w:rPr>
          <w:b/>
          <w:bCs/>
          <w:lang w:val="en-US"/>
        </w:rPr>
        <w:t>Cost and limits:</w:t>
      </w:r>
      <w:r w:rsidRPr="00501341">
        <w:rPr>
          <w:lang w:val="en-US"/>
        </w:rPr>
        <w:t xml:space="preserve"> Time cost in busy services; reduce burden through digital auto-population and role clarity.</w:t>
      </w:r>
    </w:p>
    <w:p w:rsidRPr="00501341" w:rsidR="00501341" w:rsidP="00501341" w:rsidRDefault="00501341" w14:paraId="56BD5C99" w14:textId="77777777">
      <w:pPr>
        <w:numPr>
          <w:ilvl w:val="0"/>
          <w:numId w:val="13"/>
        </w:numPr>
        <w:rPr>
          <w:lang w:val="en-US"/>
        </w:rPr>
      </w:pPr>
      <w:r w:rsidRPr="00501341">
        <w:rPr>
          <w:b/>
          <w:bCs/>
          <w:lang w:val="en-US"/>
        </w:rPr>
        <w:t>Fund VCSE participation as core infrastructure, not short pilots</w:t>
      </w:r>
    </w:p>
    <w:p w:rsidR="00501341" w:rsidP="00501341" w:rsidRDefault="00501341" w14:paraId="399642A2" w14:textId="77777777">
      <w:pPr>
        <w:rPr>
          <w:lang w:val="en-US"/>
        </w:rPr>
      </w:pPr>
      <w:r w:rsidRPr="00501341">
        <w:rPr>
          <w:b/>
          <w:bCs/>
          <w:lang w:val="en-US"/>
        </w:rPr>
        <w:t>Action:</w:t>
      </w:r>
      <w:r w:rsidRPr="00501341">
        <w:rPr>
          <w:lang w:val="en-US"/>
        </w:rPr>
        <w:t xml:space="preserve"> Provide multi-year VCSE infrastructure funding for navigation, carer support, and culturally appropriate outreach.</w:t>
      </w:r>
    </w:p>
    <w:p w:rsidR="00501341" w:rsidP="00501341" w:rsidRDefault="00501341" w14:paraId="54870DA7" w14:textId="77777777">
      <w:pPr>
        <w:rPr>
          <w:lang w:val="en-US"/>
        </w:rPr>
      </w:pPr>
      <w:r w:rsidRPr="00501341">
        <w:rPr>
          <w:b/>
          <w:bCs/>
          <w:lang w:val="en-US"/>
        </w:rPr>
        <w:t>Basis:</w:t>
      </w:r>
      <w:r w:rsidRPr="00501341">
        <w:rPr>
          <w:lang w:val="en-US"/>
        </w:rPr>
        <w:t xml:space="preserve"> Partnership barriers with VCSE require system-level action (The King’s Fund, 2026). </w:t>
      </w:r>
    </w:p>
    <w:p w:rsidR="00501341" w:rsidP="00501341" w:rsidRDefault="00501341" w14:paraId="5C23A079" w14:textId="77777777">
      <w:pPr>
        <w:rPr>
          <w:lang w:val="en-US"/>
        </w:rPr>
      </w:pPr>
      <w:r w:rsidRPr="00501341">
        <w:rPr>
          <w:b/>
          <w:bCs/>
          <w:lang w:val="en-US"/>
        </w:rPr>
        <w:t>Measure:</w:t>
      </w:r>
      <w:r w:rsidRPr="00501341">
        <w:rPr>
          <w:lang w:val="en-US"/>
        </w:rPr>
        <w:t xml:space="preserve"> VCSE referral uptake, carer support access rates, and equity indicators by locality.</w:t>
      </w:r>
    </w:p>
    <w:p w:rsidRPr="00501341" w:rsidR="00501341" w:rsidP="00501341" w:rsidRDefault="00501341" w14:paraId="5DD035DF" w14:textId="77777777">
      <w:pPr>
        <w:rPr>
          <w:lang w:val="en-US"/>
        </w:rPr>
      </w:pPr>
      <w:r w:rsidRPr="00501341">
        <w:rPr>
          <w:b/>
          <w:bCs/>
          <w:lang w:val="en-US"/>
        </w:rPr>
        <w:t>Cost and limits:</w:t>
      </w:r>
      <w:r w:rsidRPr="00501341">
        <w:rPr>
          <w:lang w:val="en-US"/>
        </w:rPr>
        <w:t xml:space="preserve"> Requires shifting from short-term grant logic to planned commissioning; mitigate by setting clear outcomes and reporting.</w:t>
      </w:r>
    </w:p>
    <w:p w:rsidRPr="00501341" w:rsidR="00501341" w:rsidP="00501341" w:rsidRDefault="00501341" w14:paraId="17AF85C7" w14:textId="77777777">
      <w:pPr>
        <w:numPr>
          <w:ilvl w:val="0"/>
          <w:numId w:val="13"/>
        </w:numPr>
        <w:rPr>
          <w:lang w:val="en-US"/>
        </w:rPr>
      </w:pPr>
      <w:r w:rsidRPr="00501341">
        <w:rPr>
          <w:b/>
          <w:bCs/>
          <w:lang w:val="en-US"/>
        </w:rPr>
        <w:t>Treat record accuracy as a quality standard, not an information technology detail</w:t>
      </w:r>
    </w:p>
    <w:p w:rsidRPr="00D11F15" w:rsidR="00D11F15" w:rsidP="00D11F15" w:rsidRDefault="00D11F15" w14:paraId="43ABEDFF" w14:textId="77777777">
      <w:pPr>
        <w:rPr>
          <w:b/>
          <w:bCs/>
          <w:lang w:val="en-US"/>
        </w:rPr>
      </w:pPr>
      <w:r w:rsidRPr="00D11F15">
        <w:rPr>
          <w:b/>
          <w:bCs/>
          <w:lang w:val="en-US"/>
        </w:rPr>
        <w:t xml:space="preserve">Action: </w:t>
      </w:r>
      <w:r w:rsidRPr="00D11F15">
        <w:rPr>
          <w:bCs/>
          <w:lang w:val="en-US"/>
        </w:rPr>
        <w:t>Implement record reconciliation, along with patient facing correction routes, and shared record accuracy governance.</w:t>
      </w:r>
    </w:p>
    <w:p w:rsidRPr="00D11F15" w:rsidR="00D11F15" w:rsidP="00D11F15" w:rsidRDefault="00D11F15" w14:paraId="35D62D26" w14:textId="0EED27EE">
      <w:pPr>
        <w:rPr>
          <w:b w:val="1"/>
          <w:bCs w:val="1"/>
          <w:lang w:val="en-US"/>
        </w:rPr>
      </w:pPr>
      <w:r w:rsidRPr="0A9DD993" w:rsidR="00D11F15">
        <w:rPr>
          <w:b w:val="1"/>
          <w:bCs w:val="1"/>
          <w:lang w:val="en-US"/>
        </w:rPr>
        <w:t xml:space="preserve">Support: </w:t>
      </w:r>
      <w:r w:rsidRPr="0A9DD993" w:rsidR="00D11F15">
        <w:rPr>
          <w:lang w:val="en-US"/>
        </w:rPr>
        <w:t xml:space="preserve">In the country, a survey revealed that 23 per cent had noticed mistakes or the lack of </w:t>
      </w:r>
      <w:r w:rsidRPr="0A9DD993" w:rsidR="60AC49F3">
        <w:rPr>
          <w:lang w:val="en-US"/>
        </w:rPr>
        <w:t>information</w:t>
      </w:r>
      <w:r w:rsidRPr="0A9DD993" w:rsidR="00D11F15">
        <w:rPr>
          <w:lang w:val="en-US"/>
        </w:rPr>
        <w:t xml:space="preserve"> on the records, which is a direct safety risk (Healthwatch England, 2025).</w:t>
      </w:r>
      <w:r w:rsidRPr="0A9DD993" w:rsidR="00D11F15">
        <w:rPr>
          <w:b w:val="1"/>
          <w:bCs w:val="1"/>
          <w:lang w:val="en-US"/>
        </w:rPr>
        <w:t xml:space="preserve"> </w:t>
      </w:r>
    </w:p>
    <w:p w:rsidRPr="00D11F15" w:rsidR="00D11F15" w:rsidP="00D11F15" w:rsidRDefault="00D11F15" w14:paraId="748ED8A7" w14:textId="77777777">
      <w:pPr>
        <w:rPr>
          <w:b/>
          <w:bCs/>
          <w:lang w:val="en-US"/>
        </w:rPr>
      </w:pPr>
      <w:r w:rsidRPr="00D11F15">
        <w:rPr>
          <w:b/>
          <w:bCs/>
          <w:lang w:val="en-US"/>
        </w:rPr>
        <w:t xml:space="preserve">Measure: </w:t>
      </w:r>
      <w:r w:rsidRPr="00D11F15">
        <w:rPr>
          <w:bCs/>
          <w:lang w:val="en-US"/>
        </w:rPr>
        <w:t>Turnaround time of error correction; critical frequency of error; indicators of patient trust.</w:t>
      </w:r>
    </w:p>
    <w:p w:rsidRPr="00501341" w:rsidR="00501341" w:rsidP="00D11F15" w:rsidRDefault="00D11F15" w14:paraId="271A744F" w14:textId="77777777">
      <w:pPr>
        <w:rPr>
          <w:lang w:val="en-US"/>
        </w:rPr>
      </w:pPr>
      <w:r w:rsidRPr="00D11F15">
        <w:rPr>
          <w:b/>
          <w:bCs/>
          <w:lang w:val="en-US"/>
        </w:rPr>
        <w:t xml:space="preserve">Cost and constraints: </w:t>
      </w:r>
      <w:r w:rsidRPr="00D11F15">
        <w:rPr>
          <w:bCs/>
          <w:lang w:val="en-US"/>
        </w:rPr>
        <w:t>Administrative capacity required; decrease, align with re-organising the workflow and digitalisation.</w:t>
      </w:r>
    </w:p>
    <w:p w:rsidRPr="00501341" w:rsidR="00501341" w:rsidP="00501341" w:rsidRDefault="00501341" w14:paraId="3CECB4EB" w14:textId="77777777">
      <w:pPr>
        <w:pStyle w:val="Heading1"/>
      </w:pPr>
      <w:bookmarkStart w:name="_Toc222002467" w:id="10"/>
      <w:r w:rsidRPr="00501341">
        <w:t>Conclusion</w:t>
      </w:r>
      <w:bookmarkEnd w:id="10"/>
    </w:p>
    <w:p w:rsidR="00B30A85" w:rsidP="00A63115" w:rsidRDefault="003168A4" w14:paraId="5FE57A61" w14:textId="77777777">
      <w:pPr>
        <w:rPr>
          <w:lang w:val="en-US"/>
        </w:rPr>
      </w:pPr>
      <w:r w:rsidRPr="003168A4">
        <w:rPr>
          <w:lang w:val="en-US"/>
        </w:rPr>
        <w:t>PCC and PW in dementia services should reduce fragmentation, protect personhood, and manage agency-wide risk. Pathway reliability is crucial because dementia is England and</w:t>
      </w:r>
      <w:r>
        <w:rPr>
          <w:lang w:val="en-US"/>
        </w:rPr>
        <w:t xml:space="preserve"> Wales' leading cause of death</w:t>
      </w:r>
      <w:r w:rsidRPr="003168A4">
        <w:rPr>
          <w:lang w:val="en-US"/>
        </w:rPr>
        <w:t>. The Alzheimer's Society (2024) estimates that weak coordination costs systems and households a lot. Commissioners should avoid overstating savings and instead build measurable, quality-focused implementation because integration improves experience more</w:t>
      </w:r>
      <w:r>
        <w:rPr>
          <w:lang w:val="en-US"/>
        </w:rPr>
        <w:t xml:space="preserve"> consistently than utilisation</w:t>
      </w:r>
      <w:r w:rsidRPr="003168A4">
        <w:rPr>
          <w:lang w:val="en-US"/>
        </w:rPr>
        <w:t>. This has clear practical implications. ICSs should contract for shared plans, protected transitions, VCSE infrastructure funding, and record accuracy, then monitor outcomes and inequalities quarterly according to system assessment expectations.</w:t>
      </w:r>
    </w:p>
    <w:p w:rsidR="00D11F15" w:rsidP="00A63115" w:rsidRDefault="00D11F15" w14:paraId="0194C15F" w14:textId="77777777">
      <w:pPr>
        <w:rPr>
          <w:lang w:val="en-US"/>
        </w:rPr>
      </w:pPr>
    </w:p>
    <w:p w:rsidR="00D11F15" w:rsidP="00A63115" w:rsidRDefault="00D11F15" w14:paraId="42CAFCBA" w14:textId="77777777">
      <w:pPr>
        <w:rPr>
          <w:lang w:val="en-US"/>
        </w:rPr>
      </w:pPr>
    </w:p>
    <w:p w:rsidR="00D11F15" w:rsidP="00A63115" w:rsidRDefault="00D11F15" w14:paraId="004E53A7" w14:textId="77777777">
      <w:pPr>
        <w:rPr>
          <w:lang w:val="en-US"/>
        </w:rPr>
      </w:pPr>
    </w:p>
    <w:p w:rsidR="00D11F15" w:rsidP="00A63115" w:rsidRDefault="00D11F15" w14:paraId="57EBD1B5" w14:textId="77777777">
      <w:pPr>
        <w:rPr>
          <w:lang w:val="en-US"/>
        </w:rPr>
      </w:pPr>
    </w:p>
    <w:p w:rsidR="00D11F15" w:rsidP="00A63115" w:rsidRDefault="00D11F15" w14:paraId="0CD8F4C2" w14:textId="77777777">
      <w:pPr>
        <w:rPr>
          <w:lang w:val="en-US"/>
        </w:rPr>
      </w:pPr>
    </w:p>
    <w:p w:rsidR="006B12CE" w:rsidP="00A63115" w:rsidRDefault="006B12CE" w14:paraId="7A327CD5" w14:textId="77777777">
      <w:pPr>
        <w:rPr>
          <w:lang w:val="en-US"/>
        </w:rPr>
      </w:pPr>
    </w:p>
    <w:p w:rsidR="006B12CE" w:rsidP="00A63115" w:rsidRDefault="006B12CE" w14:paraId="7DEBE6B8" w14:textId="77777777">
      <w:pPr>
        <w:rPr>
          <w:lang w:val="en-US"/>
        </w:rPr>
      </w:pPr>
    </w:p>
    <w:p w:rsidR="006B12CE" w:rsidP="00A63115" w:rsidRDefault="006B12CE" w14:paraId="5DFF1DE6" w14:textId="77777777">
      <w:pPr>
        <w:rPr>
          <w:lang w:val="en-US"/>
        </w:rPr>
      </w:pPr>
    </w:p>
    <w:p w:rsidR="00D11F15" w:rsidP="00321E6B" w:rsidRDefault="00D11F15" w14:paraId="1F2AE08A" w14:textId="77777777">
      <w:pPr>
        <w:pStyle w:val="Heading1"/>
      </w:pPr>
      <w:bookmarkStart w:name="_Toc222002468" w:id="11"/>
      <w:r>
        <w:t>References</w:t>
      </w:r>
      <w:bookmarkEnd w:id="11"/>
    </w:p>
    <w:p w:rsidR="00D11F15" w:rsidP="00D11F15" w:rsidRDefault="00D11F15" w14:paraId="4AF4DBC2" w14:textId="77777777">
      <w:r>
        <w:t>Alzheimer’s Society (2024) The economic impact of dementia: annual costs of dementia (PDF). Available at: https://www.alzheimers.org.uk/sites/default/files/2024-05/the-annual-costs-of-dementia.pdf</w:t>
      </w:r>
    </w:p>
    <w:p w:rsidR="00D11F15" w:rsidP="00D11F15" w:rsidRDefault="00D11F15" w14:paraId="2E9F8236" w14:textId="77777777">
      <w:r>
        <w:t>Baxter, S., Johnson, M., Chambers, D., Sutton, A., Goyder, E. and Booth, A. (2018) ‘The effects of integrated care: a systematic review of UK and international evidence’, BMC Health Services Research, 18, 350. Available at: https://bmchealthservres.biomedcentral.com/articles/10.1186/s12913-018-3166-0</w:t>
      </w:r>
    </w:p>
    <w:p w:rsidR="00D11F15" w:rsidP="00D11F15" w:rsidRDefault="00D11F15" w14:paraId="38531833" w14:textId="77777777">
      <w:r>
        <w:t>British Medical Association (2025) Record sharing. Available at: https://www.bma.org.uk/advice-and-support/ethics/confidentiality-and-health-records/record-sharing</w:t>
      </w:r>
    </w:p>
    <w:p w:rsidR="00D11F15" w:rsidP="00D11F15" w:rsidRDefault="00D11F15" w14:paraId="66D43A69" w14:textId="77777777">
      <w:r>
        <w:t>Care Quality Commission (2025) Regulation 20: Duty of candour. Available at: https://www.cqc.org.uk/guidance-regulation/providers/regulations-service-providers-and-managers/health-social-care-act/regulation-20</w:t>
      </w:r>
    </w:p>
    <w:p w:rsidR="00D11F15" w:rsidP="00D11F15" w:rsidRDefault="00D11F15" w14:paraId="76D1BED5" w14:textId="77777777">
      <w:r>
        <w:t>Dementia UK (2024) Admiral Nurses in primary care: professional and carer survey evidence report (PDF). Available at: https://www.dementiauk.org/wp-content/uploads/dementia-uk-admiral-nurses-primary-care-march-2024-survey-report.pdf</w:t>
      </w:r>
    </w:p>
    <w:p w:rsidR="00D11F15" w:rsidP="00D11F15" w:rsidRDefault="00D11F15" w14:paraId="6792F8C6" w14:textId="77777777">
      <w:r>
        <w:t>Dementia United (2025) Greater Manchester Dementia Quality Standards: First annual progress report (June 2025) (PDF). Available at: https://dementia-united.org.uk/wp-content/uploads/sites/4/2025/10/GM-Dementia-QualityStandards-First-Annual-progress-report-June-2025.pdf</w:t>
      </w:r>
    </w:p>
    <w:p w:rsidR="00D11F15" w:rsidP="00D11F15" w:rsidRDefault="00D11F15" w14:paraId="0C5EA677" w14:textId="77777777">
      <w:r>
        <w:t>Department of Health and Social Care (2022) Health and Care Act 2022: summary and additional measures impact assessment (PDF). Available at: https://assets.publishing.service.gov.uk/government/uploads/system/uploads/attachment_data/file/1115453/health-and-care-act-2022-summary-and-additional-measures-impact-assessment.pdf</w:t>
      </w:r>
    </w:p>
    <w:p w:rsidR="00D11F15" w:rsidP="00D11F15" w:rsidRDefault="00D11F15" w14:paraId="2624D13D" w14:textId="77777777">
      <w:r>
        <w:t>Department of Health and Social Care (2025a) Adult social care outcomes framework: 2024 to 2025. Available at: https://www.gov.uk/government/statistics/adult-social-care-outcomes-framework-ascof-2024-to-2025</w:t>
      </w:r>
    </w:p>
    <w:p w:rsidR="00D11F15" w:rsidP="00D11F15" w:rsidRDefault="00D11F15" w14:paraId="6D7BD8DD" w14:textId="77777777">
      <w:r>
        <w:t>Department of Health and Social Care (2025b) Care and support statutory guidance (Care Act 2014). Available at: https://www.gov.uk/government/publications/care-act-statutory-guidance/care-and-support-statutory-guidance</w:t>
      </w:r>
    </w:p>
    <w:p w:rsidR="00D11F15" w:rsidP="00D11F15" w:rsidRDefault="00D11F15" w14:paraId="433B8FF8" w14:textId="77777777">
      <w:r>
        <w:t>Healthwatch England (2025) The extent and impact of inaccurate NHS patient records. Available at: https://www.healthwatch.co.uk/blog/2025-05-01/extent-and-impact-inaccurate-nhs-patient-records</w:t>
      </w:r>
    </w:p>
    <w:p w:rsidR="00D11F15" w:rsidP="00D11F15" w:rsidRDefault="00D11F15" w14:paraId="5F0EF655" w14:textId="77777777">
      <w:r>
        <w:t>Lloyd, H., Fosh, B., Whalley, B., Byng, R. and Close, J. (2019) ‘Validation of the person-centred coordinated care experience questionnaire (P3CEQ)’, International Journal for Quality in Health Care, 31(7), pp. 506–512. Available at: https://academic.oup.com/intqhc/article/31/7/506/5225143</w:t>
      </w:r>
    </w:p>
    <w:p w:rsidR="00D11F15" w:rsidP="00D11F15" w:rsidRDefault="00D11F15" w14:paraId="5C0D0187" w14:textId="77777777">
      <w:r>
        <w:t>McCormack, B. and McCance, T. (2019) ‘The Person-Centred Nursing Framework’, in McCormack, B. and McCance, T. (eds.) Person-Centred Practice in Nursing and Health Care. Cham: Springer. Available at: https://link.springer.com/chapter/10.1007/978-3-030-27868-7_2</w:t>
      </w:r>
    </w:p>
    <w:p w:rsidR="00D11F15" w:rsidP="00D11F15" w:rsidRDefault="00D11F15" w14:paraId="7A009266" w14:textId="77777777">
      <w:r>
        <w:t>National Audit Office (2022) Introducing Integrated Care Systems: joining up local services to improve health outcomes. Available at: https://www.nao.org.uk/reports/introducing-integrated-care-systems-joining-up-local-services-to-improve-health-outcomes/</w:t>
      </w:r>
    </w:p>
    <w:p w:rsidR="00D11F15" w:rsidP="00D11F15" w:rsidRDefault="00D11F15" w14:paraId="02FD44A6" w14:textId="77777777">
      <w:r>
        <w:t>National Institute for Health and Care Excellence (2018) Dementia: assessment, management and support for people living with dementia and their carers (NG97). Available at: https://www.nice.org.uk/guidance/ng97</w:t>
      </w:r>
    </w:p>
    <w:p w:rsidR="00D11F15" w:rsidP="00D11F15" w:rsidRDefault="00D11F15" w14:paraId="493F55DE" w14:textId="77777777">
      <w:r>
        <w:t>National Institute for Health and Care Excellence (2021) Shared decision making (NG197). Available at: https://www.nice.org.uk/guidance/ng197</w:t>
      </w:r>
    </w:p>
    <w:p w:rsidR="00D11F15" w:rsidP="00D11F15" w:rsidRDefault="00D11F15" w14:paraId="1DCDFD05" w14:textId="77777777">
      <w:r>
        <w:t>NHS England (2021) Personalised Care and Support Plan (PCSP) standard. NHS Standards Directory. Available at: https://standards.nhs.uk/published-standards/personalised-care-and-support-plan</w:t>
      </w:r>
    </w:p>
    <w:p w:rsidR="00D11F15" w:rsidP="00D11F15" w:rsidRDefault="00D11F15" w14:paraId="02706B5B" w14:textId="77777777">
      <w:r>
        <w:t>NHS England (2025) Data and clinical record sharing (Good practice guidelines for GP electronic patient records). Available at: https://www.england.nhs.uk/long-read/data-and-clinical-record-sharing/</w:t>
      </w:r>
    </w:p>
    <w:p w:rsidR="00D11F15" w:rsidP="00D11F15" w:rsidRDefault="00D11F15" w14:paraId="2DD340ED" w14:textId="77777777">
      <w:r>
        <w:t>NHS Safeguarding (2024) Mental capacity: the five principles and best-interest decisions. Available at: https://safeguarding-guide.nhs.uk/types-of-abuse-exploitation-and-neglect/s3-12/</w:t>
      </w:r>
    </w:p>
    <w:p w:rsidR="00D11F15" w:rsidP="00D11F15" w:rsidRDefault="00D11F15" w14:paraId="1C6E86CA" w14:textId="77777777">
      <w:r>
        <w:t>Office for National Statistics (2025) Deaths registered in England and Wales: 2024. Available at: https://www.ons.gov.uk/peoplepopulationandcommunity/birthsdeathsandmarriages/deaths/bulletins/deathsregistrationsummarytables/2024</w:t>
      </w:r>
    </w:p>
    <w:p w:rsidR="00D11F15" w:rsidP="00D11F15" w:rsidRDefault="00D11F15" w14:paraId="5735B0D3" w14:textId="77777777">
      <w:r>
        <w:t>Professional Record Standards Body (2021) Personalised Care and Support Plan standard. Available at: https://theprsb.org/standards/personalisedcareandsupportplan/</w:t>
      </w:r>
    </w:p>
    <w:p w:rsidR="00D11F15" w:rsidP="00D11F15" w:rsidRDefault="00D11F15" w14:paraId="41CD6665" w14:textId="77777777">
      <w:r>
        <w:t>Purwins, D., Serbser-Koal, J., Rommerskirch-Manietta, M. and Roes, M. (2024) ‘Person-centredness in dementia care: an integrative review of theoretical approaches’, BMJ Open, 14(6), e085051. Available at: https://bmjopen.bmj.com/content/14/6/e085051</w:t>
      </w:r>
    </w:p>
    <w:p w:rsidR="00D11F15" w:rsidP="00D11F15" w:rsidRDefault="00D11F15" w14:paraId="7FDDFF10" w14:textId="77777777">
      <w:r>
        <w:t>Rocks, S., Berntson, D., Gil-Salmerón, A., Kadu, M., Ehrenberg, N., Stein, V. and Tsiachristas, A. (2020) ‘The impact of integrated care interventions on health care utilisation and costs: a systematic review’, BMJ Open, 10, e035272. Available at: https://doi.org/10.1136/bmjopen-2019-035272</w:t>
      </w:r>
    </w:p>
    <w:p w:rsidR="00D11F15" w:rsidP="00D11F15" w:rsidRDefault="00D11F15" w14:paraId="028F08DE" w14:textId="77777777">
      <w:r>
        <w:t>The King’s Fund (2024) Realising the potential of integrated care systems: workforce and partnership challenges. Available at: https://www.kingsfund.org.uk/insight-and-analysis/reports/integrated-care-systems-workforce</w:t>
      </w:r>
    </w:p>
    <w:p w:rsidRPr="00A63115" w:rsidR="00D11F15" w:rsidP="00D11F15" w:rsidRDefault="00D11F15" w14:paraId="4453F075" w14:textId="77777777">
      <w:r>
        <w:t>van Diepen, C., Fors, A., Ekman, I. and Hensing, G. (2020) ‘Association between person-centred care and healthcare providers’ job satisfaction and work-related health: a scoping review’, BMJ Open, 10(12), e042658. Available at: https://bmjopen.bmj.com/content/10/12/e042658</w:t>
      </w:r>
    </w:p>
    <w:sectPr w:rsidRPr="00A63115" w:rsidR="00D11F15">
      <w:footerReference w:type="default" r:id="rId8"/>
      <w:pgSz w:w="12240" w:h="15840" w:orient="portrait"/>
      <w:pgMar w:top="1440" w:right="1440" w:bottom="1440" w:left="1440" w:header="708" w:footer="708" w:gutter="0"/>
      <w:cols w:space="708"/>
      <w:docGrid w:linePitch="360"/>
      <w:headerReference w:type="default" r:id="R7f8e990e434c49b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64439" w:rsidP="002039A3" w:rsidRDefault="00164439" w14:paraId="44F6ED8B" w14:textId="77777777">
      <w:pPr>
        <w:spacing w:after="0" w:line="240" w:lineRule="auto"/>
      </w:pPr>
      <w:r>
        <w:separator/>
      </w:r>
    </w:p>
  </w:endnote>
  <w:endnote w:type="continuationSeparator" w:id="0">
    <w:p w:rsidR="00164439" w:rsidP="002039A3" w:rsidRDefault="00164439" w14:paraId="3E7E435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58803"/>
      <w:docPartObj>
        <w:docPartGallery w:val="Page Numbers (Bottom of Page)"/>
        <w:docPartUnique/>
      </w:docPartObj>
    </w:sdtPr>
    <w:sdtEndPr>
      <w:rPr>
        <w:noProof/>
      </w:rPr>
    </w:sdtEndPr>
    <w:sdtContent>
      <w:p w:rsidR="002039A3" w:rsidRDefault="002039A3" w14:paraId="06BE8D18" w14:textId="77777777">
        <w:pPr>
          <w:pStyle w:val="Footer"/>
          <w:jc w:val="center"/>
        </w:pPr>
        <w:r>
          <w:fldChar w:fldCharType="begin"/>
        </w:r>
        <w:r>
          <w:instrText xml:space="preserve"> PAGE   \* MERGEFORMAT </w:instrText>
        </w:r>
        <w:r>
          <w:fldChar w:fldCharType="separate"/>
        </w:r>
        <w:r w:rsidR="006B12CE">
          <w:rPr>
            <w:noProof/>
          </w:rPr>
          <w:t>3</w:t>
        </w:r>
        <w:r>
          <w:rPr>
            <w:noProof/>
          </w:rPr>
          <w:fldChar w:fldCharType="end"/>
        </w:r>
      </w:p>
    </w:sdtContent>
  </w:sdt>
  <w:p w:rsidR="002039A3" w:rsidRDefault="002039A3" w14:paraId="5737927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64439" w:rsidP="002039A3" w:rsidRDefault="00164439" w14:paraId="3FB860BA" w14:textId="77777777">
      <w:pPr>
        <w:spacing w:after="0" w:line="240" w:lineRule="auto"/>
      </w:pPr>
      <w:r>
        <w:separator/>
      </w:r>
    </w:p>
  </w:footnote>
  <w:footnote w:type="continuationSeparator" w:id="0">
    <w:p w:rsidR="00164439" w:rsidP="002039A3" w:rsidRDefault="00164439" w14:paraId="48F31A7C"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A9DD993" w:rsidTr="0A9DD993" w14:paraId="510C1B0C">
      <w:trPr>
        <w:trHeight w:val="300"/>
      </w:trPr>
      <w:tc>
        <w:tcPr>
          <w:tcW w:w="3120" w:type="dxa"/>
          <w:tcMar/>
        </w:tcPr>
        <w:p w:rsidR="0A9DD993" w:rsidP="0A9DD993" w:rsidRDefault="0A9DD993" w14:paraId="2A5CDE98" w14:textId="2699783B">
          <w:pPr>
            <w:pStyle w:val="Header"/>
            <w:bidi w:val="0"/>
            <w:ind w:left="-115"/>
            <w:jc w:val="left"/>
          </w:pPr>
        </w:p>
      </w:tc>
      <w:tc>
        <w:tcPr>
          <w:tcW w:w="3120" w:type="dxa"/>
          <w:tcMar/>
        </w:tcPr>
        <w:p w:rsidR="0A9DD993" w:rsidP="0A9DD993" w:rsidRDefault="0A9DD993" w14:paraId="0C0C1D82" w14:textId="29FA15B2">
          <w:pPr>
            <w:pStyle w:val="Header"/>
            <w:bidi w:val="0"/>
            <w:jc w:val="center"/>
          </w:pPr>
        </w:p>
      </w:tc>
      <w:tc>
        <w:tcPr>
          <w:tcW w:w="3120" w:type="dxa"/>
          <w:tcMar/>
        </w:tcPr>
        <w:p w:rsidR="0A9DD993" w:rsidP="0A9DD993" w:rsidRDefault="0A9DD993" w14:paraId="65593C5E" w14:textId="5C2DD072">
          <w:pPr>
            <w:pStyle w:val="Header"/>
            <w:bidi w:val="0"/>
            <w:ind w:right="-115"/>
            <w:jc w:val="right"/>
          </w:pPr>
        </w:p>
      </w:tc>
    </w:tr>
  </w:tbl>
  <w:p w:rsidR="0A9DD993" w:rsidRDefault="0A9DD993" w14:paraId="3A4BD622" w14:textId="5BB68E92"/>
</w:hdr>
</file>

<file path=word/intelligence2.xml><?xml version="1.0" encoding="utf-8"?>
<int2:intelligence xmlns:int2="http://schemas.microsoft.com/office/intelligence/2020/intelligence">
  <int2:observations>
    <int2:textHash int2:hashCode="dQXqG2YD0zDsVn" int2:id="UTVFvb2V">
      <int2:state int2:type="spell" int2:value="Rejected"/>
    </int2:textHash>
    <int2:textHash int2:hashCode="KaQnTaI9s/TVTG" int2:id="vGmAOnn5">
      <int2:state int2:type="spell" int2:value="Rejected"/>
    </int2:textHash>
    <int2:textHash int2:hashCode="j4uTLVcMnLPOKS" int2:id="E7GMVH7C">
      <int2:state int2:type="spell" int2:value="Rejected"/>
    </int2:textHash>
    <int2:textHash int2:hashCode="ACY+yA37POKkpo" int2:id="PJhWlrtc">
      <int2:state int2:type="spell" int2:value="Rejected"/>
    </int2:textHash>
    <int2:textHash int2:hashCode="qdoD5FfW5lj6dY" int2:id="8spdplvf">
      <int2:state int2:type="spell" int2:value="Rejected"/>
    </int2:textHash>
    <int2:textHash int2:hashCode="de6OmMavCSziU2" int2:id="W0TqIDWs">
      <int2:state int2:type="spell" int2:value="Rejected"/>
    </int2:textHash>
    <int2:textHash int2:hashCode="FPRZ1yFnCPrzsl" int2:id="nvBZ5bfl">
      <int2:state int2:type="spell" int2:value="Rejected"/>
    </int2:textHash>
    <int2:textHash int2:hashCode="ZzbVfbQxohPsEp" int2:id="r8Lbsuqt">
      <int2:state int2:type="spell" int2:value="Rejected"/>
    </int2:textHash>
    <int2:textHash int2:hashCode="gOigg3B4VG+1IR" int2:id="EvIDqbbN">
      <int2:state int2:type="spell" int2:value="Rejected"/>
    </int2:textHash>
    <int2:textHash int2:hashCode="dNEY8WXr4FrM7m" int2:id="9xs2EOmN">
      <int2:state int2:type="spell" int2:value="Rejected"/>
    </int2:textHash>
    <int2:textHash int2:hashCode="IITsX7+UopC86M" int2:id="q162eO2P">
      <int2:state int2:type="spell" int2:value="Rejected"/>
    </int2:textHash>
    <int2:textHash int2:hashCode="pDJXhGUUzWSYMm" int2:id="5ZXU3HAI">
      <int2:state int2:type="spell" int2:value="Rejected"/>
    </int2:textHash>
    <int2:textHash int2:hashCode="Pwxxtk1Oaaejcq" int2:id="ItFocr5P">
      <int2:state int2:type="spell" int2:value="Rejected"/>
    </int2:textHash>
    <int2:textHash int2:hashCode="KBgvaBRaXU/GFq" int2:id="VXpoRRd6">
      <int2:state int2:type="spell" int2:value="Rejected"/>
    </int2:textHash>
    <int2:textHash int2:hashCode="kv4UVae7TQCfC0" int2:id="PsuToDsv">
      <int2:state int2:type="spell" int2:value="Rejected"/>
    </int2:textHash>
    <int2:textHash int2:hashCode="m/C6mGJeQTWOW1" int2:id="2Yj0Fcco">
      <int2:state int2:type="spell" int2:value="Rejected"/>
    </int2:textHash>
    <int2:textHash int2:hashCode="ibp3p9vECz0eg5" int2:id="0GFsuC3b">
      <int2:state int2:type="spell" int2:value="Rejected"/>
    </int2:textHash>
    <int2:textHash int2:hashCode="+FT5RKfv9PuqKM" int2:id="sbfqi7Yo">
      <int2:state int2:type="spell" int2:value="Rejected"/>
    </int2:textHash>
    <int2:textHash int2:hashCode="nlp0cCUIfeV2D7" int2:id="ZDrxdcr1">
      <int2:state int2:type="spell" int2:value="Rejected"/>
    </int2:textHash>
    <int2:textHash int2:hashCode="NT12h6See3qwhk" int2:id="NQ10NBjf">
      <int2:state int2:type="spell" int2:value="Rejected"/>
    </int2:textHash>
    <int2:textHash int2:hashCode="PpohFzMYP3Pe0k" int2:id="uPS0mb3U">
      <int2:state int2:type="spell" int2:value="Rejected"/>
    </int2:textHash>
    <int2:textHash int2:hashCode="J8fjuqzedwLx0J" int2:id="zAPowpLN">
      <int2:state int2:type="spell" int2:value="Rejected"/>
    </int2:textHash>
    <int2:textHash int2:hashCode="/rBDe6vi0fRERP" int2:id="OIoRhhyq">
      <int2:state int2:type="spell" int2:value="Rejected"/>
    </int2:textHash>
    <int2:textHash int2:hashCode="SlYFDncvjWIs3o" int2:id="MSuaV1Kw">
      <int2:state int2:type="spell" int2:value="Rejected"/>
    </int2:textHash>
    <int2:textHash int2:hashCode="yxtx4GihBl3h7y" int2:id="AuzNsiK7">
      <int2:state int2:type="spell" int2:value="Rejected"/>
    </int2:textHash>
    <int2:textHash int2:hashCode="kByidkXaRxGvMx" int2:id="QMLnr7KC">
      <int2:state int2:type="spell" int2:value="Rejected"/>
    </int2:textHash>
    <int2:textHash int2:hashCode="Dji+abMBs/wxDx" int2:id="dQeF0tqB">
      <int2:state int2:type="spell" int2:value="Rejected"/>
    </int2:textHash>
    <int2:bookmark int2:bookmarkName="_Int_N9ycTjtZ" int2:invalidationBookmarkName="" int2:hashCode="DlLmInuMWN55pY" int2:id="rmiUmcMw">
      <int2:state int2:type="gram" int2:value="Rejected"/>
    </int2:bookmark>
    <int2:bookmark int2:bookmarkName="_Int_IhCG7jO8" int2:invalidationBookmarkName="" int2:hashCode="wOVxIeNygMJidw" int2:id="rblHg8vy">
      <int2:state int2:type="gram" int2:value="Rejected"/>
    </int2:bookmark>
    <int2:bookmark int2:bookmarkName="_Int_WanTxbMz" int2:invalidationBookmarkName="" int2:hashCode="MqKi+oYQwIA1A3" int2:id="QyPQrgvX">
      <int2:state int2:type="gram" int2:value="Rejected"/>
    </int2:bookmark>
    <int2:bookmark int2:bookmarkName="_Int_lynzpNrC" int2:invalidationBookmarkName="" int2:hashCode="Jt4FpE0eX+jRma" int2:id="jUpQCR2M">
      <int2:state int2:type="gram" int2:value="Rejected"/>
    </int2:bookmark>
    <int2:bookmark int2:bookmarkName="_Int_pQHuYQh0" int2:invalidationBookmarkName="" int2:hashCode="7e0SqkgiyMKMff" int2:id="BSk3eWIN">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833F4"/>
    <w:multiLevelType w:val="multilevel"/>
    <w:tmpl w:val="1740569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91F251C"/>
    <w:multiLevelType w:val="multilevel"/>
    <w:tmpl w:val="CB7E153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C901B1B"/>
    <w:multiLevelType w:val="multilevel"/>
    <w:tmpl w:val="12C0B3C6"/>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7075D3"/>
    <w:multiLevelType w:val="multilevel"/>
    <w:tmpl w:val="F5D2195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27D01E3"/>
    <w:multiLevelType w:val="multilevel"/>
    <w:tmpl w:val="E548901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343D4BF2"/>
    <w:multiLevelType w:val="multilevel"/>
    <w:tmpl w:val="D7DE12A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4FAB156D"/>
    <w:multiLevelType w:val="multilevel"/>
    <w:tmpl w:val="0B063CA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57DA7D05"/>
    <w:multiLevelType w:val="multilevel"/>
    <w:tmpl w:val="C160387A"/>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7993573B"/>
    <w:multiLevelType w:val="multilevel"/>
    <w:tmpl w:val="55D2B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7447608">
    <w:abstractNumId w:val="1"/>
  </w:num>
  <w:num w:numId="2" w16cid:durableId="357246025">
    <w:abstractNumId w:val="1"/>
  </w:num>
  <w:num w:numId="3" w16cid:durableId="2100907699">
    <w:abstractNumId w:val="1"/>
  </w:num>
  <w:num w:numId="4" w16cid:durableId="754013667">
    <w:abstractNumId w:val="0"/>
  </w:num>
  <w:num w:numId="5" w16cid:durableId="1969046007">
    <w:abstractNumId w:val="5"/>
  </w:num>
  <w:num w:numId="6" w16cid:durableId="866942459">
    <w:abstractNumId w:val="5"/>
  </w:num>
  <w:num w:numId="7" w16cid:durableId="446894393">
    <w:abstractNumId w:val="6"/>
  </w:num>
  <w:num w:numId="8" w16cid:durableId="1410344349">
    <w:abstractNumId w:val="3"/>
  </w:num>
  <w:num w:numId="9" w16cid:durableId="2127844774">
    <w:abstractNumId w:val="3"/>
  </w:num>
  <w:num w:numId="10" w16cid:durableId="53361282">
    <w:abstractNumId w:val="4"/>
  </w:num>
  <w:num w:numId="11" w16cid:durableId="468086271">
    <w:abstractNumId w:val="7"/>
  </w:num>
  <w:num w:numId="12" w16cid:durableId="1901862800">
    <w:abstractNumId w:val="8"/>
  </w:num>
  <w:num w:numId="13" w16cid:durableId="19393694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78FD"/>
    <w:rsid w:val="000B62B4"/>
    <w:rsid w:val="00164439"/>
    <w:rsid w:val="002039A3"/>
    <w:rsid w:val="003168A4"/>
    <w:rsid w:val="0036387C"/>
    <w:rsid w:val="003A1A88"/>
    <w:rsid w:val="003B1FE5"/>
    <w:rsid w:val="00474CB3"/>
    <w:rsid w:val="00501341"/>
    <w:rsid w:val="005E2FEB"/>
    <w:rsid w:val="0068053A"/>
    <w:rsid w:val="006B12CE"/>
    <w:rsid w:val="00705D42"/>
    <w:rsid w:val="0071683B"/>
    <w:rsid w:val="00827658"/>
    <w:rsid w:val="008C3646"/>
    <w:rsid w:val="0096742F"/>
    <w:rsid w:val="00A63115"/>
    <w:rsid w:val="00B30A85"/>
    <w:rsid w:val="00B53D8A"/>
    <w:rsid w:val="00B733D2"/>
    <w:rsid w:val="00BA78FD"/>
    <w:rsid w:val="00D11F15"/>
    <w:rsid w:val="00E82CB5"/>
    <w:rsid w:val="02608956"/>
    <w:rsid w:val="02B1CC22"/>
    <w:rsid w:val="066ED9C7"/>
    <w:rsid w:val="09C4E2F6"/>
    <w:rsid w:val="0A9DD993"/>
    <w:rsid w:val="0AF43C52"/>
    <w:rsid w:val="0C5204B7"/>
    <w:rsid w:val="0DACAD22"/>
    <w:rsid w:val="0DEDEE5F"/>
    <w:rsid w:val="10560487"/>
    <w:rsid w:val="13C1F25E"/>
    <w:rsid w:val="145DCF42"/>
    <w:rsid w:val="14719FE7"/>
    <w:rsid w:val="14A0CA72"/>
    <w:rsid w:val="1552B9D0"/>
    <w:rsid w:val="1589714F"/>
    <w:rsid w:val="17AC95C2"/>
    <w:rsid w:val="1A3B3A19"/>
    <w:rsid w:val="1AB72133"/>
    <w:rsid w:val="1B6312A2"/>
    <w:rsid w:val="1B789515"/>
    <w:rsid w:val="1D3F33F9"/>
    <w:rsid w:val="1DEA8EC8"/>
    <w:rsid w:val="1E79B26C"/>
    <w:rsid w:val="1EB0270A"/>
    <w:rsid w:val="21648A23"/>
    <w:rsid w:val="232D9EE3"/>
    <w:rsid w:val="2389AE58"/>
    <w:rsid w:val="23A6A314"/>
    <w:rsid w:val="2465590D"/>
    <w:rsid w:val="254BE4CF"/>
    <w:rsid w:val="27C75CA2"/>
    <w:rsid w:val="29C19D27"/>
    <w:rsid w:val="2E19C93A"/>
    <w:rsid w:val="319DC4A7"/>
    <w:rsid w:val="325FAB0B"/>
    <w:rsid w:val="34CAF70F"/>
    <w:rsid w:val="357B4C0A"/>
    <w:rsid w:val="394A5D46"/>
    <w:rsid w:val="3A682DE9"/>
    <w:rsid w:val="3B66497D"/>
    <w:rsid w:val="3C517700"/>
    <w:rsid w:val="3E93C354"/>
    <w:rsid w:val="3EBD06E3"/>
    <w:rsid w:val="40F1355A"/>
    <w:rsid w:val="422DCEB1"/>
    <w:rsid w:val="43E8D591"/>
    <w:rsid w:val="44799A8A"/>
    <w:rsid w:val="4542AABA"/>
    <w:rsid w:val="4793155C"/>
    <w:rsid w:val="4833BB7A"/>
    <w:rsid w:val="4A82D7DD"/>
    <w:rsid w:val="4F74E0EC"/>
    <w:rsid w:val="50DFFDAC"/>
    <w:rsid w:val="51094B89"/>
    <w:rsid w:val="51E810E4"/>
    <w:rsid w:val="529CA6F1"/>
    <w:rsid w:val="53285E71"/>
    <w:rsid w:val="53666378"/>
    <w:rsid w:val="54971F6F"/>
    <w:rsid w:val="576989D4"/>
    <w:rsid w:val="5BB0063F"/>
    <w:rsid w:val="5CCA6B42"/>
    <w:rsid w:val="5F8C833D"/>
    <w:rsid w:val="603F73BE"/>
    <w:rsid w:val="60626524"/>
    <w:rsid w:val="607041A3"/>
    <w:rsid w:val="60AC49F3"/>
    <w:rsid w:val="61C6501E"/>
    <w:rsid w:val="62FB5DD5"/>
    <w:rsid w:val="64505E8E"/>
    <w:rsid w:val="646A7372"/>
    <w:rsid w:val="6577FB66"/>
    <w:rsid w:val="6590E9BA"/>
    <w:rsid w:val="65B442B5"/>
    <w:rsid w:val="678F3D96"/>
    <w:rsid w:val="67D5EDCD"/>
    <w:rsid w:val="68302968"/>
    <w:rsid w:val="696357CD"/>
    <w:rsid w:val="6AD19B8F"/>
    <w:rsid w:val="70A9F427"/>
    <w:rsid w:val="70AA05C5"/>
    <w:rsid w:val="70D722DB"/>
    <w:rsid w:val="72411EA7"/>
    <w:rsid w:val="73591080"/>
    <w:rsid w:val="7A726B52"/>
    <w:rsid w:val="7BF33258"/>
    <w:rsid w:val="7EAA51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A8577"/>
  <w15:chartTrackingRefBased/>
  <w15:docId w15:val="{4238D6AC-4D03-43FA-BAB6-73B42BEEF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6387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0B62B4"/>
    <w:pPr>
      <w:keepNext/>
      <w:keepLines/>
      <w:numPr>
        <w:numId w:val="11"/>
      </w:numPr>
      <w:spacing w:before="240" w:after="0"/>
      <w:jc w:val="left"/>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0B62B4"/>
    <w:pPr>
      <w:keepNext/>
      <w:keepLines/>
      <w:numPr>
        <w:ilvl w:val="1"/>
        <w:numId w:val="11"/>
      </w:numPr>
      <w:spacing w:before="40" w:after="0"/>
      <w:outlineLvl w:val="1"/>
    </w:pPr>
    <w:rPr>
      <w:rFonts w:eastAsiaTheme="majorEastAsia" w:cstheme="majorBidi"/>
      <w:b/>
      <w:sz w:val="26"/>
      <w:szCs w:val="26"/>
      <w:lang w:val="en-US"/>
    </w:rPr>
  </w:style>
  <w:style w:type="paragraph" w:styleId="Heading3">
    <w:name w:val="heading 3"/>
    <w:basedOn w:val="Normal"/>
    <w:next w:val="Normal"/>
    <w:link w:val="Heading3Char"/>
    <w:autoRedefine/>
    <w:uiPriority w:val="9"/>
    <w:unhideWhenUsed/>
    <w:qFormat/>
    <w:rsid w:val="0096742F"/>
    <w:pPr>
      <w:keepNext/>
      <w:keepLines/>
      <w:numPr>
        <w:ilvl w:val="2"/>
        <w:numId w:val="3"/>
      </w:numPr>
      <w:spacing w:before="160" w:after="80"/>
      <w:jc w:val="left"/>
      <w:outlineLvl w:val="2"/>
    </w:pPr>
    <w:rPr>
      <w:rFonts w:asciiTheme="majorBidi" w:hAnsiTheme="majorBidi" w:eastAsiaTheme="majorEastAsia" w:cstheme="majorBidi"/>
      <w:b/>
      <w:color w:val="2E74B5" w:themeColor="accent1" w:themeShade="BF"/>
      <w:sz w:val="22"/>
      <w:szCs w:val="28"/>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B62B4"/>
    <w:rPr>
      <w:rFonts w:ascii="Times New Roman" w:hAnsi="Times New Roman" w:eastAsiaTheme="majorEastAsia" w:cstheme="majorBidi"/>
      <w:b/>
      <w:color w:val="000000" w:themeColor="text1"/>
      <w:sz w:val="32"/>
      <w:szCs w:val="32"/>
    </w:rPr>
  </w:style>
  <w:style w:type="character" w:styleId="Heading2Char" w:customStyle="1">
    <w:name w:val="Heading 2 Char"/>
    <w:basedOn w:val="DefaultParagraphFont"/>
    <w:link w:val="Heading2"/>
    <w:uiPriority w:val="9"/>
    <w:rsid w:val="000B62B4"/>
    <w:rPr>
      <w:rFonts w:ascii="Times New Roman" w:hAnsi="Times New Roman" w:eastAsiaTheme="majorEastAsia" w:cstheme="majorBidi"/>
      <w:b/>
      <w:color w:val="000000" w:themeColor="text1"/>
      <w:sz w:val="26"/>
      <w:szCs w:val="26"/>
    </w:rPr>
  </w:style>
  <w:style w:type="character" w:styleId="Heading3Char" w:customStyle="1">
    <w:name w:val="Heading 3 Char"/>
    <w:basedOn w:val="DefaultParagraphFont"/>
    <w:link w:val="Heading3"/>
    <w:uiPriority w:val="9"/>
    <w:rsid w:val="0096742F"/>
    <w:rPr>
      <w:rFonts w:asciiTheme="majorBidi" w:hAnsiTheme="majorBidi" w:eastAsiaTheme="majorEastAsia" w:cstheme="majorBidi"/>
      <w:b/>
      <w:color w:val="2E74B5" w:themeColor="accent1" w:themeShade="BF"/>
      <w:szCs w:val="28"/>
    </w:rPr>
  </w:style>
  <w:style w:type="paragraph" w:styleId="TOCHeading">
    <w:name w:val="TOC Heading"/>
    <w:basedOn w:val="Heading1"/>
    <w:next w:val="Normal"/>
    <w:uiPriority w:val="39"/>
    <w:unhideWhenUsed/>
    <w:qFormat/>
    <w:rsid w:val="002039A3"/>
    <w:pPr>
      <w:numPr>
        <w:numId w:val="0"/>
      </w:num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2039A3"/>
    <w:pPr>
      <w:spacing w:after="100"/>
    </w:pPr>
  </w:style>
  <w:style w:type="paragraph" w:styleId="TOC2">
    <w:name w:val="toc 2"/>
    <w:basedOn w:val="Normal"/>
    <w:next w:val="Normal"/>
    <w:autoRedefine/>
    <w:uiPriority w:val="39"/>
    <w:unhideWhenUsed/>
    <w:rsid w:val="002039A3"/>
    <w:pPr>
      <w:spacing w:after="100"/>
      <w:ind w:left="240"/>
    </w:pPr>
  </w:style>
  <w:style w:type="character" w:styleId="Hyperlink">
    <w:name w:val="Hyperlink"/>
    <w:basedOn w:val="DefaultParagraphFont"/>
    <w:uiPriority w:val="99"/>
    <w:unhideWhenUsed/>
    <w:rsid w:val="002039A3"/>
    <w:rPr>
      <w:color w:val="0563C1" w:themeColor="hyperlink"/>
      <w:u w:val="single"/>
    </w:rPr>
  </w:style>
  <w:style w:type="paragraph" w:styleId="Header">
    <w:name w:val="header"/>
    <w:basedOn w:val="Normal"/>
    <w:link w:val="HeaderChar"/>
    <w:uiPriority w:val="99"/>
    <w:unhideWhenUsed/>
    <w:rsid w:val="002039A3"/>
    <w:pPr>
      <w:tabs>
        <w:tab w:val="center" w:pos="4680"/>
        <w:tab w:val="right" w:pos="9360"/>
      </w:tabs>
      <w:spacing w:after="0" w:line="240" w:lineRule="auto"/>
    </w:pPr>
  </w:style>
  <w:style w:type="character" w:styleId="HeaderChar" w:customStyle="1">
    <w:name w:val="Header Char"/>
    <w:basedOn w:val="DefaultParagraphFont"/>
    <w:link w:val="Header"/>
    <w:uiPriority w:val="99"/>
    <w:rsid w:val="002039A3"/>
    <w:rPr>
      <w:rFonts w:ascii="Times New Roman" w:hAnsi="Times New Roman"/>
      <w:color w:val="000000" w:themeColor="text1"/>
      <w:sz w:val="24"/>
      <w:lang w:val="en-GB"/>
    </w:rPr>
  </w:style>
  <w:style w:type="paragraph" w:styleId="Footer">
    <w:name w:val="footer"/>
    <w:basedOn w:val="Normal"/>
    <w:link w:val="FooterChar"/>
    <w:uiPriority w:val="99"/>
    <w:unhideWhenUsed/>
    <w:rsid w:val="002039A3"/>
    <w:pPr>
      <w:tabs>
        <w:tab w:val="center" w:pos="4680"/>
        <w:tab w:val="right" w:pos="9360"/>
      </w:tabs>
      <w:spacing w:after="0" w:line="240" w:lineRule="auto"/>
    </w:pPr>
  </w:style>
  <w:style w:type="character" w:styleId="FooterChar" w:customStyle="1">
    <w:name w:val="Footer Char"/>
    <w:basedOn w:val="DefaultParagraphFont"/>
    <w:link w:val="Footer"/>
    <w:uiPriority w:val="99"/>
    <w:rsid w:val="002039A3"/>
    <w:rPr>
      <w:rFonts w:ascii="Times New Roman" w:hAnsi="Times New Roman"/>
      <w:color w:val="000000" w:themeColor="text1"/>
      <w:sz w:val="24"/>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18490">
      <w:bodyDiv w:val="1"/>
      <w:marLeft w:val="0"/>
      <w:marRight w:val="0"/>
      <w:marTop w:val="0"/>
      <w:marBottom w:val="0"/>
      <w:divBdr>
        <w:top w:val="none" w:sz="0" w:space="0" w:color="auto"/>
        <w:left w:val="none" w:sz="0" w:space="0" w:color="auto"/>
        <w:bottom w:val="none" w:sz="0" w:space="0" w:color="auto"/>
        <w:right w:val="none" w:sz="0" w:space="0" w:color="auto"/>
      </w:divBdr>
    </w:div>
    <w:div w:id="616370621">
      <w:bodyDiv w:val="1"/>
      <w:marLeft w:val="0"/>
      <w:marRight w:val="0"/>
      <w:marTop w:val="0"/>
      <w:marBottom w:val="0"/>
      <w:divBdr>
        <w:top w:val="none" w:sz="0" w:space="0" w:color="auto"/>
        <w:left w:val="none" w:sz="0" w:space="0" w:color="auto"/>
        <w:bottom w:val="none" w:sz="0" w:space="0" w:color="auto"/>
        <w:right w:val="none" w:sz="0" w:space="0" w:color="auto"/>
      </w:divBdr>
    </w:div>
    <w:div w:id="1305431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eader" Target="header.xml" Id="R7f8e990e434c49be" /><Relationship Type="http://schemas.microsoft.com/office/2020/10/relationships/intelligence" Target="intelligence2.xml" Id="Rc6bcf80761644ea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8F5A778-3D95-482F-90D0-CFAAA357E0B9}">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MRInnovations</dc:creator>
  <keywords/>
  <dc:description/>
  <lastModifiedBy>Uzma Muhammad (2406912)</lastModifiedBy>
  <revision>4</revision>
  <dcterms:created xsi:type="dcterms:W3CDTF">2026-03-06T21:28:00.0000000Z</dcterms:created>
  <dcterms:modified xsi:type="dcterms:W3CDTF">2026-03-18T22:40:19.3246838Z</dcterms:modified>
</coreProperties>
</file>