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70CFD" w14:textId="4E4C93BA" w:rsidR="00661FDE" w:rsidRDefault="00206112" w:rsidP="00206112">
      <w:pPr>
        <w:rPr>
          <w:b/>
          <w:sz w:val="48"/>
          <w:szCs w:val="48"/>
        </w:rPr>
      </w:pPr>
      <w:r>
        <w:rPr>
          <w:b/>
          <w:sz w:val="48"/>
          <w:szCs w:val="48"/>
        </w:rPr>
        <w:t xml:space="preserve">                  </w:t>
      </w:r>
      <w:r>
        <w:rPr>
          <w:b/>
          <w:noProof/>
          <w:sz w:val="44"/>
          <w:szCs w:val="44"/>
          <w14:ligatures w14:val="standardContextual"/>
        </w:rPr>
        <w:drawing>
          <wp:inline distT="0" distB="0" distL="0" distR="0" wp14:anchorId="0A0A3037" wp14:editId="58EE7634">
            <wp:extent cx="2844165" cy="1600200"/>
            <wp:effectExtent l="0" t="0" r="0" b="0"/>
            <wp:docPr id="627802100" name="Picture 1" descr="A black and yellow shield with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02100" name="Picture 1" descr="A black and yellow shield with yellow flow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44165" cy="1600200"/>
                    </a:xfrm>
                    <a:prstGeom prst="rect">
                      <a:avLst/>
                    </a:prstGeom>
                  </pic:spPr>
                </pic:pic>
              </a:graphicData>
            </a:graphic>
          </wp:inline>
        </w:drawing>
      </w:r>
    </w:p>
    <w:p w14:paraId="3D309F6A" w14:textId="1337A1CE" w:rsidR="00DF77B5" w:rsidRDefault="00DF77B5" w:rsidP="00DF77B5">
      <w:pPr>
        <w:jc w:val="center"/>
        <w:rPr>
          <w:b/>
          <w:sz w:val="48"/>
          <w:szCs w:val="48"/>
        </w:rPr>
      </w:pPr>
      <w:r w:rsidRPr="000F26DB">
        <w:rPr>
          <w:b/>
          <w:sz w:val="48"/>
          <w:szCs w:val="48"/>
        </w:rPr>
        <w:t>International Business Communications</w:t>
      </w:r>
    </w:p>
    <w:p w14:paraId="3E16D014" w14:textId="77777777" w:rsidR="00661FDE" w:rsidRDefault="00661FDE" w:rsidP="00DF77B5">
      <w:pPr>
        <w:jc w:val="center"/>
        <w:rPr>
          <w:b/>
          <w:sz w:val="48"/>
          <w:szCs w:val="48"/>
        </w:rPr>
      </w:pPr>
    </w:p>
    <w:p w14:paraId="66982E5A" w14:textId="77777777" w:rsidR="00661FDE" w:rsidRDefault="000F26DB" w:rsidP="00DF77B5">
      <w:pPr>
        <w:jc w:val="center"/>
        <w:rPr>
          <w:b/>
          <w:sz w:val="48"/>
          <w:szCs w:val="48"/>
        </w:rPr>
      </w:pPr>
      <w:r>
        <w:rPr>
          <w:b/>
          <w:sz w:val="48"/>
          <w:szCs w:val="48"/>
        </w:rPr>
        <w:t>LCBB6001</w:t>
      </w:r>
      <w:r w:rsidR="00661FDE">
        <w:rPr>
          <w:b/>
          <w:sz w:val="48"/>
          <w:szCs w:val="48"/>
        </w:rPr>
        <w:t xml:space="preserve"> </w:t>
      </w:r>
    </w:p>
    <w:p w14:paraId="16EAB72F" w14:textId="54414245" w:rsidR="000F26DB" w:rsidRDefault="00A57A78" w:rsidP="00DF77B5">
      <w:pPr>
        <w:jc w:val="center"/>
        <w:rPr>
          <w:b/>
          <w:sz w:val="48"/>
          <w:szCs w:val="48"/>
        </w:rPr>
      </w:pPr>
      <w:r>
        <w:rPr>
          <w:b/>
          <w:sz w:val="48"/>
          <w:szCs w:val="48"/>
        </w:rPr>
        <w:t>Assessment 1</w:t>
      </w:r>
    </w:p>
    <w:p w14:paraId="16BA8C01" w14:textId="77777777" w:rsidR="00661FDE" w:rsidRDefault="00661FDE" w:rsidP="00DF77B5">
      <w:pPr>
        <w:jc w:val="center"/>
        <w:rPr>
          <w:b/>
          <w:sz w:val="48"/>
          <w:szCs w:val="48"/>
        </w:rPr>
      </w:pPr>
    </w:p>
    <w:p w14:paraId="1112CE53" w14:textId="662BDC9C" w:rsidR="00D75F97" w:rsidRDefault="00D75F97" w:rsidP="00DF77B5">
      <w:pPr>
        <w:jc w:val="center"/>
        <w:rPr>
          <w:b/>
          <w:sz w:val="48"/>
          <w:szCs w:val="48"/>
        </w:rPr>
      </w:pPr>
      <w:r>
        <w:rPr>
          <w:b/>
          <w:sz w:val="48"/>
          <w:szCs w:val="48"/>
        </w:rPr>
        <w:t xml:space="preserve"> Lecturer</w:t>
      </w:r>
      <w:r w:rsidR="00FB568E">
        <w:rPr>
          <w:b/>
          <w:sz w:val="48"/>
          <w:szCs w:val="48"/>
        </w:rPr>
        <w:t>:</w:t>
      </w:r>
      <w:r w:rsidR="00CF1F0A">
        <w:rPr>
          <w:b/>
          <w:sz w:val="48"/>
          <w:szCs w:val="48"/>
        </w:rPr>
        <w:t xml:space="preserve"> Dr Charles Nwaogwugwu</w:t>
      </w:r>
    </w:p>
    <w:p w14:paraId="5DBC40F2" w14:textId="77777777" w:rsidR="00661FDE" w:rsidRDefault="00661FDE" w:rsidP="00DF77B5">
      <w:pPr>
        <w:jc w:val="center"/>
        <w:rPr>
          <w:b/>
          <w:sz w:val="48"/>
          <w:szCs w:val="48"/>
        </w:rPr>
      </w:pPr>
    </w:p>
    <w:p w14:paraId="42F292F0" w14:textId="77777777" w:rsidR="00661FDE" w:rsidRDefault="00D75F97" w:rsidP="00DF77B5">
      <w:pPr>
        <w:jc w:val="center"/>
        <w:rPr>
          <w:b/>
          <w:sz w:val="44"/>
          <w:szCs w:val="44"/>
        </w:rPr>
      </w:pPr>
      <w:r w:rsidRPr="00D75F97">
        <w:rPr>
          <w:b/>
          <w:sz w:val="44"/>
          <w:szCs w:val="44"/>
        </w:rPr>
        <w:t>Navigating Cultural Dynamics:</w:t>
      </w:r>
    </w:p>
    <w:p w14:paraId="50FFB6D7" w14:textId="77777777" w:rsidR="00661FDE" w:rsidRDefault="00D75F97" w:rsidP="00DF77B5">
      <w:pPr>
        <w:jc w:val="center"/>
        <w:rPr>
          <w:b/>
          <w:sz w:val="44"/>
          <w:szCs w:val="44"/>
        </w:rPr>
      </w:pPr>
      <w:r w:rsidRPr="00D75F97">
        <w:rPr>
          <w:b/>
          <w:sz w:val="44"/>
          <w:szCs w:val="44"/>
        </w:rPr>
        <w:t xml:space="preserve"> A Strategic Analysis for </w:t>
      </w:r>
    </w:p>
    <w:p w14:paraId="59900DAF" w14:textId="77777777" w:rsidR="00661FDE" w:rsidRDefault="00D75F97" w:rsidP="00DF77B5">
      <w:pPr>
        <w:jc w:val="center"/>
        <w:rPr>
          <w:b/>
          <w:sz w:val="44"/>
          <w:szCs w:val="44"/>
        </w:rPr>
      </w:pPr>
      <w:r w:rsidRPr="00D75F97">
        <w:rPr>
          <w:b/>
          <w:sz w:val="44"/>
          <w:szCs w:val="44"/>
        </w:rPr>
        <w:t>Barclays' Expansion into</w:t>
      </w:r>
    </w:p>
    <w:p w14:paraId="6C382C10" w14:textId="7D163F87" w:rsidR="00D75F97" w:rsidRDefault="00D75F97" w:rsidP="00DF77B5">
      <w:pPr>
        <w:jc w:val="center"/>
        <w:rPr>
          <w:b/>
          <w:sz w:val="44"/>
          <w:szCs w:val="44"/>
        </w:rPr>
      </w:pPr>
      <w:r w:rsidRPr="00D75F97">
        <w:rPr>
          <w:b/>
          <w:sz w:val="44"/>
          <w:szCs w:val="44"/>
        </w:rPr>
        <w:t xml:space="preserve"> Ireland or the Netherlands</w:t>
      </w:r>
    </w:p>
    <w:p w14:paraId="1F1A9036" w14:textId="5AD3C43A" w:rsidR="00661FDE" w:rsidRDefault="00661FDE" w:rsidP="00DF77B5">
      <w:pPr>
        <w:jc w:val="center"/>
        <w:rPr>
          <w:b/>
          <w:sz w:val="44"/>
          <w:szCs w:val="44"/>
        </w:rPr>
      </w:pPr>
    </w:p>
    <w:p w14:paraId="78FBE72D" w14:textId="407B3656" w:rsidR="00D321C4" w:rsidRDefault="00D321C4" w:rsidP="00DF77B5">
      <w:pPr>
        <w:jc w:val="center"/>
        <w:rPr>
          <w:b/>
          <w:sz w:val="44"/>
          <w:szCs w:val="44"/>
        </w:rPr>
      </w:pPr>
      <w:r>
        <w:rPr>
          <w:b/>
          <w:sz w:val="44"/>
          <w:szCs w:val="44"/>
        </w:rPr>
        <w:t>Student: Cristina Anton</w:t>
      </w:r>
    </w:p>
    <w:p w14:paraId="0D606739" w14:textId="274262C3" w:rsidR="00DF77B5" w:rsidRPr="00206112" w:rsidRDefault="00D321C4" w:rsidP="00206112">
      <w:pPr>
        <w:jc w:val="center"/>
        <w:rPr>
          <w:b/>
          <w:sz w:val="44"/>
          <w:szCs w:val="44"/>
        </w:rPr>
      </w:pPr>
      <w:r>
        <w:rPr>
          <w:b/>
          <w:sz w:val="44"/>
          <w:szCs w:val="44"/>
        </w:rPr>
        <w:t>Student ID:2</w:t>
      </w:r>
      <w:r w:rsidR="00661FDE">
        <w:rPr>
          <w:b/>
          <w:sz w:val="44"/>
          <w:szCs w:val="44"/>
        </w:rPr>
        <w:t>112679</w:t>
      </w:r>
      <w:r w:rsidR="00DF77B5">
        <w:rPr>
          <w:b/>
          <w:sz w:val="28"/>
          <w:szCs w:val="28"/>
        </w:rPr>
        <w:br w:type="page"/>
      </w:r>
    </w:p>
    <w:sdt>
      <w:sdtPr>
        <w:rPr>
          <w:rFonts w:ascii="Times New Roman" w:eastAsiaTheme="minorHAnsi" w:hAnsi="Times New Roman" w:cstheme="minorBidi"/>
          <w:color w:val="auto"/>
          <w:sz w:val="24"/>
          <w:szCs w:val="22"/>
          <w:lang w:val="en-GB"/>
        </w:rPr>
        <w:id w:val="-1580199755"/>
        <w:docPartObj>
          <w:docPartGallery w:val="Table of Contents"/>
          <w:docPartUnique/>
        </w:docPartObj>
      </w:sdtPr>
      <w:sdtEndPr>
        <w:rPr>
          <w:b/>
          <w:bCs/>
          <w:noProof/>
        </w:rPr>
      </w:sdtEndPr>
      <w:sdtContent>
        <w:p w14:paraId="4664B4A6" w14:textId="77777777" w:rsidR="00DF77B5" w:rsidRPr="007D5114" w:rsidRDefault="00DF77B5" w:rsidP="00DF77B5">
          <w:pPr>
            <w:pStyle w:val="TOCHeading"/>
            <w:jc w:val="center"/>
            <w:rPr>
              <w:rFonts w:ascii="Times New Roman" w:hAnsi="Times New Roman" w:cs="Times New Roman"/>
              <w:b/>
              <w:color w:val="000000" w:themeColor="text1"/>
              <w:sz w:val="24"/>
              <w:szCs w:val="24"/>
            </w:rPr>
          </w:pPr>
          <w:r w:rsidRPr="007D5114">
            <w:rPr>
              <w:rFonts w:ascii="Times New Roman" w:hAnsi="Times New Roman" w:cs="Times New Roman"/>
              <w:b/>
              <w:color w:val="000000" w:themeColor="text1"/>
              <w:sz w:val="24"/>
              <w:szCs w:val="24"/>
            </w:rPr>
            <w:t>Table of Contents</w:t>
          </w:r>
        </w:p>
        <w:p w14:paraId="20730DF6" w14:textId="00229DFA" w:rsidR="00DF77B5" w:rsidRPr="005A1A4B" w:rsidRDefault="00DF77B5" w:rsidP="009365E6">
          <w:pPr>
            <w:pStyle w:val="TOC1"/>
            <w:tabs>
              <w:tab w:val="right" w:leader="dot" w:pos="9016"/>
            </w:tabs>
            <w:spacing w:line="240" w:lineRule="auto"/>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0795546" w:history="1">
            <w:r w:rsidRPr="005A1A4B">
              <w:rPr>
                <w:rStyle w:val="Hyperlink"/>
                <w:rFonts w:cs="Times New Roman"/>
                <w:noProof/>
              </w:rPr>
              <w:t>Introduction</w:t>
            </w:r>
            <w:r w:rsidRPr="005A1A4B">
              <w:rPr>
                <w:noProof/>
                <w:webHidden/>
              </w:rPr>
              <w:tab/>
            </w:r>
            <w:r w:rsidR="00602894">
              <w:rPr>
                <w:noProof/>
                <w:webHidden/>
              </w:rPr>
              <w:t>3</w:t>
            </w:r>
          </w:hyperlink>
        </w:p>
        <w:p w14:paraId="78EB5F0B" w14:textId="0689B5BF" w:rsidR="00DF77B5" w:rsidRPr="005A1A4B" w:rsidRDefault="00DF77B5" w:rsidP="009365E6">
          <w:pPr>
            <w:pStyle w:val="TOC1"/>
            <w:tabs>
              <w:tab w:val="right" w:leader="dot" w:pos="9016"/>
            </w:tabs>
            <w:spacing w:line="240" w:lineRule="auto"/>
            <w:rPr>
              <w:rFonts w:asciiTheme="minorHAnsi" w:eastAsiaTheme="minorEastAsia" w:hAnsiTheme="minorHAnsi"/>
              <w:noProof/>
              <w:sz w:val="22"/>
              <w:lang w:eastAsia="en-GB"/>
            </w:rPr>
          </w:pPr>
          <w:hyperlink w:anchor="_Toc150795547" w:history="1">
            <w:r w:rsidRPr="005A1A4B">
              <w:rPr>
                <w:rStyle w:val="Hyperlink"/>
                <w:rFonts w:cs="Times New Roman"/>
                <w:noProof/>
              </w:rPr>
              <w:t>British Business Communications</w:t>
            </w:r>
            <w:r w:rsidRPr="005A1A4B">
              <w:rPr>
                <w:noProof/>
                <w:webHidden/>
              </w:rPr>
              <w:tab/>
            </w:r>
            <w:r w:rsidR="00602894">
              <w:rPr>
                <w:noProof/>
                <w:webHidden/>
              </w:rPr>
              <w:t>3</w:t>
            </w:r>
          </w:hyperlink>
        </w:p>
        <w:p w14:paraId="78AA308A" w14:textId="2BE991C1" w:rsidR="00DF77B5" w:rsidRPr="005A1A4B" w:rsidRDefault="00DF77B5" w:rsidP="009365E6">
          <w:pPr>
            <w:pStyle w:val="TOC1"/>
            <w:tabs>
              <w:tab w:val="right" w:leader="dot" w:pos="9016"/>
            </w:tabs>
            <w:spacing w:line="240" w:lineRule="auto"/>
            <w:rPr>
              <w:rFonts w:asciiTheme="minorHAnsi" w:eastAsiaTheme="minorEastAsia" w:hAnsiTheme="minorHAnsi"/>
              <w:noProof/>
              <w:sz w:val="22"/>
              <w:lang w:eastAsia="en-GB"/>
            </w:rPr>
          </w:pPr>
          <w:hyperlink w:anchor="_Toc150795548" w:history="1">
            <w:r w:rsidRPr="005A1A4B">
              <w:rPr>
                <w:rStyle w:val="Hyperlink"/>
                <w:rFonts w:cs="Times New Roman"/>
                <w:noProof/>
              </w:rPr>
              <w:t>Defining Barclays Bank</w:t>
            </w:r>
            <w:r w:rsidRPr="005A1A4B">
              <w:rPr>
                <w:noProof/>
                <w:webHidden/>
              </w:rPr>
              <w:tab/>
            </w:r>
            <w:r w:rsidR="00602894">
              <w:rPr>
                <w:noProof/>
                <w:webHidden/>
              </w:rPr>
              <w:t>4</w:t>
            </w:r>
          </w:hyperlink>
        </w:p>
        <w:p w14:paraId="34150E9A" w14:textId="44933D41" w:rsidR="00DF77B5" w:rsidRPr="005A1A4B" w:rsidRDefault="00DF77B5" w:rsidP="009365E6">
          <w:pPr>
            <w:pStyle w:val="TOC1"/>
            <w:tabs>
              <w:tab w:val="right" w:leader="dot" w:pos="9016"/>
            </w:tabs>
            <w:spacing w:line="240" w:lineRule="auto"/>
            <w:rPr>
              <w:rFonts w:asciiTheme="minorHAnsi" w:eastAsiaTheme="minorEastAsia" w:hAnsiTheme="minorHAnsi"/>
              <w:noProof/>
              <w:sz w:val="22"/>
              <w:lang w:eastAsia="en-GB"/>
            </w:rPr>
          </w:pPr>
          <w:hyperlink w:anchor="_Toc150795549" w:history="1">
            <w:r w:rsidRPr="005A1A4B">
              <w:rPr>
                <w:rStyle w:val="Hyperlink"/>
                <w:rFonts w:cs="Times New Roman"/>
                <w:noProof/>
              </w:rPr>
              <w:t>Evaluation of the European Countries</w:t>
            </w:r>
            <w:r w:rsidRPr="005A1A4B">
              <w:rPr>
                <w:noProof/>
                <w:webHidden/>
              </w:rPr>
              <w:tab/>
            </w:r>
            <w:r w:rsidR="00602894">
              <w:rPr>
                <w:noProof/>
                <w:webHidden/>
              </w:rPr>
              <w:t>4</w:t>
            </w:r>
          </w:hyperlink>
        </w:p>
        <w:p w14:paraId="37E30DFC" w14:textId="77777777" w:rsidR="00602894" w:rsidRDefault="00DF77B5" w:rsidP="00602894">
          <w:pPr>
            <w:pStyle w:val="TOC2"/>
            <w:spacing w:line="240" w:lineRule="auto"/>
            <w:rPr>
              <w:noProof/>
            </w:rPr>
          </w:pPr>
          <w:hyperlink w:anchor="_Toc150795550" w:history="1">
            <w:r w:rsidRPr="005A1A4B">
              <w:rPr>
                <w:rStyle w:val="Hyperlink"/>
                <w:rFonts w:cs="Times New Roman"/>
                <w:noProof/>
              </w:rPr>
              <w:t>Hofstede Cultural Dimension in relation to the Barclays in Ireland</w:t>
            </w:r>
            <w:r w:rsidRPr="005A1A4B">
              <w:rPr>
                <w:noProof/>
                <w:webHidden/>
              </w:rPr>
              <w:tab/>
            </w:r>
            <w:r w:rsidR="00602894">
              <w:rPr>
                <w:noProof/>
                <w:webHidden/>
              </w:rPr>
              <w:t>4</w:t>
            </w:r>
          </w:hyperlink>
        </w:p>
        <w:p w14:paraId="088A5428" w14:textId="25493698" w:rsidR="00602894" w:rsidRPr="00602894" w:rsidRDefault="00602894" w:rsidP="00602894">
          <w:pPr>
            <w:pStyle w:val="TOC2"/>
            <w:spacing w:line="240" w:lineRule="auto"/>
            <w:rPr>
              <w:noProof/>
            </w:rPr>
          </w:pPr>
          <w:r>
            <w:rPr>
              <w:noProof/>
            </w:rPr>
            <w:t xml:space="preserve">     </w:t>
          </w:r>
          <w:r>
            <w:t>Language barriers……………………………………………………………………</w:t>
          </w:r>
          <w:r w:rsidR="00BD7A36">
            <w:t>….</w:t>
          </w:r>
          <w:r>
            <w:t>4</w:t>
          </w:r>
        </w:p>
        <w:p w14:paraId="2C38DF3B" w14:textId="40A31718" w:rsidR="00DF77B5" w:rsidRPr="005A1A4B" w:rsidRDefault="00DF77B5" w:rsidP="009365E6">
          <w:pPr>
            <w:pStyle w:val="TOC3"/>
            <w:tabs>
              <w:tab w:val="right" w:leader="dot" w:pos="9016"/>
            </w:tabs>
            <w:spacing w:line="240" w:lineRule="auto"/>
            <w:rPr>
              <w:rFonts w:asciiTheme="minorHAnsi" w:eastAsiaTheme="minorEastAsia" w:hAnsiTheme="minorHAnsi"/>
              <w:noProof/>
              <w:sz w:val="22"/>
              <w:lang w:eastAsia="en-GB"/>
            </w:rPr>
          </w:pPr>
          <w:hyperlink w:anchor="_Toc150795551" w:history="1">
            <w:r w:rsidRPr="005A1A4B">
              <w:rPr>
                <w:rStyle w:val="Hyperlink"/>
                <w:rFonts w:cs="Times New Roman"/>
                <w:noProof/>
              </w:rPr>
              <w:t>Power distance</w:t>
            </w:r>
            <w:r w:rsidRPr="005A1A4B">
              <w:rPr>
                <w:noProof/>
                <w:webHidden/>
              </w:rPr>
              <w:tab/>
            </w:r>
            <w:r w:rsidR="00602894">
              <w:rPr>
                <w:noProof/>
                <w:webHidden/>
              </w:rPr>
              <w:t>4</w:t>
            </w:r>
          </w:hyperlink>
        </w:p>
        <w:p w14:paraId="1CD8A298" w14:textId="77777777" w:rsidR="00DF77B5" w:rsidRPr="005A1A4B" w:rsidRDefault="00DF77B5" w:rsidP="009365E6">
          <w:pPr>
            <w:pStyle w:val="TOC3"/>
            <w:tabs>
              <w:tab w:val="right" w:leader="dot" w:pos="9016"/>
            </w:tabs>
            <w:spacing w:line="240" w:lineRule="auto"/>
            <w:rPr>
              <w:rFonts w:asciiTheme="minorHAnsi" w:eastAsiaTheme="minorEastAsia" w:hAnsiTheme="minorHAnsi"/>
              <w:noProof/>
              <w:sz w:val="22"/>
              <w:lang w:eastAsia="en-GB"/>
            </w:rPr>
          </w:pPr>
          <w:hyperlink w:anchor="_Toc150795552" w:history="1">
            <w:r w:rsidRPr="005A1A4B">
              <w:rPr>
                <w:rStyle w:val="Hyperlink"/>
                <w:rFonts w:cs="Times New Roman"/>
                <w:noProof/>
              </w:rPr>
              <w:t>Individualism vs collectivism</w:t>
            </w:r>
            <w:r w:rsidRPr="005A1A4B">
              <w:rPr>
                <w:noProof/>
                <w:webHidden/>
              </w:rPr>
              <w:tab/>
            </w:r>
            <w:r w:rsidRPr="005A1A4B">
              <w:rPr>
                <w:noProof/>
                <w:webHidden/>
              </w:rPr>
              <w:fldChar w:fldCharType="begin"/>
            </w:r>
            <w:r w:rsidRPr="005A1A4B">
              <w:rPr>
                <w:noProof/>
                <w:webHidden/>
              </w:rPr>
              <w:instrText xml:space="preserve"> PAGEREF _Toc150795552 \h </w:instrText>
            </w:r>
            <w:r w:rsidRPr="005A1A4B">
              <w:rPr>
                <w:noProof/>
                <w:webHidden/>
              </w:rPr>
            </w:r>
            <w:r w:rsidRPr="005A1A4B">
              <w:rPr>
                <w:noProof/>
                <w:webHidden/>
              </w:rPr>
              <w:fldChar w:fldCharType="separate"/>
            </w:r>
            <w:r w:rsidRPr="005A1A4B">
              <w:rPr>
                <w:noProof/>
                <w:webHidden/>
              </w:rPr>
              <w:t>4</w:t>
            </w:r>
            <w:r w:rsidRPr="005A1A4B">
              <w:rPr>
                <w:noProof/>
                <w:webHidden/>
              </w:rPr>
              <w:fldChar w:fldCharType="end"/>
            </w:r>
          </w:hyperlink>
        </w:p>
        <w:p w14:paraId="3DE2519F" w14:textId="3188BEF3" w:rsidR="00DF77B5" w:rsidRPr="005A1A4B" w:rsidRDefault="00DF77B5" w:rsidP="009365E6">
          <w:pPr>
            <w:pStyle w:val="TOC3"/>
            <w:tabs>
              <w:tab w:val="right" w:leader="dot" w:pos="9016"/>
            </w:tabs>
            <w:spacing w:line="240" w:lineRule="auto"/>
            <w:rPr>
              <w:rFonts w:asciiTheme="minorHAnsi" w:eastAsiaTheme="minorEastAsia" w:hAnsiTheme="minorHAnsi"/>
              <w:noProof/>
              <w:sz w:val="22"/>
              <w:lang w:eastAsia="en-GB"/>
            </w:rPr>
          </w:pPr>
          <w:hyperlink w:anchor="_Toc150795553" w:history="1">
            <w:r w:rsidRPr="005A1A4B">
              <w:rPr>
                <w:rStyle w:val="Hyperlink"/>
                <w:rFonts w:cs="Times New Roman"/>
                <w:noProof/>
              </w:rPr>
              <w:t>Masculinity vs femininity</w:t>
            </w:r>
            <w:r w:rsidRPr="005A1A4B">
              <w:rPr>
                <w:noProof/>
                <w:webHidden/>
              </w:rPr>
              <w:tab/>
            </w:r>
            <w:r w:rsidR="006B56FB">
              <w:rPr>
                <w:noProof/>
                <w:webHidden/>
              </w:rPr>
              <w:t>5</w:t>
            </w:r>
          </w:hyperlink>
        </w:p>
        <w:p w14:paraId="2E6227A4" w14:textId="646D8CB1" w:rsidR="00DF77B5" w:rsidRPr="005A1A4B" w:rsidRDefault="00DF77B5" w:rsidP="009365E6">
          <w:pPr>
            <w:pStyle w:val="TOC3"/>
            <w:tabs>
              <w:tab w:val="right" w:leader="dot" w:pos="9016"/>
            </w:tabs>
            <w:spacing w:line="240" w:lineRule="auto"/>
            <w:rPr>
              <w:rFonts w:asciiTheme="minorHAnsi" w:eastAsiaTheme="minorEastAsia" w:hAnsiTheme="minorHAnsi"/>
              <w:noProof/>
              <w:sz w:val="22"/>
              <w:lang w:eastAsia="en-GB"/>
            </w:rPr>
          </w:pPr>
          <w:hyperlink w:anchor="_Toc150795554" w:history="1">
            <w:r w:rsidRPr="005A1A4B">
              <w:rPr>
                <w:rStyle w:val="Hyperlink"/>
                <w:rFonts w:cs="Times New Roman"/>
                <w:noProof/>
              </w:rPr>
              <w:t>Uncertainty avoidance</w:t>
            </w:r>
            <w:r w:rsidRPr="005A1A4B">
              <w:rPr>
                <w:noProof/>
                <w:webHidden/>
              </w:rPr>
              <w:tab/>
            </w:r>
            <w:r w:rsidR="006B56FB">
              <w:rPr>
                <w:noProof/>
                <w:webHidden/>
              </w:rPr>
              <w:t>5</w:t>
            </w:r>
          </w:hyperlink>
        </w:p>
        <w:p w14:paraId="0697811E" w14:textId="02F2D53B" w:rsidR="00DF77B5" w:rsidRPr="005A1A4B" w:rsidRDefault="00DF77B5" w:rsidP="009365E6">
          <w:pPr>
            <w:pStyle w:val="TOC3"/>
            <w:tabs>
              <w:tab w:val="right" w:leader="dot" w:pos="9016"/>
            </w:tabs>
            <w:spacing w:line="240" w:lineRule="auto"/>
            <w:rPr>
              <w:rFonts w:asciiTheme="minorHAnsi" w:eastAsiaTheme="minorEastAsia" w:hAnsiTheme="minorHAnsi"/>
              <w:noProof/>
              <w:sz w:val="22"/>
              <w:lang w:eastAsia="en-GB"/>
            </w:rPr>
          </w:pPr>
          <w:hyperlink w:anchor="_Toc150795555" w:history="1">
            <w:r w:rsidRPr="005A1A4B">
              <w:rPr>
                <w:rStyle w:val="Hyperlink"/>
                <w:rFonts w:cs="Times New Roman"/>
                <w:noProof/>
              </w:rPr>
              <w:t>Long-term vs short-term orientation</w:t>
            </w:r>
            <w:r w:rsidRPr="005A1A4B">
              <w:rPr>
                <w:noProof/>
                <w:webHidden/>
              </w:rPr>
              <w:tab/>
            </w:r>
            <w:r w:rsidR="006B56FB">
              <w:rPr>
                <w:noProof/>
                <w:webHidden/>
              </w:rPr>
              <w:t>5</w:t>
            </w:r>
          </w:hyperlink>
        </w:p>
        <w:p w14:paraId="7D411AC3" w14:textId="286BCFAE" w:rsidR="00DF77B5" w:rsidRPr="007D5114" w:rsidRDefault="00DF77B5" w:rsidP="009365E6">
          <w:pPr>
            <w:pStyle w:val="TOC3"/>
            <w:tabs>
              <w:tab w:val="right" w:leader="dot" w:pos="9016"/>
            </w:tabs>
            <w:spacing w:line="240" w:lineRule="auto"/>
            <w:rPr>
              <w:rFonts w:asciiTheme="minorHAnsi" w:eastAsiaTheme="minorEastAsia" w:hAnsiTheme="minorHAnsi"/>
              <w:noProof/>
              <w:sz w:val="22"/>
              <w:lang w:eastAsia="en-GB"/>
            </w:rPr>
          </w:pPr>
          <w:hyperlink w:anchor="_Toc150795556" w:history="1">
            <w:r w:rsidRPr="005A1A4B">
              <w:rPr>
                <w:rStyle w:val="Hyperlink"/>
                <w:rFonts w:cs="Times New Roman"/>
                <w:noProof/>
              </w:rPr>
              <w:t>Indulgence vs restraint</w:t>
            </w:r>
            <w:r w:rsidRPr="005A1A4B">
              <w:rPr>
                <w:noProof/>
                <w:webHidden/>
              </w:rPr>
              <w:tab/>
            </w:r>
            <w:r w:rsidR="006B56FB">
              <w:rPr>
                <w:noProof/>
                <w:webHidden/>
              </w:rPr>
              <w:t>5</w:t>
            </w:r>
          </w:hyperlink>
        </w:p>
        <w:p w14:paraId="45AC93E4" w14:textId="7DED2B8A" w:rsidR="00DF77B5" w:rsidRPr="007D5114" w:rsidRDefault="00DF77B5" w:rsidP="009365E6">
          <w:pPr>
            <w:pStyle w:val="TOC2"/>
            <w:spacing w:line="240" w:lineRule="auto"/>
            <w:rPr>
              <w:rFonts w:asciiTheme="minorHAnsi" w:eastAsiaTheme="minorEastAsia" w:hAnsiTheme="minorHAnsi"/>
              <w:noProof/>
              <w:sz w:val="22"/>
              <w:lang w:eastAsia="en-GB"/>
            </w:rPr>
          </w:pPr>
          <w:hyperlink w:anchor="_Toc150795557" w:history="1">
            <w:r w:rsidRPr="007D5114">
              <w:rPr>
                <w:rStyle w:val="Hyperlink"/>
                <w:rFonts w:cs="Times New Roman"/>
                <w:noProof/>
              </w:rPr>
              <w:t xml:space="preserve">Hofstede Cultural Dimension </w:t>
            </w:r>
            <w:r w:rsidR="009365E6">
              <w:rPr>
                <w:rStyle w:val="Hyperlink"/>
                <w:rFonts w:cs="Times New Roman"/>
                <w:noProof/>
              </w:rPr>
              <w:t>for Dutch expansion of Barclays</w:t>
            </w:r>
            <w:r w:rsidRPr="007D5114">
              <w:rPr>
                <w:rStyle w:val="Hyperlink"/>
                <w:rFonts w:cs="Times New Roman"/>
                <w:noProof/>
              </w:rPr>
              <w:t xml:space="preserve"> </w:t>
            </w:r>
            <w:r w:rsidRPr="007D5114">
              <w:rPr>
                <w:noProof/>
                <w:webHidden/>
              </w:rPr>
              <w:tab/>
            </w:r>
            <w:r w:rsidR="006B56FB">
              <w:rPr>
                <w:noProof/>
                <w:webHidden/>
              </w:rPr>
              <w:t>6</w:t>
            </w:r>
          </w:hyperlink>
        </w:p>
        <w:p w14:paraId="08B25EC8" w14:textId="7FAA55D1" w:rsidR="00DF77B5" w:rsidRPr="005A1A4B" w:rsidRDefault="00DF77B5" w:rsidP="009365E6">
          <w:pPr>
            <w:pStyle w:val="TOC3"/>
            <w:tabs>
              <w:tab w:val="right" w:leader="dot" w:pos="9016"/>
            </w:tabs>
            <w:spacing w:line="240" w:lineRule="auto"/>
            <w:rPr>
              <w:rFonts w:asciiTheme="minorHAnsi" w:eastAsiaTheme="minorEastAsia" w:hAnsiTheme="minorHAnsi"/>
              <w:noProof/>
              <w:sz w:val="22"/>
              <w:lang w:eastAsia="en-GB"/>
            </w:rPr>
          </w:pPr>
          <w:hyperlink w:anchor="_Toc150795558" w:history="1">
            <w:r w:rsidRPr="005A1A4B">
              <w:rPr>
                <w:rStyle w:val="Hyperlink"/>
                <w:rFonts w:cs="Times New Roman"/>
                <w:noProof/>
              </w:rPr>
              <w:t>Power distance</w:t>
            </w:r>
            <w:r w:rsidRPr="005A1A4B">
              <w:rPr>
                <w:noProof/>
                <w:webHidden/>
              </w:rPr>
              <w:tab/>
            </w:r>
            <w:r w:rsidR="006B56FB">
              <w:rPr>
                <w:noProof/>
                <w:webHidden/>
              </w:rPr>
              <w:t>6</w:t>
            </w:r>
          </w:hyperlink>
        </w:p>
        <w:p w14:paraId="3DEAE70A" w14:textId="784DD9DD" w:rsidR="00DF77B5" w:rsidRPr="005A1A4B" w:rsidRDefault="00DF77B5" w:rsidP="009365E6">
          <w:pPr>
            <w:pStyle w:val="TOC3"/>
            <w:tabs>
              <w:tab w:val="right" w:leader="dot" w:pos="9016"/>
            </w:tabs>
            <w:spacing w:line="240" w:lineRule="auto"/>
            <w:rPr>
              <w:rFonts w:asciiTheme="minorHAnsi" w:eastAsiaTheme="minorEastAsia" w:hAnsiTheme="minorHAnsi"/>
              <w:noProof/>
              <w:sz w:val="22"/>
              <w:lang w:eastAsia="en-GB"/>
            </w:rPr>
          </w:pPr>
          <w:hyperlink w:anchor="_Toc150795559" w:history="1">
            <w:r w:rsidRPr="005A1A4B">
              <w:rPr>
                <w:rStyle w:val="Hyperlink"/>
                <w:rFonts w:cs="Times New Roman"/>
                <w:noProof/>
              </w:rPr>
              <w:t>Individualism vs collectivism</w:t>
            </w:r>
            <w:r w:rsidRPr="005A1A4B">
              <w:rPr>
                <w:noProof/>
                <w:webHidden/>
              </w:rPr>
              <w:tab/>
            </w:r>
            <w:r w:rsidR="006B56FB">
              <w:rPr>
                <w:noProof/>
                <w:webHidden/>
              </w:rPr>
              <w:t>6</w:t>
            </w:r>
          </w:hyperlink>
        </w:p>
        <w:p w14:paraId="77AE2FF0" w14:textId="2A43E1BD" w:rsidR="00DF77B5" w:rsidRPr="005A1A4B" w:rsidRDefault="00DF77B5" w:rsidP="009365E6">
          <w:pPr>
            <w:pStyle w:val="TOC3"/>
            <w:tabs>
              <w:tab w:val="right" w:leader="dot" w:pos="9016"/>
            </w:tabs>
            <w:spacing w:line="240" w:lineRule="auto"/>
            <w:rPr>
              <w:rFonts w:asciiTheme="minorHAnsi" w:eastAsiaTheme="minorEastAsia" w:hAnsiTheme="minorHAnsi"/>
              <w:noProof/>
              <w:sz w:val="22"/>
              <w:lang w:eastAsia="en-GB"/>
            </w:rPr>
          </w:pPr>
          <w:hyperlink w:anchor="_Toc150795560" w:history="1">
            <w:r w:rsidRPr="005A1A4B">
              <w:rPr>
                <w:rStyle w:val="Hyperlink"/>
                <w:rFonts w:cs="Times New Roman"/>
                <w:noProof/>
              </w:rPr>
              <w:t>Masculinity vs femininity</w:t>
            </w:r>
            <w:r w:rsidRPr="005A1A4B">
              <w:rPr>
                <w:noProof/>
                <w:webHidden/>
              </w:rPr>
              <w:tab/>
            </w:r>
            <w:r w:rsidR="006B56FB">
              <w:rPr>
                <w:noProof/>
                <w:webHidden/>
              </w:rPr>
              <w:t>6</w:t>
            </w:r>
          </w:hyperlink>
        </w:p>
        <w:p w14:paraId="70720B10" w14:textId="77777777" w:rsidR="00DF77B5" w:rsidRPr="005A1A4B" w:rsidRDefault="00DF77B5" w:rsidP="009365E6">
          <w:pPr>
            <w:pStyle w:val="TOC3"/>
            <w:tabs>
              <w:tab w:val="right" w:leader="dot" w:pos="9016"/>
            </w:tabs>
            <w:spacing w:line="240" w:lineRule="auto"/>
            <w:rPr>
              <w:rFonts w:asciiTheme="minorHAnsi" w:eastAsiaTheme="minorEastAsia" w:hAnsiTheme="minorHAnsi"/>
              <w:noProof/>
              <w:sz w:val="22"/>
              <w:lang w:eastAsia="en-GB"/>
            </w:rPr>
          </w:pPr>
          <w:hyperlink w:anchor="_Toc150795561" w:history="1">
            <w:r w:rsidRPr="005A1A4B">
              <w:rPr>
                <w:rStyle w:val="Hyperlink"/>
                <w:rFonts w:cs="Times New Roman"/>
                <w:noProof/>
              </w:rPr>
              <w:t>Uncertainty avoidance</w:t>
            </w:r>
            <w:r w:rsidRPr="005A1A4B">
              <w:rPr>
                <w:noProof/>
                <w:webHidden/>
              </w:rPr>
              <w:tab/>
            </w:r>
            <w:r w:rsidRPr="005A1A4B">
              <w:rPr>
                <w:noProof/>
                <w:webHidden/>
              </w:rPr>
              <w:fldChar w:fldCharType="begin"/>
            </w:r>
            <w:r w:rsidRPr="005A1A4B">
              <w:rPr>
                <w:noProof/>
                <w:webHidden/>
              </w:rPr>
              <w:instrText xml:space="preserve"> PAGEREF _Toc150795561 \h </w:instrText>
            </w:r>
            <w:r w:rsidRPr="005A1A4B">
              <w:rPr>
                <w:noProof/>
                <w:webHidden/>
              </w:rPr>
            </w:r>
            <w:r w:rsidRPr="005A1A4B">
              <w:rPr>
                <w:noProof/>
                <w:webHidden/>
              </w:rPr>
              <w:fldChar w:fldCharType="separate"/>
            </w:r>
            <w:r w:rsidRPr="005A1A4B">
              <w:rPr>
                <w:noProof/>
                <w:webHidden/>
              </w:rPr>
              <w:t>6</w:t>
            </w:r>
            <w:r w:rsidRPr="005A1A4B">
              <w:rPr>
                <w:noProof/>
                <w:webHidden/>
              </w:rPr>
              <w:fldChar w:fldCharType="end"/>
            </w:r>
          </w:hyperlink>
        </w:p>
        <w:p w14:paraId="621F4ED6" w14:textId="40F745D2" w:rsidR="00DF77B5" w:rsidRPr="005A1A4B" w:rsidRDefault="00DF77B5" w:rsidP="009365E6">
          <w:pPr>
            <w:pStyle w:val="TOC3"/>
            <w:tabs>
              <w:tab w:val="right" w:leader="dot" w:pos="9016"/>
            </w:tabs>
            <w:spacing w:line="240" w:lineRule="auto"/>
            <w:rPr>
              <w:rFonts w:asciiTheme="minorHAnsi" w:eastAsiaTheme="minorEastAsia" w:hAnsiTheme="minorHAnsi"/>
              <w:noProof/>
              <w:sz w:val="22"/>
              <w:lang w:eastAsia="en-GB"/>
            </w:rPr>
          </w:pPr>
          <w:hyperlink w:anchor="_Toc150795562" w:history="1">
            <w:r w:rsidRPr="005A1A4B">
              <w:rPr>
                <w:rStyle w:val="Hyperlink"/>
                <w:rFonts w:cs="Times New Roman"/>
                <w:noProof/>
              </w:rPr>
              <w:t>Long-term vs short-term orientation</w:t>
            </w:r>
            <w:r w:rsidRPr="005A1A4B">
              <w:rPr>
                <w:noProof/>
                <w:webHidden/>
              </w:rPr>
              <w:tab/>
            </w:r>
            <w:r w:rsidR="006B56FB">
              <w:rPr>
                <w:noProof/>
                <w:webHidden/>
              </w:rPr>
              <w:t>7</w:t>
            </w:r>
          </w:hyperlink>
        </w:p>
        <w:p w14:paraId="6620427A" w14:textId="16B33A17" w:rsidR="00DF77B5" w:rsidRPr="005A1A4B" w:rsidRDefault="00DF77B5" w:rsidP="009365E6">
          <w:pPr>
            <w:pStyle w:val="TOC3"/>
            <w:tabs>
              <w:tab w:val="right" w:leader="dot" w:pos="9016"/>
            </w:tabs>
            <w:spacing w:line="240" w:lineRule="auto"/>
            <w:rPr>
              <w:rFonts w:asciiTheme="minorHAnsi" w:eastAsiaTheme="minorEastAsia" w:hAnsiTheme="minorHAnsi"/>
              <w:noProof/>
              <w:sz w:val="22"/>
              <w:lang w:eastAsia="en-GB"/>
            </w:rPr>
          </w:pPr>
          <w:hyperlink w:anchor="_Toc150795563" w:history="1">
            <w:r w:rsidRPr="005A1A4B">
              <w:rPr>
                <w:rStyle w:val="Hyperlink"/>
                <w:rFonts w:cs="Times New Roman"/>
                <w:noProof/>
              </w:rPr>
              <w:t>Indulgence vs restraint</w:t>
            </w:r>
            <w:r w:rsidRPr="005A1A4B">
              <w:rPr>
                <w:noProof/>
                <w:webHidden/>
              </w:rPr>
              <w:tab/>
            </w:r>
            <w:r w:rsidR="006B56FB">
              <w:rPr>
                <w:noProof/>
                <w:webHidden/>
              </w:rPr>
              <w:t>7</w:t>
            </w:r>
          </w:hyperlink>
        </w:p>
        <w:p w14:paraId="7EA3413F" w14:textId="4099D1F9" w:rsidR="00DF77B5" w:rsidRPr="007D5114" w:rsidRDefault="00DF77B5" w:rsidP="009365E6">
          <w:pPr>
            <w:pStyle w:val="TOC1"/>
            <w:tabs>
              <w:tab w:val="right" w:leader="dot" w:pos="9016"/>
            </w:tabs>
            <w:spacing w:line="240" w:lineRule="auto"/>
            <w:rPr>
              <w:rFonts w:asciiTheme="minorHAnsi" w:eastAsiaTheme="minorEastAsia" w:hAnsiTheme="minorHAnsi"/>
              <w:noProof/>
              <w:sz w:val="22"/>
              <w:lang w:eastAsia="en-GB"/>
            </w:rPr>
          </w:pPr>
          <w:hyperlink w:anchor="_Toc150795564" w:history="1">
            <w:r w:rsidRPr="007D5114">
              <w:rPr>
                <w:rStyle w:val="Hyperlink"/>
                <w:rFonts w:cs="Times New Roman"/>
                <w:noProof/>
              </w:rPr>
              <w:t>Communication Barriers within the British Business</w:t>
            </w:r>
            <w:r w:rsidRPr="007D5114">
              <w:rPr>
                <w:noProof/>
                <w:webHidden/>
              </w:rPr>
              <w:tab/>
            </w:r>
            <w:r w:rsidR="006B56FB">
              <w:rPr>
                <w:noProof/>
                <w:webHidden/>
              </w:rPr>
              <w:t>7</w:t>
            </w:r>
          </w:hyperlink>
        </w:p>
        <w:p w14:paraId="580B028D" w14:textId="2549542A" w:rsidR="00DF77B5" w:rsidRPr="007D5114" w:rsidRDefault="00DF77B5" w:rsidP="009365E6">
          <w:pPr>
            <w:pStyle w:val="TOC2"/>
            <w:numPr>
              <w:ilvl w:val="0"/>
              <w:numId w:val="9"/>
            </w:numPr>
            <w:spacing w:line="240" w:lineRule="auto"/>
            <w:rPr>
              <w:rFonts w:asciiTheme="minorHAnsi" w:eastAsiaTheme="minorEastAsia" w:hAnsiTheme="minorHAnsi"/>
              <w:noProof/>
              <w:sz w:val="22"/>
              <w:lang w:eastAsia="en-GB"/>
            </w:rPr>
          </w:pPr>
          <w:hyperlink w:anchor="_Toc150795565" w:history="1">
            <w:r w:rsidR="000B5DBC">
              <w:rPr>
                <w:rFonts w:asciiTheme="minorHAnsi" w:eastAsiaTheme="minorEastAsia" w:hAnsiTheme="minorHAnsi"/>
                <w:noProof/>
                <w:sz w:val="22"/>
                <w:lang w:eastAsia="en-GB"/>
              </w:rPr>
              <w:t xml:space="preserve"> </w:t>
            </w:r>
            <w:r w:rsidRPr="007D5114">
              <w:rPr>
                <w:rStyle w:val="Hyperlink"/>
                <w:rFonts w:cs="Times New Roman"/>
                <w:noProof/>
              </w:rPr>
              <w:t>Psychological Barrier</w:t>
            </w:r>
            <w:r w:rsidR="000B5DBC">
              <w:rPr>
                <w:rStyle w:val="Hyperlink"/>
                <w:rFonts w:cs="Times New Roman"/>
                <w:noProof/>
              </w:rPr>
              <w:t>s</w:t>
            </w:r>
            <w:r w:rsidRPr="007D5114">
              <w:rPr>
                <w:noProof/>
                <w:webHidden/>
              </w:rPr>
              <w:tab/>
            </w:r>
            <w:r w:rsidR="006B56FB">
              <w:rPr>
                <w:noProof/>
                <w:webHidden/>
              </w:rPr>
              <w:t>7</w:t>
            </w:r>
          </w:hyperlink>
        </w:p>
        <w:p w14:paraId="396DAE05" w14:textId="5990AA00" w:rsidR="00DF77B5" w:rsidRDefault="00DF77B5" w:rsidP="009365E6">
          <w:pPr>
            <w:pStyle w:val="TOC2"/>
            <w:numPr>
              <w:ilvl w:val="0"/>
              <w:numId w:val="9"/>
            </w:numPr>
            <w:spacing w:line="240" w:lineRule="auto"/>
            <w:rPr>
              <w:noProof/>
            </w:rPr>
          </w:pPr>
          <w:hyperlink w:anchor="_Toc150795566" w:history="1">
            <w:r w:rsidR="000B5DBC">
              <w:rPr>
                <w:rFonts w:asciiTheme="minorHAnsi" w:eastAsiaTheme="minorEastAsia" w:hAnsiTheme="minorHAnsi"/>
                <w:noProof/>
                <w:sz w:val="22"/>
                <w:lang w:eastAsia="en-GB"/>
              </w:rPr>
              <w:t xml:space="preserve"> </w:t>
            </w:r>
            <w:r w:rsidRPr="007D5114">
              <w:rPr>
                <w:rStyle w:val="Hyperlink"/>
                <w:rFonts w:cs="Times New Roman"/>
                <w:noProof/>
              </w:rPr>
              <w:t>Cultural Barrier</w:t>
            </w:r>
            <w:r w:rsidR="000B5DBC">
              <w:rPr>
                <w:rStyle w:val="Hyperlink"/>
                <w:rFonts w:cs="Times New Roman"/>
                <w:noProof/>
              </w:rPr>
              <w:t>s</w:t>
            </w:r>
            <w:r w:rsidRPr="007D5114">
              <w:rPr>
                <w:noProof/>
                <w:webHidden/>
              </w:rPr>
              <w:tab/>
            </w:r>
            <w:r w:rsidR="006B56FB">
              <w:rPr>
                <w:noProof/>
                <w:webHidden/>
              </w:rPr>
              <w:t>8</w:t>
            </w:r>
          </w:hyperlink>
        </w:p>
        <w:p w14:paraId="2D7E424A" w14:textId="0A255158" w:rsidR="000B5DBC" w:rsidRDefault="000B5DBC" w:rsidP="009365E6">
          <w:pPr>
            <w:pStyle w:val="ListParagraph"/>
            <w:numPr>
              <w:ilvl w:val="0"/>
              <w:numId w:val="9"/>
            </w:numPr>
            <w:spacing w:line="240" w:lineRule="auto"/>
          </w:pPr>
          <w:r>
            <w:t xml:space="preserve"> Communication Styles…………………………………………………………</w:t>
          </w:r>
          <w:r w:rsidR="009365E6">
            <w:t>……..</w:t>
          </w:r>
          <w:r w:rsidR="006B56FB">
            <w:t>.8</w:t>
          </w:r>
        </w:p>
        <w:p w14:paraId="269C97D6" w14:textId="7D31C8FB" w:rsidR="009365E6" w:rsidRDefault="009365E6" w:rsidP="009365E6">
          <w:pPr>
            <w:pStyle w:val="ListParagraph"/>
            <w:numPr>
              <w:ilvl w:val="0"/>
              <w:numId w:val="9"/>
            </w:numPr>
            <w:spacing w:line="240" w:lineRule="auto"/>
          </w:pPr>
          <w:r>
            <w:t xml:space="preserve"> Labour Outlooks and Diversity……………………………………………….............9</w:t>
          </w:r>
        </w:p>
        <w:p w14:paraId="6965287B" w14:textId="1AAAB070" w:rsidR="006B56FB" w:rsidRDefault="009365E6" w:rsidP="00E93F20">
          <w:pPr>
            <w:pStyle w:val="ListParagraph"/>
            <w:numPr>
              <w:ilvl w:val="0"/>
              <w:numId w:val="9"/>
            </w:numPr>
            <w:spacing w:line="240" w:lineRule="auto"/>
          </w:pPr>
          <w:r>
            <w:t xml:space="preserve"> Risks Associated with Expansion…………………………………………………</w:t>
          </w:r>
          <w:r w:rsidR="006B56FB">
            <w:t>…</w:t>
          </w:r>
          <w:r w:rsidR="00A462AD">
            <w:t>.9.</w:t>
          </w:r>
        </w:p>
        <w:p w14:paraId="4BDB8DC1" w14:textId="217B3291" w:rsidR="009365E6" w:rsidRPr="000B5DBC" w:rsidRDefault="009365E6" w:rsidP="00411F80">
          <w:pPr>
            <w:spacing w:line="240" w:lineRule="auto"/>
          </w:pPr>
          <w:r w:rsidRPr="009365E6">
            <w:t>Why the Netherlands is a Better Option than Ireland</w:t>
          </w:r>
          <w:r>
            <w:t>……………………………</w:t>
          </w:r>
          <w:r w:rsidR="00411F80">
            <w:t>…………</w:t>
          </w:r>
          <w:r>
            <w:t>…</w:t>
          </w:r>
          <w:r w:rsidR="00A462AD">
            <w:t>10</w:t>
          </w:r>
        </w:p>
        <w:p w14:paraId="3FB9C4A4" w14:textId="127A5172" w:rsidR="00DF77B5" w:rsidRDefault="00DF77B5" w:rsidP="009365E6">
          <w:pPr>
            <w:pStyle w:val="TOC1"/>
            <w:tabs>
              <w:tab w:val="right" w:leader="dot" w:pos="9016"/>
            </w:tabs>
            <w:spacing w:line="240" w:lineRule="auto"/>
            <w:rPr>
              <w:noProof/>
            </w:rPr>
          </w:pPr>
          <w:hyperlink w:anchor="_Toc150795567" w:history="1">
            <w:r w:rsidRPr="007D5114">
              <w:rPr>
                <w:rStyle w:val="Hyperlink"/>
                <w:rFonts w:cs="Times New Roman"/>
                <w:noProof/>
              </w:rPr>
              <w:t>Recommendations</w:t>
            </w:r>
            <w:r w:rsidRPr="007D5114">
              <w:rPr>
                <w:noProof/>
                <w:webHidden/>
              </w:rPr>
              <w:tab/>
            </w:r>
            <w:r w:rsidR="00602894">
              <w:rPr>
                <w:noProof/>
                <w:webHidden/>
              </w:rPr>
              <w:t>10</w:t>
            </w:r>
          </w:hyperlink>
        </w:p>
        <w:p w14:paraId="2224FF5F" w14:textId="159F5F7D" w:rsidR="00602894" w:rsidRPr="00602894" w:rsidRDefault="00602894" w:rsidP="00602894">
          <w:pPr>
            <w:pStyle w:val="ListParagraph"/>
            <w:numPr>
              <w:ilvl w:val="0"/>
              <w:numId w:val="10"/>
            </w:numPr>
          </w:pPr>
          <w:r>
            <w:t xml:space="preserve"> </w:t>
          </w:r>
          <w:r w:rsidRPr="00602894">
            <w:t>Recommended Strategies for Overcoming Communication Barriers</w:t>
          </w:r>
          <w:r>
            <w:t>………………</w:t>
          </w:r>
          <w:r w:rsidR="009863EA">
            <w:t>.</w:t>
          </w:r>
          <w:r w:rsidR="00BD7A36">
            <w:t>11</w:t>
          </w:r>
        </w:p>
        <w:p w14:paraId="54B9A4B7" w14:textId="39CA9E33" w:rsidR="00DF77B5" w:rsidRPr="007D5114" w:rsidRDefault="00DF77B5" w:rsidP="009365E6">
          <w:pPr>
            <w:pStyle w:val="TOC1"/>
            <w:tabs>
              <w:tab w:val="right" w:leader="dot" w:pos="9016"/>
            </w:tabs>
            <w:spacing w:line="240" w:lineRule="auto"/>
            <w:rPr>
              <w:rFonts w:asciiTheme="minorHAnsi" w:eastAsiaTheme="minorEastAsia" w:hAnsiTheme="minorHAnsi"/>
              <w:noProof/>
              <w:sz w:val="22"/>
              <w:lang w:eastAsia="en-GB"/>
            </w:rPr>
          </w:pPr>
          <w:hyperlink w:anchor="_Toc150795568" w:history="1">
            <w:r w:rsidRPr="007D5114">
              <w:rPr>
                <w:rStyle w:val="Hyperlink"/>
                <w:rFonts w:cs="Times New Roman"/>
                <w:noProof/>
              </w:rPr>
              <w:t>Conclusion</w:t>
            </w:r>
            <w:r w:rsidRPr="007D5114">
              <w:rPr>
                <w:noProof/>
                <w:webHidden/>
              </w:rPr>
              <w:tab/>
            </w:r>
          </w:hyperlink>
          <w:r w:rsidR="00BD7A36">
            <w:rPr>
              <w:noProof/>
            </w:rPr>
            <w:t>12</w:t>
          </w:r>
        </w:p>
        <w:p w14:paraId="70F0D1DA" w14:textId="45C3B639" w:rsidR="00DF77B5" w:rsidRPr="007D5114" w:rsidRDefault="00DF77B5" w:rsidP="00DF77B5">
          <w:pPr>
            <w:pStyle w:val="TOC1"/>
            <w:tabs>
              <w:tab w:val="right" w:leader="dot" w:pos="9016"/>
            </w:tabs>
            <w:spacing w:line="360" w:lineRule="auto"/>
            <w:rPr>
              <w:rFonts w:asciiTheme="minorHAnsi" w:eastAsiaTheme="minorEastAsia" w:hAnsiTheme="minorHAnsi"/>
              <w:noProof/>
              <w:sz w:val="22"/>
              <w:lang w:eastAsia="en-GB"/>
            </w:rPr>
          </w:pPr>
          <w:hyperlink w:anchor="_Toc150795569" w:history="1">
            <w:r w:rsidRPr="007D5114">
              <w:rPr>
                <w:rStyle w:val="Hyperlink"/>
                <w:rFonts w:cs="Times New Roman"/>
                <w:noProof/>
              </w:rPr>
              <w:t>References</w:t>
            </w:r>
            <w:r w:rsidRPr="007D5114">
              <w:rPr>
                <w:noProof/>
                <w:webHidden/>
              </w:rPr>
              <w:tab/>
            </w:r>
            <w:r w:rsidR="00BD7A36">
              <w:rPr>
                <w:noProof/>
                <w:webHidden/>
              </w:rPr>
              <w:t>13</w:t>
            </w:r>
          </w:hyperlink>
        </w:p>
        <w:p w14:paraId="61AF7C13" w14:textId="77777777" w:rsidR="00DF77B5" w:rsidRDefault="00DF77B5" w:rsidP="00DF77B5">
          <w:pPr>
            <w:spacing w:line="360" w:lineRule="auto"/>
          </w:pPr>
          <w:r>
            <w:rPr>
              <w:b/>
              <w:bCs/>
              <w:noProof/>
            </w:rPr>
            <w:fldChar w:fldCharType="end"/>
          </w:r>
        </w:p>
      </w:sdtContent>
    </w:sdt>
    <w:p w14:paraId="2437C3B0" w14:textId="77777777" w:rsidR="00DF77B5" w:rsidRDefault="00DF77B5" w:rsidP="00DF77B5">
      <w:pPr>
        <w:pStyle w:val="Heading1"/>
        <w:rPr>
          <w:rFonts w:ascii="Times New Roman" w:hAnsi="Times New Roman" w:cs="Times New Roman"/>
          <w:b/>
          <w:color w:val="000000" w:themeColor="text1"/>
          <w:sz w:val="36"/>
          <w:szCs w:val="36"/>
        </w:rPr>
      </w:pPr>
      <w:r>
        <w:br w:type="page"/>
      </w:r>
      <w:bookmarkStart w:id="0" w:name="_Toc150795546"/>
      <w:r w:rsidRPr="000B5DBC">
        <w:rPr>
          <w:rFonts w:ascii="Times New Roman" w:hAnsi="Times New Roman" w:cs="Times New Roman"/>
          <w:b/>
          <w:color w:val="000000" w:themeColor="text1"/>
          <w:sz w:val="36"/>
          <w:szCs w:val="36"/>
        </w:rPr>
        <w:lastRenderedPageBreak/>
        <w:t>Introduction</w:t>
      </w:r>
      <w:bookmarkEnd w:id="0"/>
    </w:p>
    <w:p w14:paraId="328BF33A" w14:textId="77777777" w:rsidR="009863EA" w:rsidRPr="009863EA" w:rsidRDefault="009863EA" w:rsidP="009863EA"/>
    <w:p w14:paraId="07F30CE5" w14:textId="44588D68" w:rsidR="00DF77B5" w:rsidRPr="00DF77B5" w:rsidRDefault="00DF77B5" w:rsidP="00602894">
      <w:pPr>
        <w:spacing w:line="276" w:lineRule="auto"/>
        <w:rPr>
          <w:rFonts w:cs="Times New Roman"/>
          <w:sz w:val="28"/>
          <w:szCs w:val="28"/>
        </w:rPr>
      </w:pPr>
      <w:r w:rsidRPr="00DF77B5">
        <w:rPr>
          <w:rFonts w:cs="Times New Roman"/>
          <w:sz w:val="28"/>
          <w:szCs w:val="28"/>
        </w:rPr>
        <w:t>Communication facilitates the establishment and preservation of relationships, the sharing of knowledge, and the negotiation of transactions (Szkudlarek et al., 2020</w:t>
      </w:r>
      <w:r w:rsidR="00BA36CF">
        <w:rPr>
          <w:rFonts w:cs="Times New Roman"/>
          <w:sz w:val="28"/>
          <w:szCs w:val="28"/>
        </w:rPr>
        <w:t>, p</w:t>
      </w:r>
      <w:r w:rsidR="00A57A78">
        <w:rPr>
          <w:rFonts w:cs="Times New Roman"/>
          <w:sz w:val="28"/>
          <w:szCs w:val="28"/>
        </w:rPr>
        <w:t xml:space="preserve"> 5</w:t>
      </w:r>
      <w:r w:rsidRPr="00DF77B5">
        <w:rPr>
          <w:rFonts w:cs="Times New Roman"/>
          <w:sz w:val="28"/>
          <w:szCs w:val="28"/>
        </w:rPr>
        <w:t>). Furthermore, business communication encompasses the acquisition of knowledge pertaining to personal designations, direct interpersonal interaction, linguistic considerations, and establishing connections to foster business associations (Wu et al., 2022</w:t>
      </w:r>
      <w:r w:rsidR="005C01EB">
        <w:rPr>
          <w:rFonts w:cs="Times New Roman"/>
          <w:sz w:val="28"/>
          <w:szCs w:val="28"/>
        </w:rPr>
        <w:t>, pp</w:t>
      </w:r>
      <w:r w:rsidR="006D2417">
        <w:rPr>
          <w:rFonts w:cs="Times New Roman"/>
          <w:sz w:val="28"/>
          <w:szCs w:val="28"/>
        </w:rPr>
        <w:t xml:space="preserve"> 4</w:t>
      </w:r>
      <w:r w:rsidRPr="00DF77B5">
        <w:rPr>
          <w:rFonts w:cs="Times New Roman"/>
          <w:sz w:val="28"/>
          <w:szCs w:val="28"/>
        </w:rPr>
        <w:t xml:space="preserve">). </w:t>
      </w:r>
    </w:p>
    <w:p w14:paraId="12425A60" w14:textId="77777777" w:rsidR="00DF77B5" w:rsidRPr="00DF77B5" w:rsidRDefault="00DF77B5" w:rsidP="00602894">
      <w:pPr>
        <w:spacing w:line="276" w:lineRule="auto"/>
        <w:rPr>
          <w:rFonts w:cs="Times New Roman"/>
          <w:sz w:val="28"/>
          <w:szCs w:val="28"/>
        </w:rPr>
      </w:pPr>
      <w:r w:rsidRPr="00DF77B5">
        <w:rPr>
          <w:rFonts w:cs="Times New Roman"/>
          <w:sz w:val="28"/>
          <w:szCs w:val="28"/>
        </w:rPr>
        <w:t>This essay guides on choosing an appropriate European Union (EU) location for potential firm expansion. Proper interaction is crucial for achieving success in the global business environment. British firms, renowned for their adaptability and capacity to operate in many cultural contexts, navigate several markets with a strong focus on establishing robust relationships.</w:t>
      </w:r>
    </w:p>
    <w:p w14:paraId="74A3364C" w14:textId="1691DCA9" w:rsidR="00DF77B5" w:rsidRDefault="00DF77B5" w:rsidP="00602894">
      <w:pPr>
        <w:spacing w:line="276" w:lineRule="auto"/>
        <w:rPr>
          <w:rFonts w:cs="Times New Roman"/>
          <w:sz w:val="28"/>
          <w:szCs w:val="28"/>
        </w:rPr>
      </w:pPr>
      <w:r w:rsidRPr="00DF77B5">
        <w:rPr>
          <w:rFonts w:cs="Times New Roman"/>
          <w:sz w:val="28"/>
          <w:szCs w:val="28"/>
        </w:rPr>
        <w:t xml:space="preserve"> Barclays, a reputable British international bank, intends to expand its operations across the European Union effectively. A meticulous and comprehensive evaluation is necessary to determine whether Ireland or the Netherlands should be chosen.</w:t>
      </w:r>
    </w:p>
    <w:p w14:paraId="27B2370D" w14:textId="77777777" w:rsidR="009863EA" w:rsidRPr="00DF77B5" w:rsidRDefault="009863EA" w:rsidP="00602894">
      <w:pPr>
        <w:spacing w:line="276" w:lineRule="auto"/>
        <w:rPr>
          <w:rFonts w:cs="Times New Roman"/>
          <w:sz w:val="28"/>
          <w:szCs w:val="28"/>
        </w:rPr>
      </w:pPr>
    </w:p>
    <w:p w14:paraId="108F12B2" w14:textId="77777777" w:rsidR="00DF77B5" w:rsidRDefault="00DF77B5" w:rsidP="00DF77B5">
      <w:pPr>
        <w:pStyle w:val="Heading1"/>
        <w:rPr>
          <w:rFonts w:ascii="Times New Roman" w:hAnsi="Times New Roman" w:cs="Times New Roman"/>
          <w:b/>
          <w:color w:val="000000" w:themeColor="text1"/>
          <w:sz w:val="36"/>
          <w:szCs w:val="36"/>
        </w:rPr>
      </w:pPr>
      <w:bookmarkStart w:id="1" w:name="_Toc150795547"/>
      <w:r w:rsidRPr="00602894">
        <w:rPr>
          <w:rFonts w:ascii="Times New Roman" w:hAnsi="Times New Roman" w:cs="Times New Roman"/>
          <w:b/>
          <w:color w:val="000000" w:themeColor="text1"/>
          <w:sz w:val="36"/>
          <w:szCs w:val="36"/>
        </w:rPr>
        <w:t>British Business Communications</w:t>
      </w:r>
      <w:bookmarkEnd w:id="1"/>
    </w:p>
    <w:p w14:paraId="728E5769" w14:textId="77777777" w:rsidR="009863EA" w:rsidRPr="009863EA" w:rsidRDefault="009863EA" w:rsidP="009863EA"/>
    <w:p w14:paraId="33D76E6D" w14:textId="4BBC3E64" w:rsidR="00602894" w:rsidRPr="00DF77B5" w:rsidRDefault="00DF77B5" w:rsidP="00602894">
      <w:pPr>
        <w:spacing w:line="276" w:lineRule="auto"/>
        <w:rPr>
          <w:sz w:val="28"/>
          <w:szCs w:val="28"/>
        </w:rPr>
      </w:pPr>
      <w:r w:rsidRPr="00DF77B5">
        <w:rPr>
          <w:sz w:val="28"/>
          <w:szCs w:val="28"/>
        </w:rPr>
        <w:t xml:space="preserve">British business communications reflect cultural, social, and economic factors that influence how people interact and communicate. British individuals are courteous, subtle, and understated in speech; therefore, they may </w:t>
      </w:r>
      <w:r w:rsidR="006D4EFF" w:rsidRPr="00DF77B5">
        <w:rPr>
          <w:sz w:val="28"/>
          <w:szCs w:val="28"/>
        </w:rPr>
        <w:t>use</w:t>
      </w:r>
      <w:r w:rsidRPr="00DF77B5">
        <w:rPr>
          <w:sz w:val="28"/>
          <w:szCs w:val="28"/>
        </w:rPr>
        <w:t xml:space="preserve"> understatement or sarcasm more often. British business communications commonly include comedy. However, cultural differences must be considered to prevent upsetting anybody (Steinsworth, 2019</w:t>
      </w:r>
      <w:r w:rsidR="006D2417">
        <w:rPr>
          <w:sz w:val="28"/>
          <w:szCs w:val="28"/>
        </w:rPr>
        <w:t>, p 6</w:t>
      </w:r>
      <w:r w:rsidRPr="00DF77B5">
        <w:rPr>
          <w:sz w:val="28"/>
          <w:szCs w:val="28"/>
        </w:rPr>
        <w:t xml:space="preserve">). Social factors like British companies' hierarchical structure, which values </w:t>
      </w:r>
      <w:r w:rsidR="00BD7A36" w:rsidRPr="00DF77B5">
        <w:rPr>
          <w:sz w:val="28"/>
          <w:szCs w:val="28"/>
        </w:rPr>
        <w:t>seniority</w:t>
      </w:r>
      <w:r w:rsidRPr="00DF77B5">
        <w:rPr>
          <w:sz w:val="28"/>
          <w:szCs w:val="28"/>
        </w:rPr>
        <w:t xml:space="preserve"> and authority, affect business communications. Therefore, messaging must consider the audience and address them by title and in formal language when appropriate. The economy influences British corporate communications. Since the UK economy is so advanced and relies heavily on the service sector, corporate communications tend to be swift and efficiency-oriented: video conferences, emails and other forms of digital communication play an increasingly </w:t>
      </w:r>
      <w:r w:rsidR="008C6597" w:rsidRPr="00DF77B5">
        <w:rPr>
          <w:sz w:val="28"/>
          <w:szCs w:val="28"/>
        </w:rPr>
        <w:t>significant role</w:t>
      </w:r>
      <w:r w:rsidRPr="00DF77B5">
        <w:rPr>
          <w:sz w:val="28"/>
          <w:szCs w:val="28"/>
        </w:rPr>
        <w:t xml:space="preserve"> in professional </w:t>
      </w:r>
      <w:r w:rsidR="00BD7A36" w:rsidRPr="00DF77B5">
        <w:rPr>
          <w:sz w:val="28"/>
          <w:szCs w:val="28"/>
        </w:rPr>
        <w:t>settings.</w:t>
      </w:r>
    </w:p>
    <w:p w14:paraId="628C52BA" w14:textId="77777777" w:rsidR="00DF77B5" w:rsidRDefault="00DF77B5" w:rsidP="00DF77B5">
      <w:pPr>
        <w:pStyle w:val="Heading1"/>
        <w:rPr>
          <w:rFonts w:ascii="Times New Roman" w:hAnsi="Times New Roman" w:cs="Times New Roman"/>
          <w:b/>
          <w:color w:val="000000" w:themeColor="text1"/>
          <w:sz w:val="36"/>
          <w:szCs w:val="36"/>
        </w:rPr>
      </w:pPr>
      <w:bookmarkStart w:id="2" w:name="_Toc150795548"/>
      <w:r w:rsidRPr="00602894">
        <w:rPr>
          <w:rFonts w:ascii="Times New Roman" w:hAnsi="Times New Roman" w:cs="Times New Roman"/>
          <w:b/>
          <w:color w:val="000000" w:themeColor="text1"/>
          <w:sz w:val="36"/>
          <w:szCs w:val="36"/>
        </w:rPr>
        <w:lastRenderedPageBreak/>
        <w:t>Defining Barclays Bank</w:t>
      </w:r>
      <w:bookmarkEnd w:id="2"/>
    </w:p>
    <w:p w14:paraId="53A66BD4" w14:textId="77777777" w:rsidR="009863EA" w:rsidRPr="009863EA" w:rsidRDefault="009863EA" w:rsidP="009863EA"/>
    <w:p w14:paraId="2181FD35" w14:textId="77777777" w:rsidR="00DF77B5" w:rsidRPr="00DF77B5" w:rsidRDefault="00DF77B5" w:rsidP="00BA36CF">
      <w:pPr>
        <w:spacing w:line="276" w:lineRule="auto"/>
        <w:rPr>
          <w:sz w:val="28"/>
          <w:szCs w:val="28"/>
        </w:rPr>
      </w:pPr>
      <w:r w:rsidRPr="00DF77B5">
        <w:rPr>
          <w:sz w:val="28"/>
          <w:szCs w:val="28"/>
        </w:rPr>
        <w:t>With its long history and dedication to innovation, Barclays, known for its customer service and agility, plans to expand in the EU.</w:t>
      </w:r>
    </w:p>
    <w:p w14:paraId="5DE021AD" w14:textId="300D58F9" w:rsidR="00DF77B5" w:rsidRDefault="00DF77B5" w:rsidP="00BA36CF">
      <w:pPr>
        <w:spacing w:line="276" w:lineRule="auto"/>
        <w:rPr>
          <w:sz w:val="28"/>
          <w:szCs w:val="28"/>
        </w:rPr>
      </w:pPr>
      <w:r w:rsidRPr="00DF77B5">
        <w:rPr>
          <w:sz w:val="28"/>
          <w:szCs w:val="28"/>
        </w:rPr>
        <w:t xml:space="preserve"> The</w:t>
      </w:r>
      <w:r w:rsidR="00602894">
        <w:rPr>
          <w:sz w:val="28"/>
          <w:szCs w:val="28"/>
        </w:rPr>
        <w:t xml:space="preserve"> </w:t>
      </w:r>
      <w:r w:rsidRPr="00DF77B5">
        <w:rPr>
          <w:sz w:val="28"/>
          <w:szCs w:val="28"/>
        </w:rPr>
        <w:t>company has two primary</w:t>
      </w:r>
      <w:r>
        <w:rPr>
          <w:sz w:val="28"/>
          <w:szCs w:val="28"/>
        </w:rPr>
        <w:t xml:space="preserve"> </w:t>
      </w:r>
      <w:r w:rsidRPr="00DF77B5">
        <w:rPr>
          <w:sz w:val="28"/>
          <w:szCs w:val="28"/>
        </w:rPr>
        <w:t>branches (Barclays UK and Barclays International) and an auxiliary business. In 1690, the City of London goldsmiths founded Barclays Bank. Barclays UK provides retail banking, consumer credit cards, wealth management, and corporate banking to UK SMEs (Smith, 2023). Barclays International includes Consumer, Cards &amp; Payments and Barclays Corporate and Investment Bank (previously Barclays Capital). Financial institutions and governments use investment banks for guidance and money. It is a prominent US, European, and British government bond market maker.</w:t>
      </w:r>
    </w:p>
    <w:p w14:paraId="26CF5F86" w14:textId="77777777" w:rsidR="00602894" w:rsidRPr="00DF77B5" w:rsidRDefault="00602894" w:rsidP="00602894">
      <w:pPr>
        <w:spacing w:line="276" w:lineRule="auto"/>
        <w:rPr>
          <w:sz w:val="28"/>
          <w:szCs w:val="28"/>
        </w:rPr>
      </w:pPr>
    </w:p>
    <w:p w14:paraId="2D6A09EB" w14:textId="77777777" w:rsidR="00DF77B5" w:rsidRPr="00602894" w:rsidRDefault="00DF77B5" w:rsidP="00DF77B5">
      <w:pPr>
        <w:pStyle w:val="Heading1"/>
        <w:rPr>
          <w:rFonts w:ascii="Times New Roman" w:hAnsi="Times New Roman" w:cs="Times New Roman"/>
          <w:b/>
          <w:color w:val="000000" w:themeColor="text1"/>
          <w:sz w:val="36"/>
          <w:szCs w:val="36"/>
        </w:rPr>
      </w:pPr>
      <w:bookmarkStart w:id="3" w:name="_Toc150795549"/>
      <w:r w:rsidRPr="00602894">
        <w:rPr>
          <w:rFonts w:ascii="Times New Roman" w:hAnsi="Times New Roman" w:cs="Times New Roman"/>
          <w:b/>
          <w:color w:val="000000" w:themeColor="text1"/>
          <w:sz w:val="36"/>
          <w:szCs w:val="36"/>
        </w:rPr>
        <w:t>Evaluation of the European Countries</w:t>
      </w:r>
      <w:bookmarkEnd w:id="3"/>
    </w:p>
    <w:p w14:paraId="05A8A636" w14:textId="77777777" w:rsidR="00DF77B5" w:rsidRPr="00DF77B5" w:rsidRDefault="00DF77B5" w:rsidP="00DF77B5"/>
    <w:p w14:paraId="580B4892" w14:textId="77777777" w:rsidR="00DF77B5" w:rsidRPr="00BA36CF" w:rsidRDefault="00DF77B5" w:rsidP="00BA36CF">
      <w:pPr>
        <w:pStyle w:val="Heading2"/>
        <w:spacing w:line="276" w:lineRule="auto"/>
        <w:rPr>
          <w:rFonts w:ascii="Times New Roman" w:hAnsi="Times New Roman" w:cs="Times New Roman"/>
          <w:b/>
          <w:bCs/>
          <w:color w:val="000000" w:themeColor="text1"/>
          <w:sz w:val="32"/>
          <w:szCs w:val="32"/>
        </w:rPr>
      </w:pPr>
      <w:bookmarkStart w:id="4" w:name="_Toc150795550"/>
      <w:r w:rsidRPr="00BA36CF">
        <w:rPr>
          <w:rFonts w:ascii="Times New Roman" w:hAnsi="Times New Roman" w:cs="Times New Roman"/>
          <w:b/>
          <w:bCs/>
          <w:color w:val="000000" w:themeColor="text1"/>
          <w:sz w:val="32"/>
          <w:szCs w:val="32"/>
        </w:rPr>
        <w:t>Hofstede Cultural Dimension in relation to the Barclays in Ireland</w:t>
      </w:r>
      <w:bookmarkEnd w:id="4"/>
    </w:p>
    <w:p w14:paraId="5331BC7D" w14:textId="77777777" w:rsidR="00DF77B5" w:rsidRPr="00DF77B5" w:rsidRDefault="00DF77B5" w:rsidP="00BA36CF">
      <w:pPr>
        <w:spacing w:line="276" w:lineRule="auto"/>
      </w:pPr>
    </w:p>
    <w:p w14:paraId="5828C218" w14:textId="720B3EBF" w:rsidR="00DF77B5" w:rsidRPr="00BA36CF" w:rsidRDefault="00DF77B5" w:rsidP="00BA36CF">
      <w:pPr>
        <w:spacing w:line="276" w:lineRule="auto"/>
        <w:rPr>
          <w:rFonts w:cs="Times New Roman"/>
          <w:sz w:val="28"/>
          <w:szCs w:val="28"/>
        </w:rPr>
      </w:pPr>
      <w:r w:rsidRPr="00BA36CF">
        <w:rPr>
          <w:rFonts w:cs="Times New Roman"/>
          <w:sz w:val="28"/>
          <w:szCs w:val="28"/>
        </w:rPr>
        <w:t>Hofstede's cultural dimension shows how nations vary in culture (Nickerson, 2023). This idea lets researchers compare cultural values and practices. The idea illuminates Barclay Bank employees' actions.</w:t>
      </w:r>
    </w:p>
    <w:p w14:paraId="45E96B88" w14:textId="4CEC7167" w:rsidR="00DF77B5" w:rsidRPr="00BA36CF" w:rsidRDefault="00DF77B5" w:rsidP="00BA36CF">
      <w:pPr>
        <w:spacing w:line="276" w:lineRule="auto"/>
        <w:rPr>
          <w:rFonts w:cs="Times New Roman"/>
          <w:sz w:val="28"/>
          <w:szCs w:val="28"/>
        </w:rPr>
      </w:pPr>
      <w:r w:rsidRPr="00BA36CF">
        <w:rPr>
          <w:rFonts w:cs="Times New Roman"/>
          <w:b/>
          <w:bCs/>
          <w:i/>
          <w:iCs/>
          <w:sz w:val="28"/>
          <w:szCs w:val="28"/>
        </w:rPr>
        <w:t>Language Issues:</w:t>
      </w:r>
      <w:r w:rsidRPr="00BA36CF">
        <w:rPr>
          <w:rFonts w:cs="Times New Roman"/>
          <w:sz w:val="28"/>
          <w:szCs w:val="28"/>
        </w:rPr>
        <w:t xml:space="preserve"> Barclays can communicate easily in Ireland since it is the primary language. To improve connections, respect multifaceted dialects and local informal terms.</w:t>
      </w:r>
    </w:p>
    <w:p w14:paraId="578C3421" w14:textId="3618E752" w:rsidR="00DF77B5" w:rsidRPr="00BA36CF" w:rsidRDefault="00DF77B5" w:rsidP="00BA36CF">
      <w:pPr>
        <w:spacing w:line="276" w:lineRule="auto"/>
        <w:rPr>
          <w:rFonts w:cs="Times New Roman"/>
          <w:sz w:val="28"/>
          <w:szCs w:val="28"/>
        </w:rPr>
      </w:pPr>
      <w:r w:rsidRPr="00BA36CF">
        <w:rPr>
          <w:rFonts w:cs="Times New Roman"/>
          <w:b/>
          <w:bCs/>
          <w:i/>
          <w:iCs/>
          <w:sz w:val="28"/>
          <w:szCs w:val="28"/>
        </w:rPr>
        <w:t>Power distance</w:t>
      </w:r>
      <w:r w:rsidRPr="00BA36CF">
        <w:rPr>
          <w:rFonts w:cs="Times New Roman"/>
          <w:sz w:val="28"/>
          <w:szCs w:val="28"/>
        </w:rPr>
        <w:t>: This statistic measures society's tolerance and expectation of power imbalance. Ireland's low power distance score of 28 indicates that people value equality, consultation, and engagement in decision-making and are less critical of hierarchical institutions. (Culture Factor Group, 2023). Barclays may struggle to adapt to a flatter organisational structure due to its hierarchical nature. The flat organisational structure, open communication, and focus on individual initiative and responsibility at Barclays Bank in Ireland demonstrate this power distance (Barclays et al., 2021).</w:t>
      </w:r>
    </w:p>
    <w:p w14:paraId="38B8B79F" w14:textId="77777777" w:rsidR="00DF77B5" w:rsidRPr="00DF77B5" w:rsidRDefault="00DF77B5" w:rsidP="00BA36CF">
      <w:pPr>
        <w:spacing w:line="276" w:lineRule="auto"/>
        <w:rPr>
          <w:sz w:val="28"/>
          <w:szCs w:val="28"/>
        </w:rPr>
      </w:pPr>
      <w:r w:rsidRPr="00BA36CF">
        <w:rPr>
          <w:rFonts w:cs="Times New Roman"/>
          <w:b/>
          <w:bCs/>
          <w:i/>
          <w:iCs/>
          <w:sz w:val="28"/>
          <w:szCs w:val="28"/>
        </w:rPr>
        <w:t>Individualism vs collectivism</w:t>
      </w:r>
      <w:r w:rsidRPr="00BA36CF">
        <w:rPr>
          <w:rFonts w:cs="Times New Roman"/>
          <w:sz w:val="28"/>
          <w:szCs w:val="28"/>
        </w:rPr>
        <w:t xml:space="preserve">:  This feature determines how frequently people prioritise their demands above those of the community. Ireland values </w:t>
      </w:r>
      <w:r w:rsidRPr="00BA36CF">
        <w:rPr>
          <w:rFonts w:cs="Times New Roman"/>
          <w:sz w:val="28"/>
          <w:szCs w:val="28"/>
        </w:rPr>
        <w:lastRenderedPageBreak/>
        <w:t>independence, responsibility, and achievement (The Culture Factor Group, 2023)</w:t>
      </w:r>
      <w:r w:rsidRPr="00DF77B5">
        <w:rPr>
          <w:sz w:val="28"/>
          <w:szCs w:val="28"/>
        </w:rPr>
        <w:t xml:space="preserve"> and individuality (70). Individualism and liberty are held in high regard in Ireland. Barclays' collaborative culture may need to reconcile individuality with collaboration and group success. Barclays Bank Ireland has balanced individuality and collectivism by giving employees greater work schedule flexibility, recognising their inventiveness, and maintaining their right to confidentiality and autonomy (Barclays et al., 2021). </w:t>
      </w:r>
    </w:p>
    <w:p w14:paraId="586D22F4" w14:textId="746EFB72" w:rsidR="00DF77B5" w:rsidRPr="00DF77B5" w:rsidRDefault="00DF77B5" w:rsidP="00DF77B5">
      <w:pPr>
        <w:rPr>
          <w:sz w:val="28"/>
          <w:szCs w:val="28"/>
        </w:rPr>
      </w:pPr>
      <w:r w:rsidRPr="00DF77B5">
        <w:rPr>
          <w:b/>
          <w:bCs/>
          <w:i/>
          <w:iCs/>
          <w:sz w:val="28"/>
          <w:szCs w:val="28"/>
        </w:rPr>
        <w:t xml:space="preserve">Masculinity vs femininity: </w:t>
      </w:r>
      <w:r w:rsidRPr="00DF77B5">
        <w:rPr>
          <w:sz w:val="28"/>
          <w:szCs w:val="28"/>
        </w:rPr>
        <w:t xml:space="preserve">The level of aggressiveness, competitiveness, and wealth reflect a community member's value above compassion, teamwork, and quality of life. Irish people value family, friends, and citizenship, as seen by their low masculinity score of 68 (The Culture Factor Group, 2023). The Irish branch of Barclays Bank must provide competitive salaries and benefits, promote a friendly and cooperative work environment, and engage in CSR programmes (Barclays Bank Ireland PLC, 2021). </w:t>
      </w:r>
    </w:p>
    <w:p w14:paraId="33B1A527" w14:textId="778E8B95" w:rsidR="00DF77B5" w:rsidRPr="00DF77B5" w:rsidRDefault="00DF77B5" w:rsidP="00BA36CF">
      <w:pPr>
        <w:spacing w:line="276" w:lineRule="auto"/>
        <w:rPr>
          <w:sz w:val="28"/>
          <w:szCs w:val="28"/>
        </w:rPr>
      </w:pPr>
      <w:r w:rsidRPr="00DF77B5">
        <w:rPr>
          <w:b/>
          <w:bCs/>
          <w:i/>
          <w:iCs/>
          <w:sz w:val="28"/>
          <w:szCs w:val="28"/>
        </w:rPr>
        <w:t>Uncertainty avoidance</w:t>
      </w:r>
      <w:r w:rsidRPr="00DF77B5">
        <w:rPr>
          <w:sz w:val="28"/>
          <w:szCs w:val="28"/>
        </w:rPr>
        <w:t xml:space="preserve">: Uncertainty avoidance defines the level of ease or unease in the face of ambiguity and uncertainty. The Culture Factor Group (2023) found that Irish people are open-minded, adaptable, and welcoming of innovation, with a low uncertainty avoidance score of 35. Ireland has a lower Uncertainty Avoidance Index (UAI), suggesting a greater tolerance for ambiguity. Barclays, with a potentially higher UAI, may need to adjust to ease norms and processes. Barclays Bank in Ireland must embrace change, encouraging diversity and innovation (Barclays et al. 2021). </w:t>
      </w:r>
    </w:p>
    <w:p w14:paraId="0E4D63E3" w14:textId="328DCDDD" w:rsidR="00DF77B5" w:rsidRPr="00DF77B5" w:rsidRDefault="00DF77B5" w:rsidP="00BA36CF">
      <w:pPr>
        <w:spacing w:line="276" w:lineRule="auto"/>
        <w:rPr>
          <w:sz w:val="28"/>
          <w:szCs w:val="28"/>
        </w:rPr>
      </w:pPr>
      <w:r w:rsidRPr="00DF77B5">
        <w:rPr>
          <w:b/>
          <w:bCs/>
          <w:i/>
          <w:iCs/>
          <w:sz w:val="28"/>
          <w:szCs w:val="28"/>
        </w:rPr>
        <w:t>Long-term vs short-term orientation</w:t>
      </w:r>
      <w:r w:rsidRPr="00DF77B5">
        <w:rPr>
          <w:sz w:val="28"/>
          <w:szCs w:val="28"/>
        </w:rPr>
        <w:t xml:space="preserve">:  This metric assesses the degree to which a culture prioritises the long-term above the immediate. Irish people value tradition, rituals, and rapid gratification, as seen by their low long-term orientation score of 24 (The Culture Factor Group, 2023). Short-term thinking is common in Ireland because the Irish want immediate objectives. Thus, Barclays' long-term strategy may need to be adjusted to align its vision with the Irish preference for more immediate goals. The Irish branch of Barclays Bank should honour its history, significant anniversaries, and hardworking workers (Barclays et al. 2021). </w:t>
      </w:r>
    </w:p>
    <w:p w14:paraId="49FDAFB1" w14:textId="77777777" w:rsidR="00DF77B5" w:rsidRPr="00DF77B5" w:rsidRDefault="00DF77B5" w:rsidP="00BA36CF">
      <w:pPr>
        <w:spacing w:line="276" w:lineRule="auto"/>
        <w:rPr>
          <w:sz w:val="28"/>
          <w:szCs w:val="28"/>
        </w:rPr>
      </w:pPr>
      <w:r w:rsidRPr="00DF77B5">
        <w:rPr>
          <w:b/>
          <w:bCs/>
          <w:i/>
          <w:iCs/>
          <w:sz w:val="28"/>
          <w:szCs w:val="28"/>
        </w:rPr>
        <w:t>Indulgence vs restraint</w:t>
      </w:r>
      <w:r w:rsidRPr="00DF77B5">
        <w:rPr>
          <w:sz w:val="28"/>
          <w:szCs w:val="28"/>
        </w:rPr>
        <w:t>: This element evaluates cultural freedom to pursue interests and express emotions. Ireland's 65 indulgence score indicates that people prioritise pleasure, enjoyment, and happiness (The Culture Factor Group, 2023). Ireland has a higher Indulgence score, suggesting a life-enjoying society. With a more restricted culture, Barclays may require a more relaxed work-life balance.</w:t>
      </w:r>
    </w:p>
    <w:p w14:paraId="14F57B01" w14:textId="051F5F25" w:rsidR="00DF77B5" w:rsidRDefault="00DF77B5" w:rsidP="00BA36CF">
      <w:pPr>
        <w:spacing w:line="276" w:lineRule="auto"/>
        <w:rPr>
          <w:sz w:val="28"/>
          <w:szCs w:val="28"/>
        </w:rPr>
      </w:pPr>
      <w:r w:rsidRPr="00DF77B5">
        <w:rPr>
          <w:sz w:val="28"/>
          <w:szCs w:val="28"/>
        </w:rPr>
        <w:lastRenderedPageBreak/>
        <w:t xml:space="preserve"> The Irish office of Barclays might demonstrate this by providing a fun workplace, increasing employee interaction outside of work, and encouraging open communication (Barclays et al. 2021).</w:t>
      </w:r>
    </w:p>
    <w:p w14:paraId="28893864" w14:textId="77777777" w:rsidR="005419FE" w:rsidRDefault="005419FE" w:rsidP="00BA36CF">
      <w:pPr>
        <w:spacing w:line="276" w:lineRule="auto"/>
        <w:rPr>
          <w:sz w:val="28"/>
          <w:szCs w:val="28"/>
        </w:rPr>
      </w:pPr>
    </w:p>
    <w:p w14:paraId="7D042A55" w14:textId="6DCF571B" w:rsidR="005419FE" w:rsidRDefault="005419FE" w:rsidP="00BA36CF">
      <w:pPr>
        <w:spacing w:line="276" w:lineRule="auto"/>
        <w:rPr>
          <w:b/>
          <w:bCs/>
          <w:i/>
          <w:iCs/>
          <w:sz w:val="32"/>
          <w:szCs w:val="32"/>
        </w:rPr>
      </w:pPr>
      <w:r w:rsidRPr="00BA36CF">
        <w:rPr>
          <w:b/>
          <w:bCs/>
          <w:i/>
          <w:iCs/>
          <w:sz w:val="32"/>
          <w:szCs w:val="32"/>
        </w:rPr>
        <w:t>Hofstede Cultural Dimension for Dutch Expansion of Barclays</w:t>
      </w:r>
    </w:p>
    <w:p w14:paraId="7AA31C18" w14:textId="77777777" w:rsidR="00BA36CF" w:rsidRPr="00BA36CF" w:rsidRDefault="00BA36CF" w:rsidP="00BA36CF">
      <w:pPr>
        <w:spacing w:line="276" w:lineRule="auto"/>
        <w:rPr>
          <w:b/>
          <w:bCs/>
          <w:i/>
          <w:iCs/>
          <w:sz w:val="32"/>
          <w:szCs w:val="32"/>
        </w:rPr>
      </w:pPr>
    </w:p>
    <w:p w14:paraId="7A3DFEFB" w14:textId="77777777" w:rsidR="005419FE" w:rsidRPr="005419FE" w:rsidRDefault="005419FE" w:rsidP="00BA36CF">
      <w:pPr>
        <w:spacing w:before="0" w:after="0" w:line="276" w:lineRule="auto"/>
        <w:jc w:val="left"/>
        <w:rPr>
          <w:rFonts w:eastAsia="Times New Roman" w:cs="Times New Roman"/>
          <w:color w:val="0E101A"/>
          <w:sz w:val="28"/>
          <w:szCs w:val="28"/>
          <w:lang w:eastAsia="en-GB"/>
        </w:rPr>
      </w:pPr>
      <w:r w:rsidRPr="005419FE">
        <w:rPr>
          <w:rFonts w:eastAsia="Times New Roman" w:cs="Times New Roman"/>
          <w:b/>
          <w:bCs/>
          <w:i/>
          <w:iCs/>
          <w:color w:val="0E101A"/>
          <w:sz w:val="28"/>
          <w:szCs w:val="28"/>
          <w:lang w:eastAsia="en-GB"/>
        </w:rPr>
        <w:t>Language Barriers</w:t>
      </w:r>
      <w:r w:rsidRPr="005419FE">
        <w:rPr>
          <w:rFonts w:eastAsia="Times New Roman" w:cs="Times New Roman"/>
          <w:b/>
          <w:bCs/>
          <w:color w:val="0E101A"/>
          <w:sz w:val="28"/>
          <w:szCs w:val="28"/>
          <w:lang w:eastAsia="en-GB"/>
        </w:rPr>
        <w:t>:</w:t>
      </w:r>
      <w:r w:rsidRPr="005419FE">
        <w:rPr>
          <w:rFonts w:eastAsia="Times New Roman" w:cs="Times New Roman"/>
          <w:color w:val="0E101A"/>
          <w:sz w:val="28"/>
          <w:szCs w:val="28"/>
          <w:lang w:eastAsia="en-GB"/>
        </w:rPr>
        <w:t> English proficiency is excellent in the Netherlands, yet cultural differences may hinder communication. Complex knowledge of Dutch communication styles and etiquette is necessary. Due to cultural differences, Dutch methods of interaction and formality are essential in the Netherlands, even for English speakers.</w:t>
      </w:r>
    </w:p>
    <w:p w14:paraId="376BE99B" w14:textId="77777777" w:rsidR="005419FE" w:rsidRPr="005419FE" w:rsidRDefault="005419FE" w:rsidP="00BA36CF">
      <w:pPr>
        <w:spacing w:before="0" w:after="0" w:line="276" w:lineRule="auto"/>
        <w:jc w:val="left"/>
        <w:rPr>
          <w:rFonts w:eastAsia="Times New Roman" w:cs="Times New Roman"/>
          <w:color w:val="0E101A"/>
          <w:sz w:val="28"/>
          <w:szCs w:val="28"/>
          <w:lang w:eastAsia="en-GB"/>
        </w:rPr>
      </w:pPr>
    </w:p>
    <w:p w14:paraId="41EDB40D" w14:textId="77777777" w:rsidR="005419FE" w:rsidRPr="005419FE" w:rsidRDefault="005419FE" w:rsidP="00BA36CF">
      <w:pPr>
        <w:spacing w:before="0" w:after="0" w:line="276" w:lineRule="auto"/>
        <w:jc w:val="left"/>
        <w:rPr>
          <w:rFonts w:eastAsia="Times New Roman" w:cs="Times New Roman"/>
          <w:color w:val="0E101A"/>
          <w:sz w:val="28"/>
          <w:szCs w:val="28"/>
          <w:lang w:eastAsia="en-GB"/>
        </w:rPr>
      </w:pPr>
      <w:r w:rsidRPr="005419FE">
        <w:rPr>
          <w:rFonts w:eastAsia="Times New Roman" w:cs="Times New Roman"/>
          <w:b/>
          <w:bCs/>
          <w:i/>
          <w:iCs/>
          <w:color w:val="0E101A"/>
          <w:sz w:val="28"/>
          <w:szCs w:val="28"/>
          <w:lang w:eastAsia="en-GB"/>
        </w:rPr>
        <w:t>Power distance</w:t>
      </w:r>
      <w:r w:rsidRPr="005419FE">
        <w:rPr>
          <w:rFonts w:eastAsia="Times New Roman" w:cs="Times New Roman"/>
          <w:b/>
          <w:bCs/>
          <w:color w:val="0E101A"/>
          <w:sz w:val="28"/>
          <w:szCs w:val="28"/>
          <w:lang w:eastAsia="en-GB"/>
        </w:rPr>
        <w:t>:</w:t>
      </w:r>
      <w:r w:rsidRPr="005419FE">
        <w:rPr>
          <w:rFonts w:eastAsia="Times New Roman" w:cs="Times New Roman"/>
          <w:color w:val="0E101A"/>
          <w:sz w:val="28"/>
          <w:szCs w:val="28"/>
          <w:lang w:eastAsia="en-GB"/>
        </w:rPr>
        <w:t> his statistic measures how much society accepts and expects power imbalances. The Netherlands supports democratic values, including public input and discussion, with a low power distance score of 38 (The Culture Factor Group, 2023). The Netherlands branch of Barclays Bank emphasises a flat organisational structure, open communication between workers at all levels, and opportunity for employees to take responsibility for their work. The Netherlands prefers flat organisations and equality, as seen by its low Power Distance Index (PDI). Barclays, with a higher PDI, may need to adapt its communication to the Dutch inclination for less hierarchical interpersonal connections.</w:t>
      </w:r>
    </w:p>
    <w:p w14:paraId="57214145" w14:textId="77777777" w:rsidR="005419FE" w:rsidRPr="005419FE" w:rsidRDefault="005419FE" w:rsidP="005419FE">
      <w:pPr>
        <w:spacing w:before="0" w:after="0" w:line="240" w:lineRule="auto"/>
        <w:jc w:val="left"/>
        <w:rPr>
          <w:rFonts w:eastAsia="Times New Roman" w:cs="Times New Roman"/>
          <w:color w:val="0E101A"/>
          <w:sz w:val="28"/>
          <w:szCs w:val="28"/>
          <w:lang w:eastAsia="en-GB"/>
        </w:rPr>
      </w:pPr>
    </w:p>
    <w:p w14:paraId="31D1D925" w14:textId="6FB9F568" w:rsidR="005419FE" w:rsidRPr="005419FE" w:rsidRDefault="005419FE" w:rsidP="00BA36CF">
      <w:pPr>
        <w:spacing w:before="0" w:after="0" w:line="276" w:lineRule="auto"/>
        <w:jc w:val="left"/>
        <w:rPr>
          <w:rFonts w:eastAsia="Times New Roman" w:cs="Times New Roman"/>
          <w:color w:val="0E101A"/>
          <w:sz w:val="28"/>
          <w:szCs w:val="28"/>
          <w:lang w:eastAsia="en-GB"/>
        </w:rPr>
      </w:pPr>
      <w:r w:rsidRPr="005419FE">
        <w:rPr>
          <w:rFonts w:eastAsia="Times New Roman" w:cs="Times New Roman"/>
          <w:b/>
          <w:bCs/>
          <w:i/>
          <w:iCs/>
          <w:color w:val="0E101A"/>
          <w:sz w:val="28"/>
          <w:szCs w:val="28"/>
          <w:lang w:eastAsia="en-GB"/>
        </w:rPr>
        <w:t>Individualism vs collectivism</w:t>
      </w:r>
      <w:r w:rsidRPr="005419FE">
        <w:rPr>
          <w:rFonts w:eastAsia="Times New Roman" w:cs="Times New Roman"/>
          <w:b/>
          <w:bCs/>
          <w:color w:val="0E101A"/>
          <w:sz w:val="28"/>
          <w:szCs w:val="28"/>
          <w:lang w:eastAsia="en-GB"/>
        </w:rPr>
        <w:t>:</w:t>
      </w:r>
      <w:r w:rsidRPr="005419FE">
        <w:rPr>
          <w:rFonts w:eastAsia="Times New Roman" w:cs="Times New Roman"/>
          <w:color w:val="0E101A"/>
          <w:sz w:val="28"/>
          <w:szCs w:val="28"/>
          <w:lang w:eastAsia="en-GB"/>
        </w:rPr>
        <w:t xml:space="preserve"> This dimension measures how much people prioritise themselves above their group. The Netherlands' high individualism score of 80 shows that citizens respect personal independence, autonomy, and achievement (The Culture Factor Group, 2023). The Dutch Barclays Bank promotes flexible working conditions, </w:t>
      </w:r>
      <w:r w:rsidR="006D4EFF" w:rsidRPr="005419FE">
        <w:rPr>
          <w:rFonts w:eastAsia="Times New Roman" w:cs="Times New Roman"/>
          <w:color w:val="0E101A"/>
          <w:sz w:val="28"/>
          <w:szCs w:val="28"/>
          <w:lang w:eastAsia="en-GB"/>
        </w:rPr>
        <w:t>acknowledges,</w:t>
      </w:r>
      <w:r w:rsidRPr="005419FE">
        <w:rPr>
          <w:rFonts w:eastAsia="Times New Roman" w:cs="Times New Roman"/>
          <w:color w:val="0E101A"/>
          <w:sz w:val="28"/>
          <w:szCs w:val="28"/>
          <w:lang w:eastAsia="en-GB"/>
        </w:rPr>
        <w:t xml:space="preserve"> and celebrates individual accomplishment and innovation, and respects employees' privacy and personal preferences. Barclays, known for its collaborative culture, may need to balance its collective approach with the Dutch preference for individualism.</w:t>
      </w:r>
    </w:p>
    <w:p w14:paraId="5A843B8E" w14:textId="77777777" w:rsidR="005419FE" w:rsidRPr="005419FE" w:rsidRDefault="005419FE" w:rsidP="00BA36CF">
      <w:pPr>
        <w:spacing w:before="0" w:after="0" w:line="276" w:lineRule="auto"/>
        <w:jc w:val="left"/>
        <w:rPr>
          <w:rFonts w:eastAsia="Times New Roman" w:cs="Times New Roman"/>
          <w:color w:val="0E101A"/>
          <w:sz w:val="28"/>
          <w:szCs w:val="28"/>
          <w:lang w:eastAsia="en-GB"/>
        </w:rPr>
      </w:pPr>
    </w:p>
    <w:p w14:paraId="1DED8BA2" w14:textId="77777777" w:rsidR="005419FE" w:rsidRPr="005419FE" w:rsidRDefault="005419FE" w:rsidP="00BA36CF">
      <w:pPr>
        <w:spacing w:before="0" w:after="0" w:line="276" w:lineRule="auto"/>
        <w:jc w:val="left"/>
        <w:rPr>
          <w:rFonts w:eastAsia="Times New Roman" w:cs="Times New Roman"/>
          <w:color w:val="0E101A"/>
          <w:sz w:val="28"/>
          <w:szCs w:val="28"/>
          <w:lang w:eastAsia="en-GB"/>
        </w:rPr>
      </w:pPr>
      <w:r w:rsidRPr="005419FE">
        <w:rPr>
          <w:rFonts w:eastAsia="Times New Roman" w:cs="Times New Roman"/>
          <w:b/>
          <w:bCs/>
          <w:i/>
          <w:iCs/>
          <w:color w:val="0E101A"/>
          <w:sz w:val="28"/>
          <w:szCs w:val="28"/>
          <w:lang w:eastAsia="en-GB"/>
        </w:rPr>
        <w:t>Masculinity vs femininity</w:t>
      </w:r>
      <w:r w:rsidRPr="005419FE">
        <w:rPr>
          <w:rFonts w:eastAsia="Times New Roman" w:cs="Times New Roman"/>
          <w:b/>
          <w:bCs/>
          <w:color w:val="0E101A"/>
          <w:sz w:val="28"/>
          <w:szCs w:val="28"/>
          <w:lang w:eastAsia="en-GB"/>
        </w:rPr>
        <w:t>:</w:t>
      </w:r>
      <w:r w:rsidRPr="005419FE">
        <w:rPr>
          <w:rFonts w:eastAsia="Times New Roman" w:cs="Times New Roman"/>
          <w:color w:val="0E101A"/>
          <w:sz w:val="28"/>
          <w:szCs w:val="28"/>
          <w:lang w:eastAsia="en-GB"/>
        </w:rPr>
        <w:t xml:space="preserve"> The level of aggressiveness, competition, and financial success in a community shows how much its people prioritise these above: compassion, cooperation, and quality of life. The Dutch value workplace gender equality and community service, as seen by their low masculinity score </w:t>
      </w:r>
      <w:r w:rsidRPr="005419FE">
        <w:rPr>
          <w:rFonts w:eastAsia="Times New Roman" w:cs="Times New Roman"/>
          <w:color w:val="0E101A"/>
          <w:sz w:val="28"/>
          <w:szCs w:val="28"/>
          <w:lang w:eastAsia="en-GB"/>
        </w:rPr>
        <w:lastRenderedPageBreak/>
        <w:t>of 14 (The Culture Factor Group, 2023). The Netherlands branch of Barclays Bank should employ significant welfare and benefits schemes, a friendly and collaborative work environment, and CSR efforts. Barclays, potentially more masculine-oriented, may need to adopt the Dutch values of quality of life, caring for others, and a more modest approach to success. </w:t>
      </w:r>
    </w:p>
    <w:p w14:paraId="3D127F8C" w14:textId="77777777" w:rsidR="005419FE" w:rsidRPr="005419FE" w:rsidRDefault="005419FE" w:rsidP="00BA36CF">
      <w:pPr>
        <w:spacing w:before="0" w:after="0" w:line="276" w:lineRule="auto"/>
        <w:jc w:val="left"/>
        <w:rPr>
          <w:rFonts w:eastAsia="Times New Roman" w:cs="Times New Roman"/>
          <w:color w:val="0E101A"/>
          <w:sz w:val="28"/>
          <w:szCs w:val="28"/>
          <w:lang w:eastAsia="en-GB"/>
        </w:rPr>
      </w:pPr>
    </w:p>
    <w:p w14:paraId="09B3F275" w14:textId="77777777" w:rsidR="005419FE" w:rsidRPr="005419FE" w:rsidRDefault="005419FE" w:rsidP="00BA36CF">
      <w:pPr>
        <w:spacing w:before="0" w:after="0" w:line="276" w:lineRule="auto"/>
        <w:jc w:val="left"/>
        <w:rPr>
          <w:rFonts w:eastAsia="Times New Roman" w:cs="Times New Roman"/>
          <w:color w:val="0E101A"/>
          <w:sz w:val="28"/>
          <w:szCs w:val="28"/>
          <w:lang w:eastAsia="en-GB"/>
        </w:rPr>
      </w:pPr>
      <w:r w:rsidRPr="005419FE">
        <w:rPr>
          <w:rFonts w:eastAsia="Times New Roman" w:cs="Times New Roman"/>
          <w:b/>
          <w:bCs/>
          <w:i/>
          <w:iCs/>
          <w:color w:val="0E101A"/>
          <w:sz w:val="28"/>
          <w:szCs w:val="28"/>
          <w:lang w:eastAsia="en-GB"/>
        </w:rPr>
        <w:t>Uncertainty avoidance</w:t>
      </w:r>
      <w:r w:rsidRPr="005419FE">
        <w:rPr>
          <w:rFonts w:eastAsia="Times New Roman" w:cs="Times New Roman"/>
          <w:b/>
          <w:bCs/>
          <w:color w:val="0E101A"/>
          <w:sz w:val="28"/>
          <w:szCs w:val="28"/>
          <w:lang w:eastAsia="en-GB"/>
        </w:rPr>
        <w:t>:</w:t>
      </w:r>
      <w:r w:rsidRPr="005419FE">
        <w:rPr>
          <w:rFonts w:eastAsia="Times New Roman" w:cs="Times New Roman"/>
          <w:color w:val="0E101A"/>
          <w:sz w:val="28"/>
          <w:szCs w:val="28"/>
          <w:lang w:eastAsia="en-GB"/>
        </w:rPr>
        <w:t> Masculinity versus femininity: A community's aggression, competitiveness, and financial success show how much its people prioritise these above: compassion, cooperation, and quality of life. The Dutch value workplace gender equality and community service, as seen by their low masculinity score of 14 (The Culture Factor Group, 2023). The Netherlands branch of Barclays Bank has significant welfare and benefits schemes, a friendly and collaborative work environment, and CSR efforts. The Netherlands' Masculinity-Femininity index is balanced. Barclays, which may be more male, may need to adopt Dutch values like quality of life, caring for others, and moderate prosperity.</w:t>
      </w:r>
    </w:p>
    <w:p w14:paraId="576928C0" w14:textId="77777777" w:rsidR="005419FE" w:rsidRPr="005419FE" w:rsidRDefault="005419FE" w:rsidP="00BA36CF">
      <w:pPr>
        <w:spacing w:before="0" w:after="0" w:line="276" w:lineRule="auto"/>
        <w:jc w:val="left"/>
        <w:rPr>
          <w:rFonts w:eastAsia="Times New Roman" w:cs="Times New Roman"/>
          <w:color w:val="0E101A"/>
          <w:sz w:val="28"/>
          <w:szCs w:val="28"/>
          <w:lang w:eastAsia="en-GB"/>
        </w:rPr>
      </w:pPr>
    </w:p>
    <w:p w14:paraId="784D3B11" w14:textId="77777777" w:rsidR="005419FE" w:rsidRPr="005419FE" w:rsidRDefault="005419FE" w:rsidP="005419FE">
      <w:pPr>
        <w:spacing w:before="0" w:after="0" w:line="240" w:lineRule="auto"/>
        <w:jc w:val="left"/>
        <w:rPr>
          <w:rFonts w:eastAsia="Times New Roman" w:cs="Times New Roman"/>
          <w:color w:val="0E101A"/>
          <w:sz w:val="28"/>
          <w:szCs w:val="28"/>
          <w:lang w:eastAsia="en-GB"/>
        </w:rPr>
      </w:pPr>
    </w:p>
    <w:p w14:paraId="45DFFBE7" w14:textId="77777777" w:rsidR="005419FE" w:rsidRPr="005419FE" w:rsidRDefault="005419FE" w:rsidP="00BA36CF">
      <w:pPr>
        <w:spacing w:before="0" w:after="0" w:line="276" w:lineRule="auto"/>
        <w:jc w:val="left"/>
        <w:rPr>
          <w:rFonts w:eastAsia="Times New Roman" w:cs="Times New Roman"/>
          <w:color w:val="0E101A"/>
          <w:sz w:val="28"/>
          <w:szCs w:val="28"/>
          <w:lang w:eastAsia="en-GB"/>
        </w:rPr>
      </w:pPr>
      <w:r w:rsidRPr="005419FE">
        <w:rPr>
          <w:rFonts w:eastAsia="Times New Roman" w:cs="Times New Roman"/>
          <w:b/>
          <w:bCs/>
          <w:i/>
          <w:iCs/>
          <w:color w:val="0E101A"/>
          <w:sz w:val="28"/>
          <w:szCs w:val="28"/>
          <w:lang w:eastAsia="en-GB"/>
        </w:rPr>
        <w:t>Long-term vs short-term orientation</w:t>
      </w:r>
      <w:r w:rsidRPr="005419FE">
        <w:rPr>
          <w:rFonts w:eastAsia="Times New Roman" w:cs="Times New Roman"/>
          <w:color w:val="0E101A"/>
          <w:sz w:val="28"/>
          <w:szCs w:val="28"/>
          <w:lang w:eastAsia="en-GB"/>
        </w:rPr>
        <w:t>: Masculinity versus femininity: A community's aggression, competitiveness, and financial success show how much its people prioritise these above: compassion, cooperation, and quality of life. The Dutch value workplace gender equality and community service, as seen by their low masculinity score of 14 (The Culture Factor Group, 2023). The Netherlands branch of Barclays Bank has significant welfare and benefits schemes, a friendly and collaborative work environment, and CSR efforts. The Netherlands' Masculinity-Femininity index is balanced. Barclays, which may be more male, may need to adopt Dutch values like quality of life, caring for others, and moderate prosperity.</w:t>
      </w:r>
    </w:p>
    <w:p w14:paraId="3CCFA928" w14:textId="77777777" w:rsidR="005419FE" w:rsidRPr="005419FE" w:rsidRDefault="005419FE" w:rsidP="00BA36CF">
      <w:pPr>
        <w:spacing w:before="0" w:after="0" w:line="276" w:lineRule="auto"/>
        <w:jc w:val="left"/>
        <w:rPr>
          <w:rFonts w:eastAsia="Times New Roman" w:cs="Times New Roman"/>
          <w:color w:val="0E101A"/>
          <w:sz w:val="28"/>
          <w:szCs w:val="28"/>
          <w:lang w:eastAsia="en-GB"/>
        </w:rPr>
      </w:pPr>
    </w:p>
    <w:p w14:paraId="05992E04" w14:textId="77777777" w:rsidR="005419FE" w:rsidRPr="005419FE" w:rsidRDefault="005419FE" w:rsidP="00BA36CF">
      <w:pPr>
        <w:spacing w:before="0" w:after="0" w:line="276" w:lineRule="auto"/>
        <w:jc w:val="left"/>
        <w:rPr>
          <w:rFonts w:eastAsia="Times New Roman" w:cs="Times New Roman"/>
          <w:color w:val="0E101A"/>
          <w:sz w:val="28"/>
          <w:szCs w:val="28"/>
          <w:lang w:eastAsia="en-GB"/>
        </w:rPr>
      </w:pPr>
    </w:p>
    <w:p w14:paraId="6086F1B2" w14:textId="77777777" w:rsidR="005419FE" w:rsidRPr="005419FE" w:rsidRDefault="005419FE" w:rsidP="00BA36CF">
      <w:pPr>
        <w:spacing w:before="0" w:after="0" w:line="276" w:lineRule="auto"/>
        <w:jc w:val="left"/>
        <w:rPr>
          <w:rFonts w:eastAsia="Times New Roman" w:cs="Times New Roman"/>
          <w:color w:val="0E101A"/>
          <w:sz w:val="28"/>
          <w:szCs w:val="28"/>
          <w:lang w:eastAsia="en-GB"/>
        </w:rPr>
      </w:pPr>
      <w:r w:rsidRPr="005419FE">
        <w:rPr>
          <w:rFonts w:eastAsia="Times New Roman" w:cs="Times New Roman"/>
          <w:b/>
          <w:bCs/>
          <w:i/>
          <w:iCs/>
          <w:color w:val="0E101A"/>
          <w:sz w:val="28"/>
          <w:szCs w:val="28"/>
          <w:lang w:eastAsia="en-GB"/>
        </w:rPr>
        <w:t>Indulgence vs restraint</w:t>
      </w:r>
      <w:r w:rsidRPr="005419FE">
        <w:rPr>
          <w:rFonts w:eastAsia="Times New Roman" w:cs="Times New Roman"/>
          <w:b/>
          <w:bCs/>
          <w:color w:val="0E101A"/>
          <w:sz w:val="28"/>
          <w:szCs w:val="28"/>
          <w:lang w:eastAsia="en-GB"/>
        </w:rPr>
        <w:t>:</w:t>
      </w:r>
      <w:r w:rsidRPr="005419FE">
        <w:rPr>
          <w:rFonts w:eastAsia="Times New Roman" w:cs="Times New Roman"/>
          <w:color w:val="0E101A"/>
          <w:sz w:val="28"/>
          <w:szCs w:val="28"/>
          <w:lang w:eastAsia="en-GB"/>
        </w:rPr>
        <w:t xml:space="preserve"> The value of indulgence or restraint depends on how society allows or restricts essential human wants and drives. A high indulgence score of 68 suggests that Dutch people embrace pleasure, enjoyment, and happiness (The Culture Factor Group, 2023). In the Netherlands, Barclays Bank fosters a pleasant work environment, organises social events for staff, and encourages the free sharing of employees' opinions, emotions, and perspectives. </w:t>
      </w:r>
      <w:r w:rsidRPr="005419FE">
        <w:rPr>
          <w:rFonts w:eastAsia="Times New Roman" w:cs="Times New Roman"/>
          <w:color w:val="0E101A"/>
          <w:sz w:val="28"/>
          <w:szCs w:val="28"/>
          <w:lang w:eastAsia="en-GB"/>
        </w:rPr>
        <w:lastRenderedPageBreak/>
        <w:t>The Netherlands' higher Indulgence score indicates a society that enjoys life. Barclays' restricted culture may need a more accommodating work-life balance.</w:t>
      </w:r>
    </w:p>
    <w:p w14:paraId="3C46C8C5" w14:textId="77777777" w:rsidR="00DF77B5" w:rsidRPr="005419FE" w:rsidRDefault="00DF77B5" w:rsidP="00BA36CF">
      <w:pPr>
        <w:spacing w:line="276" w:lineRule="auto"/>
        <w:rPr>
          <w:sz w:val="28"/>
          <w:szCs w:val="28"/>
        </w:rPr>
      </w:pPr>
    </w:p>
    <w:p w14:paraId="7F60BA9B" w14:textId="77777777" w:rsidR="00DF77B5" w:rsidRDefault="00DF77B5" w:rsidP="00BA36CF">
      <w:pPr>
        <w:pStyle w:val="Heading1"/>
        <w:spacing w:line="276" w:lineRule="auto"/>
        <w:rPr>
          <w:rFonts w:ascii="Times New Roman" w:hAnsi="Times New Roman" w:cs="Times New Roman"/>
          <w:b/>
          <w:color w:val="000000" w:themeColor="text1"/>
          <w:sz w:val="36"/>
          <w:szCs w:val="36"/>
        </w:rPr>
      </w:pPr>
      <w:bookmarkStart w:id="5" w:name="_Toc150795564"/>
      <w:r w:rsidRPr="00BA36CF">
        <w:rPr>
          <w:rFonts w:ascii="Times New Roman" w:hAnsi="Times New Roman" w:cs="Times New Roman"/>
          <w:b/>
          <w:color w:val="000000" w:themeColor="text1"/>
          <w:sz w:val="36"/>
          <w:szCs w:val="36"/>
        </w:rPr>
        <w:t>Communication Barriers within the British Business</w:t>
      </w:r>
      <w:bookmarkEnd w:id="5"/>
    </w:p>
    <w:p w14:paraId="79D64859" w14:textId="77777777" w:rsidR="009863EA" w:rsidRPr="009863EA" w:rsidRDefault="009863EA" w:rsidP="009863EA"/>
    <w:p w14:paraId="7FE39AF8" w14:textId="6EF9F3D9" w:rsidR="005419FE" w:rsidRDefault="005419FE" w:rsidP="00BA36CF">
      <w:pPr>
        <w:spacing w:line="276" w:lineRule="auto"/>
        <w:rPr>
          <w:sz w:val="28"/>
          <w:szCs w:val="28"/>
        </w:rPr>
      </w:pPr>
      <w:r w:rsidRPr="005419FE">
        <w:rPr>
          <w:sz w:val="28"/>
          <w:szCs w:val="28"/>
        </w:rPr>
        <w:t>Barriers to communication restrict people and organisations from sharing knowledge. Businesses in Britain face psychological and cultural communication barriers that hinder local business penetration.</w:t>
      </w:r>
    </w:p>
    <w:p w14:paraId="66B5A289" w14:textId="77777777" w:rsidR="00BA36CF" w:rsidRPr="005419FE" w:rsidRDefault="00BA36CF" w:rsidP="00BA36CF">
      <w:pPr>
        <w:spacing w:line="276" w:lineRule="auto"/>
        <w:rPr>
          <w:sz w:val="28"/>
          <w:szCs w:val="28"/>
        </w:rPr>
      </w:pPr>
    </w:p>
    <w:p w14:paraId="09327164" w14:textId="37F0F34E" w:rsidR="00DF77B5" w:rsidRPr="005419FE" w:rsidRDefault="00DF77B5" w:rsidP="00BA36CF">
      <w:pPr>
        <w:pStyle w:val="Heading2"/>
        <w:numPr>
          <w:ilvl w:val="0"/>
          <w:numId w:val="1"/>
        </w:numPr>
        <w:spacing w:line="276" w:lineRule="auto"/>
        <w:rPr>
          <w:rFonts w:ascii="Times New Roman" w:hAnsi="Times New Roman" w:cs="Times New Roman"/>
          <w:b/>
          <w:bCs/>
          <w:i/>
          <w:iCs/>
          <w:color w:val="000000" w:themeColor="text1"/>
          <w:sz w:val="28"/>
          <w:szCs w:val="28"/>
        </w:rPr>
      </w:pPr>
      <w:bookmarkStart w:id="6" w:name="_Toc150795565"/>
      <w:r w:rsidRPr="005419FE">
        <w:rPr>
          <w:rFonts w:ascii="Times New Roman" w:hAnsi="Times New Roman" w:cs="Times New Roman"/>
          <w:b/>
          <w:bCs/>
          <w:i/>
          <w:iCs/>
          <w:color w:val="000000" w:themeColor="text1"/>
          <w:sz w:val="28"/>
          <w:szCs w:val="28"/>
        </w:rPr>
        <w:t>Psychological Barrier</w:t>
      </w:r>
      <w:bookmarkEnd w:id="6"/>
      <w:r w:rsidR="005419FE" w:rsidRPr="005419FE">
        <w:rPr>
          <w:rFonts w:ascii="Times New Roman" w:hAnsi="Times New Roman" w:cs="Times New Roman"/>
          <w:b/>
          <w:bCs/>
          <w:i/>
          <w:iCs/>
          <w:color w:val="000000" w:themeColor="text1"/>
          <w:sz w:val="28"/>
          <w:szCs w:val="28"/>
        </w:rPr>
        <w:t>s</w:t>
      </w:r>
    </w:p>
    <w:p w14:paraId="342F329A" w14:textId="78CF84FD" w:rsidR="005419FE" w:rsidRDefault="005419FE" w:rsidP="00BA36CF">
      <w:pPr>
        <w:spacing w:line="276" w:lineRule="auto"/>
      </w:pPr>
      <w:r w:rsidRPr="005419FE">
        <w:rPr>
          <w:sz w:val="28"/>
          <w:szCs w:val="28"/>
        </w:rPr>
        <w:t xml:space="preserve">All the emotional or cognitive elements affect communicators' behaviour because perception, personality, attitude, emotion, bias, and prejudice all alter communication and response (Simon &amp; Simon, 2022). British companies like Barclays of Ireland and the Netherlands face psychological challenges like different perceptions and expectations based on past experiences, knowledge, beliefs, and values. These factors cause miscommunication or conflict, especially if communicators must respect the other perspective. If communication is inappropriate, different personalities and styles, such as introversion vs. extroversion, assertiveness vs. passiveness, and directness vs. indirectness, can cause discomfort or dissatisfaction. Communicators also need more empathy and support. In that case, their </w:t>
      </w:r>
      <w:r w:rsidR="00E83970" w:rsidRPr="005419FE">
        <w:rPr>
          <w:sz w:val="28"/>
          <w:szCs w:val="28"/>
        </w:rPr>
        <w:t>mood,</w:t>
      </w:r>
      <w:r w:rsidRPr="005419FE">
        <w:rPr>
          <w:sz w:val="28"/>
          <w:szCs w:val="28"/>
        </w:rPr>
        <w:t xml:space="preserve"> and emotions—happiness vs. sorrow, wrath vs. peace, and excitement vs. boredom—influence the communication tone and goal</w:t>
      </w:r>
      <w:r w:rsidRPr="005419FE">
        <w:t>.</w:t>
      </w:r>
    </w:p>
    <w:p w14:paraId="1D750889" w14:textId="77777777" w:rsidR="00BA36CF" w:rsidRPr="005419FE" w:rsidRDefault="00BA36CF" w:rsidP="00BA36CF">
      <w:pPr>
        <w:spacing w:line="276" w:lineRule="auto"/>
      </w:pPr>
    </w:p>
    <w:p w14:paraId="552D9D27" w14:textId="22FE76D6" w:rsidR="00DF77B5" w:rsidRDefault="00DF77B5" w:rsidP="00BA36CF">
      <w:pPr>
        <w:pStyle w:val="Heading2"/>
        <w:numPr>
          <w:ilvl w:val="0"/>
          <w:numId w:val="1"/>
        </w:numPr>
        <w:spacing w:line="276" w:lineRule="auto"/>
        <w:rPr>
          <w:rFonts w:ascii="Times New Roman" w:hAnsi="Times New Roman" w:cs="Times New Roman"/>
          <w:b/>
          <w:bCs/>
          <w:i/>
          <w:iCs/>
          <w:color w:val="000000" w:themeColor="text1"/>
          <w:sz w:val="28"/>
          <w:szCs w:val="28"/>
        </w:rPr>
      </w:pPr>
      <w:bookmarkStart w:id="7" w:name="_Toc150795566"/>
      <w:r w:rsidRPr="005419FE">
        <w:rPr>
          <w:rFonts w:ascii="Times New Roman" w:hAnsi="Times New Roman" w:cs="Times New Roman"/>
          <w:b/>
          <w:bCs/>
          <w:i/>
          <w:iCs/>
          <w:color w:val="000000" w:themeColor="text1"/>
          <w:sz w:val="28"/>
          <w:szCs w:val="28"/>
        </w:rPr>
        <w:t>Cultural Barrier</w:t>
      </w:r>
      <w:bookmarkEnd w:id="7"/>
      <w:r w:rsidR="005419FE">
        <w:rPr>
          <w:rFonts w:ascii="Times New Roman" w:hAnsi="Times New Roman" w:cs="Times New Roman"/>
          <w:b/>
          <w:bCs/>
          <w:i/>
          <w:iCs/>
          <w:color w:val="000000" w:themeColor="text1"/>
          <w:sz w:val="28"/>
          <w:szCs w:val="28"/>
        </w:rPr>
        <w:t>s</w:t>
      </w:r>
      <w:r w:rsidRPr="005419FE">
        <w:rPr>
          <w:rFonts w:ascii="Times New Roman" w:hAnsi="Times New Roman" w:cs="Times New Roman"/>
          <w:b/>
          <w:bCs/>
          <w:i/>
          <w:iCs/>
          <w:color w:val="000000" w:themeColor="text1"/>
          <w:sz w:val="28"/>
          <w:szCs w:val="28"/>
        </w:rPr>
        <w:t xml:space="preserve"> </w:t>
      </w:r>
    </w:p>
    <w:p w14:paraId="594E6CC4" w14:textId="36E5B93E" w:rsidR="005419FE" w:rsidRPr="005419FE" w:rsidRDefault="005419FE" w:rsidP="00BA36CF">
      <w:pPr>
        <w:spacing w:line="276" w:lineRule="auto"/>
        <w:rPr>
          <w:sz w:val="28"/>
          <w:szCs w:val="28"/>
        </w:rPr>
      </w:pPr>
      <w:r w:rsidRPr="005419FE">
        <w:rPr>
          <w:sz w:val="28"/>
          <w:szCs w:val="28"/>
        </w:rPr>
        <w:t>Social norms impact communicators' attitudes and behaviours. Culture, religion, ethnicity, gender, age, and education affect communication. Barclays' Irish and Dutch branches encounter cultural differences. First, the power gap between the UK, Ireland, and the Netherlands reflects acceptance and expectation of uneven power distribution</w:t>
      </w:r>
      <w:r>
        <w:rPr>
          <w:sz w:val="28"/>
          <w:szCs w:val="28"/>
        </w:rPr>
        <w:t xml:space="preserve"> </w:t>
      </w:r>
      <w:r w:rsidRPr="005419FE">
        <w:rPr>
          <w:sz w:val="28"/>
          <w:szCs w:val="28"/>
        </w:rPr>
        <w:t>(Fashuang,2018</w:t>
      </w:r>
      <w:r w:rsidR="006D2417">
        <w:rPr>
          <w:sz w:val="28"/>
          <w:szCs w:val="28"/>
        </w:rPr>
        <w:t xml:space="preserve">, p. </w:t>
      </w:r>
      <w:r w:rsidR="00E83970" w:rsidRPr="00E83970">
        <w:rPr>
          <w:sz w:val="28"/>
          <w:szCs w:val="28"/>
        </w:rPr>
        <w:t>1</w:t>
      </w:r>
      <w:r w:rsidR="00E83970">
        <w:rPr>
          <w:sz w:val="28"/>
          <w:szCs w:val="28"/>
        </w:rPr>
        <w:t>2</w:t>
      </w:r>
      <w:r w:rsidRPr="005419FE">
        <w:rPr>
          <w:sz w:val="28"/>
          <w:szCs w:val="28"/>
        </w:rPr>
        <w:t>). These factors change the organisation's hierarchy, authority, delegation, decision-making, consultation, and feedback. Individualism vs. collectivism in the UK, Ireland, and Netherlands assesses how much individuals value their interests over those of the group. The metric affects management autonomy, accountability, accomplishment, work culture cooperation, collaboration, and loyalty.</w:t>
      </w:r>
    </w:p>
    <w:p w14:paraId="30AF8A06" w14:textId="77777777" w:rsidR="005419FE" w:rsidRDefault="005419FE" w:rsidP="00BA36CF">
      <w:pPr>
        <w:spacing w:line="276" w:lineRule="auto"/>
        <w:rPr>
          <w:sz w:val="28"/>
          <w:szCs w:val="28"/>
        </w:rPr>
      </w:pPr>
      <w:r w:rsidRPr="005419FE">
        <w:rPr>
          <w:sz w:val="28"/>
          <w:szCs w:val="28"/>
        </w:rPr>
        <w:lastRenderedPageBreak/>
        <w:t>The UK, Ireland, and Netherlands' masculinity-femininity gap shows how much a culture values aggression, competition, and wealth over caring, collaboration, and quality of life. This element affects workplace ambition, aggression, reward, work-life balance, harmony, and social responsibility. The difference in uncertainty avoidance between the UK, Ireland, and the Netherlands affects workplace risk, innovation, change, stability, security, and conformity. The UK, Ireland, and Netherlands' long-term vs short-term orientation gap show how much a society values long-term goals and viewpoints, affecting the organisation's pragmatism, endurance, future orientation, and work values' tradition, history, and instant fulfilment. To avoid tensions, Barclays may need to balance the Irish cultural preference for a more collaborative work environment with a flat organisational structure.</w:t>
      </w:r>
    </w:p>
    <w:p w14:paraId="01853C15" w14:textId="77777777" w:rsidR="00BA36CF" w:rsidRDefault="00BA36CF" w:rsidP="00BA36CF">
      <w:pPr>
        <w:spacing w:line="276" w:lineRule="auto"/>
        <w:rPr>
          <w:sz w:val="28"/>
          <w:szCs w:val="28"/>
        </w:rPr>
      </w:pPr>
    </w:p>
    <w:p w14:paraId="5FD4D419" w14:textId="77777777" w:rsidR="005419FE" w:rsidRPr="005419FE" w:rsidRDefault="005419FE" w:rsidP="00BA36CF">
      <w:pPr>
        <w:pStyle w:val="ListParagraph"/>
        <w:numPr>
          <w:ilvl w:val="0"/>
          <w:numId w:val="1"/>
        </w:numPr>
        <w:spacing w:line="276" w:lineRule="auto"/>
        <w:rPr>
          <w:b/>
          <w:bCs/>
          <w:i/>
          <w:iCs/>
          <w:sz w:val="28"/>
          <w:szCs w:val="28"/>
        </w:rPr>
      </w:pPr>
      <w:r w:rsidRPr="005419FE">
        <w:rPr>
          <w:b/>
          <w:bCs/>
          <w:i/>
          <w:iCs/>
          <w:sz w:val="28"/>
          <w:szCs w:val="28"/>
        </w:rPr>
        <w:t>Communication Styles:</w:t>
      </w:r>
    </w:p>
    <w:p w14:paraId="45DF4FF0" w14:textId="6C5D5869" w:rsidR="005419FE" w:rsidRDefault="005419FE" w:rsidP="00BA36CF">
      <w:pPr>
        <w:spacing w:line="276" w:lineRule="auto"/>
        <w:rPr>
          <w:sz w:val="28"/>
          <w:szCs w:val="28"/>
        </w:rPr>
      </w:pPr>
      <w:r w:rsidRPr="005419FE">
        <w:rPr>
          <w:sz w:val="28"/>
          <w:szCs w:val="28"/>
        </w:rPr>
        <w:t xml:space="preserve">Ireland values direct communication, while the Netherlands values polite, indirect interactions. In Ireland or the Netherlands, Barclays may face communication issues due to language, cultural, nonverbal, and business </w:t>
      </w:r>
      <w:r w:rsidR="006D4EFF" w:rsidRPr="005419FE">
        <w:rPr>
          <w:sz w:val="28"/>
          <w:szCs w:val="28"/>
        </w:rPr>
        <w:t>customs,</w:t>
      </w:r>
      <w:r w:rsidRPr="005419FE">
        <w:rPr>
          <w:sz w:val="28"/>
          <w:szCs w:val="28"/>
        </w:rPr>
        <w:t xml:space="preserve"> and etiquette differences. In the Netherlands, straightforward communication may clash with indirect and polite British communication, leading to misunderstandings or offence. Barclays must recognise and accommodate this communication difference. In Ireland, Barclays employees may need help understanding cultural nuances and local colloquialisms. Barclays must overcome these communication barriers to improve business operations.</w:t>
      </w:r>
    </w:p>
    <w:p w14:paraId="6578D169" w14:textId="77777777" w:rsidR="00BA36CF" w:rsidRDefault="00BA36CF" w:rsidP="00BA36CF">
      <w:pPr>
        <w:spacing w:line="276" w:lineRule="auto"/>
        <w:rPr>
          <w:sz w:val="28"/>
          <w:szCs w:val="28"/>
        </w:rPr>
      </w:pPr>
    </w:p>
    <w:p w14:paraId="6D068C3F" w14:textId="17A99C83" w:rsidR="005419FE" w:rsidRPr="005419FE" w:rsidRDefault="005419FE" w:rsidP="00BA36CF">
      <w:pPr>
        <w:pStyle w:val="ListParagraph"/>
        <w:numPr>
          <w:ilvl w:val="0"/>
          <w:numId w:val="1"/>
        </w:numPr>
        <w:spacing w:line="276" w:lineRule="auto"/>
        <w:rPr>
          <w:b/>
          <w:bCs/>
          <w:i/>
          <w:iCs/>
          <w:sz w:val="28"/>
          <w:szCs w:val="28"/>
        </w:rPr>
      </w:pPr>
      <w:r w:rsidRPr="005419FE">
        <w:rPr>
          <w:b/>
          <w:bCs/>
          <w:i/>
          <w:iCs/>
          <w:sz w:val="28"/>
          <w:szCs w:val="28"/>
        </w:rPr>
        <w:t>Labour Outlooks and Diversity</w:t>
      </w:r>
    </w:p>
    <w:p w14:paraId="2D220977" w14:textId="2F3F33B1" w:rsidR="005419FE" w:rsidRDefault="005419FE" w:rsidP="00BA36CF">
      <w:pPr>
        <w:spacing w:line="276" w:lineRule="auto"/>
        <w:rPr>
          <w:sz w:val="28"/>
          <w:szCs w:val="28"/>
        </w:rPr>
      </w:pPr>
      <w:r w:rsidRPr="005419FE">
        <w:rPr>
          <w:sz w:val="28"/>
          <w:szCs w:val="28"/>
        </w:rPr>
        <w:t>Both countries have diverse workforces, with Ireland having local and international talent and the Netherlands multicultural. Barclays should hire inclusively based on each country's workforce.</w:t>
      </w:r>
    </w:p>
    <w:p w14:paraId="26911FB3" w14:textId="77777777" w:rsidR="00BA36CF" w:rsidRDefault="00BA36CF" w:rsidP="00BA36CF">
      <w:pPr>
        <w:spacing w:line="276" w:lineRule="auto"/>
        <w:rPr>
          <w:sz w:val="28"/>
          <w:szCs w:val="28"/>
        </w:rPr>
      </w:pPr>
    </w:p>
    <w:p w14:paraId="3012469A" w14:textId="77777777" w:rsidR="005419FE" w:rsidRPr="005419FE" w:rsidRDefault="005419FE" w:rsidP="00BA36CF">
      <w:pPr>
        <w:pStyle w:val="ListParagraph"/>
        <w:numPr>
          <w:ilvl w:val="0"/>
          <w:numId w:val="1"/>
        </w:numPr>
        <w:spacing w:line="276" w:lineRule="auto"/>
        <w:rPr>
          <w:b/>
          <w:bCs/>
          <w:i/>
          <w:iCs/>
          <w:sz w:val="28"/>
          <w:szCs w:val="28"/>
        </w:rPr>
      </w:pPr>
      <w:r w:rsidRPr="005419FE">
        <w:rPr>
          <w:b/>
          <w:bCs/>
          <w:i/>
          <w:iCs/>
          <w:sz w:val="28"/>
          <w:szCs w:val="28"/>
        </w:rPr>
        <w:t>Risks Associated with Expansion</w:t>
      </w:r>
    </w:p>
    <w:p w14:paraId="1D2A853E" w14:textId="482B5950" w:rsidR="005419FE" w:rsidRDefault="005419FE" w:rsidP="00BA36CF">
      <w:pPr>
        <w:spacing w:line="276" w:lineRule="auto"/>
        <w:rPr>
          <w:sz w:val="28"/>
          <w:szCs w:val="28"/>
        </w:rPr>
      </w:pPr>
      <w:r w:rsidRPr="005419FE">
        <w:rPr>
          <w:sz w:val="28"/>
          <w:szCs w:val="28"/>
        </w:rPr>
        <w:t xml:space="preserve">Potential risks in both countries include regulatory uncertainties, economic fluctuations, and adapting to local business customs. In Ireland, the impact of Brexit and unique cultural nuances pose risks. In the Netherlands, challenges may </w:t>
      </w:r>
      <w:r w:rsidRPr="005419FE">
        <w:rPr>
          <w:sz w:val="28"/>
          <w:szCs w:val="28"/>
        </w:rPr>
        <w:lastRenderedPageBreak/>
        <w:t>arise from hierarchical structures and the need for adaptation to Dutch communication styles.</w:t>
      </w:r>
    </w:p>
    <w:p w14:paraId="25103ABA" w14:textId="77777777" w:rsidR="00602894" w:rsidRDefault="00602894" w:rsidP="00BA36CF">
      <w:pPr>
        <w:spacing w:line="276" w:lineRule="auto"/>
        <w:rPr>
          <w:sz w:val="28"/>
          <w:szCs w:val="28"/>
        </w:rPr>
      </w:pPr>
    </w:p>
    <w:p w14:paraId="18023D1D" w14:textId="3B028779" w:rsidR="005419FE" w:rsidRDefault="00E342EC" w:rsidP="005419FE">
      <w:pPr>
        <w:rPr>
          <w:b/>
          <w:bCs/>
          <w:sz w:val="36"/>
          <w:szCs w:val="36"/>
        </w:rPr>
      </w:pPr>
      <w:r w:rsidRPr="006511FA">
        <w:rPr>
          <w:b/>
          <w:bCs/>
          <w:sz w:val="36"/>
          <w:szCs w:val="36"/>
        </w:rPr>
        <w:t>Why the Netherlands is a Better Option than Ireland.</w:t>
      </w:r>
    </w:p>
    <w:p w14:paraId="02D3C92E" w14:textId="77777777" w:rsidR="006511FA" w:rsidRPr="006511FA" w:rsidRDefault="006511FA" w:rsidP="005419FE">
      <w:pPr>
        <w:rPr>
          <w:b/>
          <w:bCs/>
          <w:sz w:val="36"/>
          <w:szCs w:val="36"/>
        </w:rPr>
      </w:pPr>
    </w:p>
    <w:p w14:paraId="547B4F55" w14:textId="2C6BFE69" w:rsidR="00E342EC" w:rsidRDefault="00E342EC" w:rsidP="005419FE">
      <w:pPr>
        <w:rPr>
          <w:b/>
          <w:bCs/>
          <w:sz w:val="28"/>
          <w:szCs w:val="28"/>
        </w:rPr>
      </w:pPr>
      <w:r w:rsidRPr="00E342EC">
        <w:rPr>
          <w:sz w:val="28"/>
          <w:szCs w:val="28"/>
        </w:rPr>
        <w:t>The Netherlands aligns well with Barclays' company offer, given its sophisticated financial sector, multilingual workforce, and emphasis on innovation. The Dutch business environment complements Barclays' commitment to diversity and collaboration</w:t>
      </w:r>
      <w:r w:rsidRPr="00E342EC">
        <w:rPr>
          <w:b/>
          <w:bCs/>
          <w:sz w:val="28"/>
          <w:szCs w:val="28"/>
        </w:rPr>
        <w:t>.</w:t>
      </w:r>
    </w:p>
    <w:p w14:paraId="766202B6" w14:textId="77777777" w:rsidR="00E342EC" w:rsidRPr="00E342EC" w:rsidRDefault="00E342EC" w:rsidP="00E342EC">
      <w:pPr>
        <w:rPr>
          <w:sz w:val="28"/>
          <w:szCs w:val="28"/>
        </w:rPr>
      </w:pPr>
      <w:r w:rsidRPr="00E342EC">
        <w:rPr>
          <w:sz w:val="28"/>
          <w:szCs w:val="28"/>
        </w:rPr>
        <w:t>Considering communication challenges and social contexts, Barclays should choose the Netherlands. Dutch business culture, with its multiculturalism, sophisticated financial infrastructure, and collaborative work ethic, matches Barclays' values. The Dutch value consensus matches Barclays' teamwork and innovation.</w:t>
      </w:r>
    </w:p>
    <w:p w14:paraId="290EE9C5" w14:textId="59CD6814" w:rsidR="00E342EC" w:rsidRPr="00E342EC" w:rsidRDefault="00E342EC" w:rsidP="00E342EC">
      <w:pPr>
        <w:rPr>
          <w:sz w:val="28"/>
          <w:szCs w:val="28"/>
        </w:rPr>
      </w:pPr>
      <w:r w:rsidRPr="00E342EC">
        <w:rPr>
          <w:sz w:val="28"/>
          <w:szCs w:val="28"/>
        </w:rPr>
        <w:t xml:space="preserve">The data suggests that a company expansion to the Netherlands is possible. British companies and Barclays Bank in the Netherlands have misunderstandings and disputes because Dutch culture is closer to the UK than to Ireland. The UK and Netherlands score similarly on most of Hofstede's cultural dimensions and indulgence, but Ireland scores differently on masculinity, long-term orientation, and indulgence. The Netherlands' GDP per capita is higher than Ireland's, indicating higher economic development and buying power. Compared to Ireland's $46,786 GDP per capita in 2020, the </w:t>
      </w:r>
      <w:r w:rsidR="00A462AD" w:rsidRPr="00E342EC">
        <w:rPr>
          <w:sz w:val="28"/>
          <w:szCs w:val="28"/>
        </w:rPr>
        <w:t>Netherlands</w:t>
      </w:r>
      <w:r w:rsidRPr="00E342EC">
        <w:rPr>
          <w:sz w:val="28"/>
          <w:szCs w:val="28"/>
        </w:rPr>
        <w:t xml:space="preserve"> was $54,422 (World Bank, 2022).</w:t>
      </w:r>
    </w:p>
    <w:p w14:paraId="3C2AE28A" w14:textId="4C722F99" w:rsidR="00E342EC" w:rsidRPr="00E342EC" w:rsidRDefault="00E342EC" w:rsidP="00E342EC">
      <w:pPr>
        <w:rPr>
          <w:sz w:val="28"/>
          <w:szCs w:val="28"/>
        </w:rPr>
      </w:pPr>
      <w:r w:rsidRPr="00E342EC">
        <w:rPr>
          <w:sz w:val="28"/>
          <w:szCs w:val="28"/>
        </w:rPr>
        <w:t xml:space="preserve">The larger Dutch market offers more growth and profit potential than the Irish one. The World Bank predicted 17.28 million Dutch people and 4.94 million Irish people in 2020 (World Bank, 2022b). Business is easier and more efficient in the Netherlands than in Ireland. Ireland ranks </w:t>
      </w:r>
      <w:r w:rsidR="006D4EFF" w:rsidRPr="00E342EC">
        <w:rPr>
          <w:sz w:val="28"/>
          <w:szCs w:val="28"/>
        </w:rPr>
        <w:t>twenty-four</w:t>
      </w:r>
      <w:r w:rsidRPr="00E342EC">
        <w:rPr>
          <w:sz w:val="28"/>
          <w:szCs w:val="28"/>
        </w:rPr>
        <w:t xml:space="preserve"> on the World Bank's 2020 ease of doing business index, while the Netherlands ranks 42 (World Bank, 2021). According to Barclays' strategic vision, long-term goals are crucial.</w:t>
      </w:r>
    </w:p>
    <w:p w14:paraId="014B83D6" w14:textId="77777777" w:rsidR="005419FE" w:rsidRDefault="005419FE" w:rsidP="005419FE"/>
    <w:p w14:paraId="7C378C9F" w14:textId="77777777" w:rsidR="00602894" w:rsidRDefault="00602894" w:rsidP="005419FE"/>
    <w:p w14:paraId="41A08DFC" w14:textId="77777777" w:rsidR="009863EA" w:rsidRDefault="009863EA" w:rsidP="005419FE"/>
    <w:p w14:paraId="6D50634D" w14:textId="77777777" w:rsidR="00602894" w:rsidRPr="005419FE" w:rsidRDefault="00602894" w:rsidP="005419FE"/>
    <w:p w14:paraId="403B89EC" w14:textId="44F7EC08" w:rsidR="00DF77B5" w:rsidRDefault="00DF77B5" w:rsidP="00DF77B5">
      <w:pPr>
        <w:pStyle w:val="Heading1"/>
        <w:rPr>
          <w:rFonts w:ascii="Times New Roman" w:hAnsi="Times New Roman" w:cs="Times New Roman"/>
          <w:b/>
          <w:color w:val="000000" w:themeColor="text1"/>
          <w:sz w:val="36"/>
          <w:szCs w:val="36"/>
        </w:rPr>
      </w:pPr>
      <w:bookmarkStart w:id="8" w:name="_Toc150795567"/>
      <w:r w:rsidRPr="006511FA">
        <w:rPr>
          <w:rFonts w:ascii="Times New Roman" w:hAnsi="Times New Roman" w:cs="Times New Roman"/>
          <w:b/>
          <w:color w:val="000000" w:themeColor="text1"/>
          <w:sz w:val="36"/>
          <w:szCs w:val="36"/>
        </w:rPr>
        <w:lastRenderedPageBreak/>
        <w:t>Recommendations</w:t>
      </w:r>
      <w:bookmarkEnd w:id="8"/>
      <w:r w:rsidR="006511FA">
        <w:rPr>
          <w:rFonts w:ascii="Times New Roman" w:hAnsi="Times New Roman" w:cs="Times New Roman"/>
          <w:b/>
          <w:color w:val="000000" w:themeColor="text1"/>
          <w:sz w:val="36"/>
          <w:szCs w:val="36"/>
        </w:rPr>
        <w:t>:</w:t>
      </w:r>
    </w:p>
    <w:p w14:paraId="6F842F08" w14:textId="77777777" w:rsidR="009863EA" w:rsidRPr="009863EA" w:rsidRDefault="009863EA" w:rsidP="009863EA"/>
    <w:p w14:paraId="47270976" w14:textId="70203492" w:rsidR="00DF77B5" w:rsidRPr="007D31EB" w:rsidRDefault="00DF77B5" w:rsidP="006511FA">
      <w:pPr>
        <w:spacing w:line="276" w:lineRule="auto"/>
        <w:ind w:firstLine="720"/>
        <w:rPr>
          <w:sz w:val="28"/>
          <w:szCs w:val="28"/>
        </w:rPr>
      </w:pPr>
      <w:r w:rsidRPr="007D31EB">
        <w:rPr>
          <w:sz w:val="28"/>
          <w:szCs w:val="28"/>
        </w:rPr>
        <w:t xml:space="preserve">The data suggests that a company expansion to the Netherlands is feasible. Since the Dutch culture is closer to UK as compared to Ireland as less misunderstandings and disputes arise between British companies and the Barclays bank in Netherlands. Power distance, individualism, uncertainty avoidance, and indulgence are all areas in which the UK and the Netherlands scores similar on Hofstede's cultural dimensions, whereas the UK and Ireland score differently on masculinity, long-term orientation, and indulgence. </w:t>
      </w:r>
    </w:p>
    <w:p w14:paraId="6C788C70" w14:textId="09A80C6A" w:rsidR="00602894" w:rsidRPr="007D31EB" w:rsidRDefault="00E342EC" w:rsidP="006511FA">
      <w:pPr>
        <w:spacing w:line="276" w:lineRule="auto"/>
        <w:rPr>
          <w:sz w:val="28"/>
          <w:szCs w:val="28"/>
        </w:rPr>
      </w:pPr>
      <w:r w:rsidRPr="007D31EB">
        <w:rPr>
          <w:sz w:val="28"/>
          <w:szCs w:val="28"/>
        </w:rPr>
        <w:t>British businesses expanding into the Netherlands face communication issues because Dutch is the Dutch official language, while English is the UK's. To communicate with Barclays Bank Netherlands and local customers, the British company needs multilingual staff, language training, or translation (Barmeyer et al., 2019</w:t>
      </w:r>
      <w:r w:rsidR="00BD0FA6">
        <w:rPr>
          <w:sz w:val="28"/>
          <w:szCs w:val="28"/>
        </w:rPr>
        <w:t xml:space="preserve">, pp </w:t>
      </w:r>
      <w:r w:rsidR="005A5CE1">
        <w:rPr>
          <w:sz w:val="28"/>
          <w:szCs w:val="28"/>
        </w:rPr>
        <w:t>12</w:t>
      </w:r>
      <w:r w:rsidRPr="007D31EB">
        <w:rPr>
          <w:sz w:val="28"/>
          <w:szCs w:val="28"/>
        </w:rPr>
        <w:t>). The Netherlands is direct, straightforward, and honest; the UK is indirect, courteous, and diplomatic. The British corporation must change its tone, aim, and feedback to avoid upsetting or confusing the Netherlands Barclay's bank and local partners (Fashuang, 201</w:t>
      </w:r>
      <w:r w:rsidR="00E83970">
        <w:rPr>
          <w:sz w:val="28"/>
          <w:szCs w:val="28"/>
        </w:rPr>
        <w:t>,</w:t>
      </w:r>
      <w:r w:rsidR="00E83970" w:rsidRPr="00E83970">
        <w:t xml:space="preserve"> </w:t>
      </w:r>
      <w:r w:rsidR="00E83970" w:rsidRPr="00E83970">
        <w:rPr>
          <w:sz w:val="28"/>
          <w:szCs w:val="28"/>
        </w:rPr>
        <w:t>pp.14–16</w:t>
      </w:r>
      <w:r w:rsidRPr="007D31EB">
        <w:rPr>
          <w:sz w:val="28"/>
          <w:szCs w:val="28"/>
        </w:rPr>
        <w:t>). British businesses should also use reliable communication methods like email, phone, and video conferencing to send and receive messages. To ensure message comprehension, use simple language, avoid jargon, slang, idioms, and expressions, and define technical terminology, acronyms, abbreviations, and symbols: active listening, confirmation, questions, clarifications, and summaries aid comprehension. Empathy, respect, courtesy, understanding, acceptance, and avoiding bias and prejudice improve communicators' behaviour.</w:t>
      </w:r>
    </w:p>
    <w:p w14:paraId="0D5F0098" w14:textId="7EA7B8FC" w:rsidR="007D31EB" w:rsidRPr="007D31EB" w:rsidRDefault="007D31EB" w:rsidP="005A5CE1">
      <w:pPr>
        <w:spacing w:line="276" w:lineRule="auto"/>
        <w:rPr>
          <w:b/>
          <w:bCs/>
          <w:i/>
          <w:iCs/>
          <w:sz w:val="28"/>
          <w:szCs w:val="28"/>
        </w:rPr>
      </w:pPr>
      <w:r w:rsidRPr="007D31EB">
        <w:rPr>
          <w:b/>
          <w:bCs/>
          <w:i/>
          <w:iCs/>
          <w:sz w:val="28"/>
          <w:szCs w:val="28"/>
        </w:rPr>
        <w:t>Recommended Strategies for Overcoming Communication Barriers</w:t>
      </w:r>
      <w:r w:rsidR="006511FA">
        <w:rPr>
          <w:b/>
          <w:bCs/>
          <w:i/>
          <w:iCs/>
          <w:sz w:val="28"/>
          <w:szCs w:val="28"/>
        </w:rPr>
        <w:t>:</w:t>
      </w:r>
    </w:p>
    <w:p w14:paraId="60E86BDD" w14:textId="62D0B88C" w:rsidR="007D31EB" w:rsidRPr="007D31EB" w:rsidRDefault="007D31EB" w:rsidP="005A5CE1">
      <w:pPr>
        <w:pStyle w:val="ListParagraph"/>
        <w:numPr>
          <w:ilvl w:val="0"/>
          <w:numId w:val="2"/>
        </w:numPr>
        <w:spacing w:line="276" w:lineRule="auto"/>
        <w:rPr>
          <w:b/>
          <w:bCs/>
          <w:i/>
          <w:iCs/>
          <w:sz w:val="28"/>
          <w:szCs w:val="28"/>
        </w:rPr>
      </w:pPr>
      <w:r w:rsidRPr="007D31EB">
        <w:rPr>
          <w:b/>
          <w:bCs/>
          <w:i/>
          <w:iCs/>
          <w:sz w:val="28"/>
          <w:szCs w:val="28"/>
        </w:rPr>
        <w:t xml:space="preserve">Cross-Cultural Training: </w:t>
      </w:r>
      <w:r w:rsidRPr="007D31EB">
        <w:rPr>
          <w:sz w:val="28"/>
          <w:szCs w:val="28"/>
        </w:rPr>
        <w:t>Provide comprehensive cross-cultural training for Barclays employees, emphasising communication nuances and cultural etiquette in the Netherlands.</w:t>
      </w:r>
    </w:p>
    <w:p w14:paraId="540F0A42" w14:textId="696E0137" w:rsidR="007D31EB" w:rsidRPr="007D31EB" w:rsidRDefault="007D31EB" w:rsidP="005A5CE1">
      <w:pPr>
        <w:pStyle w:val="ListParagraph"/>
        <w:numPr>
          <w:ilvl w:val="0"/>
          <w:numId w:val="2"/>
        </w:numPr>
        <w:spacing w:line="276" w:lineRule="auto"/>
        <w:rPr>
          <w:sz w:val="28"/>
          <w:szCs w:val="28"/>
        </w:rPr>
      </w:pPr>
      <w:r w:rsidRPr="007D31EB">
        <w:rPr>
          <w:b/>
          <w:bCs/>
          <w:i/>
          <w:iCs/>
          <w:sz w:val="28"/>
          <w:szCs w:val="28"/>
        </w:rPr>
        <w:t>Language Proficiency Programs:</w:t>
      </w:r>
      <w:r>
        <w:rPr>
          <w:sz w:val="28"/>
          <w:szCs w:val="28"/>
        </w:rPr>
        <w:t xml:space="preserve"> </w:t>
      </w:r>
      <w:r w:rsidRPr="007D31EB">
        <w:rPr>
          <w:sz w:val="28"/>
          <w:szCs w:val="28"/>
        </w:rPr>
        <w:t>Invest in language proficiency programs to enhance employees' ability to navigate Dutch communication effectively.</w:t>
      </w:r>
    </w:p>
    <w:p w14:paraId="60095613" w14:textId="77777777" w:rsidR="007D31EB" w:rsidRPr="007D31EB" w:rsidRDefault="007D31EB" w:rsidP="005A5CE1">
      <w:pPr>
        <w:spacing w:line="276" w:lineRule="auto"/>
        <w:rPr>
          <w:sz w:val="28"/>
          <w:szCs w:val="28"/>
        </w:rPr>
      </w:pPr>
    </w:p>
    <w:p w14:paraId="2AA26521" w14:textId="4550EFEE" w:rsidR="007D31EB" w:rsidRDefault="007D31EB" w:rsidP="005A5CE1">
      <w:pPr>
        <w:pStyle w:val="ListParagraph"/>
        <w:numPr>
          <w:ilvl w:val="0"/>
          <w:numId w:val="2"/>
        </w:numPr>
        <w:spacing w:line="276" w:lineRule="auto"/>
        <w:rPr>
          <w:sz w:val="28"/>
          <w:szCs w:val="28"/>
        </w:rPr>
      </w:pPr>
      <w:r w:rsidRPr="007D31EB">
        <w:rPr>
          <w:b/>
          <w:bCs/>
          <w:i/>
          <w:iCs/>
          <w:sz w:val="28"/>
          <w:szCs w:val="28"/>
        </w:rPr>
        <w:t>Cultural Sensitivity Workshops</w:t>
      </w:r>
      <w:r w:rsidRPr="007D31EB">
        <w:rPr>
          <w:sz w:val="28"/>
          <w:szCs w:val="28"/>
        </w:rPr>
        <w:t>:</w:t>
      </w:r>
      <w:r>
        <w:rPr>
          <w:sz w:val="28"/>
          <w:szCs w:val="28"/>
        </w:rPr>
        <w:t xml:space="preserve"> </w:t>
      </w:r>
      <w:r w:rsidRPr="007D31EB">
        <w:rPr>
          <w:sz w:val="28"/>
          <w:szCs w:val="28"/>
        </w:rPr>
        <w:t>Conduct workshops to foster cultural sensitivity, addressing communication styles and formalities in the Netherlands.</w:t>
      </w:r>
    </w:p>
    <w:p w14:paraId="79933395" w14:textId="77777777" w:rsidR="00602894" w:rsidRPr="00602894" w:rsidRDefault="00602894" w:rsidP="005A5CE1">
      <w:pPr>
        <w:pStyle w:val="ListParagraph"/>
        <w:spacing w:line="276" w:lineRule="auto"/>
        <w:rPr>
          <w:sz w:val="28"/>
          <w:szCs w:val="28"/>
        </w:rPr>
      </w:pPr>
    </w:p>
    <w:p w14:paraId="303B3E2D" w14:textId="77777777" w:rsidR="009863EA" w:rsidRDefault="009863EA" w:rsidP="00602894">
      <w:pPr>
        <w:rPr>
          <w:sz w:val="28"/>
          <w:szCs w:val="28"/>
        </w:rPr>
      </w:pPr>
    </w:p>
    <w:p w14:paraId="04D9B43A" w14:textId="77777777" w:rsidR="009863EA" w:rsidRPr="00602894" w:rsidRDefault="009863EA" w:rsidP="00602894">
      <w:pPr>
        <w:rPr>
          <w:sz w:val="28"/>
          <w:szCs w:val="28"/>
        </w:rPr>
      </w:pPr>
    </w:p>
    <w:p w14:paraId="63E5887C" w14:textId="77777777" w:rsidR="00DF77B5" w:rsidRDefault="00DF77B5" w:rsidP="00DF77B5">
      <w:pPr>
        <w:pStyle w:val="Heading1"/>
        <w:rPr>
          <w:rFonts w:ascii="Times New Roman" w:hAnsi="Times New Roman" w:cs="Times New Roman"/>
          <w:b/>
          <w:color w:val="000000" w:themeColor="text1"/>
          <w:sz w:val="36"/>
          <w:szCs w:val="36"/>
        </w:rPr>
      </w:pPr>
      <w:bookmarkStart w:id="9" w:name="_Toc150795568"/>
      <w:r w:rsidRPr="005A5CE1">
        <w:rPr>
          <w:rFonts w:ascii="Times New Roman" w:hAnsi="Times New Roman" w:cs="Times New Roman"/>
          <w:b/>
          <w:color w:val="000000" w:themeColor="text1"/>
          <w:sz w:val="36"/>
          <w:szCs w:val="36"/>
        </w:rPr>
        <w:t>Conclusion</w:t>
      </w:r>
      <w:bookmarkEnd w:id="9"/>
    </w:p>
    <w:p w14:paraId="6D78CEE8" w14:textId="77777777" w:rsidR="009863EA" w:rsidRPr="009863EA" w:rsidRDefault="009863EA" w:rsidP="009863EA"/>
    <w:p w14:paraId="53703FDB" w14:textId="77777777" w:rsidR="007D31EB" w:rsidRPr="007D31EB" w:rsidRDefault="007D31EB" w:rsidP="005A5CE1">
      <w:pPr>
        <w:spacing w:line="276" w:lineRule="auto"/>
        <w:rPr>
          <w:sz w:val="28"/>
          <w:szCs w:val="28"/>
        </w:rPr>
      </w:pPr>
      <w:r w:rsidRPr="007D31EB">
        <w:rPr>
          <w:sz w:val="28"/>
          <w:szCs w:val="28"/>
        </w:rPr>
        <w:t>Barclays' expansion into the Netherlands will be critical due to cultural similarities, corporate conditions, and the opportunity for seamless cooperation.</w:t>
      </w:r>
    </w:p>
    <w:p w14:paraId="25E3594F" w14:textId="5D0E2A99" w:rsidR="007D31EB" w:rsidRDefault="007D31EB" w:rsidP="005A5CE1">
      <w:pPr>
        <w:spacing w:line="276" w:lineRule="auto"/>
        <w:rPr>
          <w:sz w:val="28"/>
          <w:szCs w:val="28"/>
        </w:rPr>
      </w:pPr>
      <w:r w:rsidRPr="007D31EB">
        <w:rPr>
          <w:sz w:val="28"/>
          <w:szCs w:val="28"/>
        </w:rPr>
        <w:t xml:space="preserve"> Barclays can create a positive work environment in the Netherlands by implementing strategies to improve communication and promote employee growth. According to research, cultural </w:t>
      </w:r>
      <w:r w:rsidR="006D4EFF" w:rsidRPr="007D31EB">
        <w:rPr>
          <w:sz w:val="28"/>
          <w:szCs w:val="28"/>
        </w:rPr>
        <w:t>commonalities,</w:t>
      </w:r>
      <w:r w:rsidRPr="007D31EB">
        <w:rPr>
          <w:sz w:val="28"/>
          <w:szCs w:val="28"/>
        </w:rPr>
        <w:t xml:space="preserve"> and a more outstanding market size boost Barclays' development chances in the Netherlands. Barclays should </w:t>
      </w:r>
      <w:r w:rsidR="006D4EFF" w:rsidRPr="007D31EB">
        <w:rPr>
          <w:sz w:val="28"/>
          <w:szCs w:val="28"/>
        </w:rPr>
        <w:t>manage</w:t>
      </w:r>
      <w:r w:rsidRPr="007D31EB">
        <w:rPr>
          <w:sz w:val="28"/>
          <w:szCs w:val="28"/>
        </w:rPr>
        <w:t xml:space="preserve"> the Dutch language and communication issues proactively. Implementing dependable communication tools, employing multilingual staff, and modifying communication strategies may help Barclays' commercial growth. Barclays must navigate these cultural characteristics to communicate and integrate with Dutch business. Adaptation techniques should embrace flat organisational structures, balance individuality with cooperation, loosen norms, fit with the long-term perspective, and accommodate a more indulgent work culture. This cultural sensitivity will help Barclays succeed and build a healthy work environment in the Netherlands. It is essential for profitable growth and strong stakeholder relationships. Barclays must evaluate potential commercial development countries and consider cultural, social, and economic factors that may affect their operations. To succeed in the selected country, Barclay must overcome communication barriers and develop a growth-friendly atmosphere.</w:t>
      </w:r>
    </w:p>
    <w:p w14:paraId="04D833E6" w14:textId="77777777" w:rsidR="005A5CE1" w:rsidRDefault="005A5CE1" w:rsidP="007D31EB">
      <w:pPr>
        <w:rPr>
          <w:sz w:val="28"/>
          <w:szCs w:val="28"/>
        </w:rPr>
      </w:pPr>
    </w:p>
    <w:p w14:paraId="714D8D5B" w14:textId="77777777" w:rsidR="005A5CE1" w:rsidRDefault="005A5CE1" w:rsidP="007D31EB">
      <w:pPr>
        <w:rPr>
          <w:sz w:val="28"/>
          <w:szCs w:val="28"/>
        </w:rPr>
      </w:pPr>
    </w:p>
    <w:p w14:paraId="15079679" w14:textId="77777777" w:rsidR="005A5CE1" w:rsidRDefault="005A5CE1" w:rsidP="007D31EB">
      <w:pPr>
        <w:rPr>
          <w:sz w:val="28"/>
          <w:szCs w:val="28"/>
        </w:rPr>
      </w:pPr>
    </w:p>
    <w:p w14:paraId="127172CC" w14:textId="77777777" w:rsidR="005A5CE1" w:rsidRDefault="005A5CE1" w:rsidP="007D31EB">
      <w:pPr>
        <w:rPr>
          <w:sz w:val="28"/>
          <w:szCs w:val="28"/>
        </w:rPr>
      </w:pPr>
    </w:p>
    <w:p w14:paraId="23D92BC7" w14:textId="77777777" w:rsidR="005A5CE1" w:rsidRDefault="005A5CE1" w:rsidP="007D31EB">
      <w:pPr>
        <w:rPr>
          <w:sz w:val="28"/>
          <w:szCs w:val="28"/>
        </w:rPr>
      </w:pPr>
    </w:p>
    <w:p w14:paraId="4FC19C3F" w14:textId="77777777" w:rsidR="005A5CE1" w:rsidRDefault="005A5CE1" w:rsidP="007D31EB">
      <w:pPr>
        <w:rPr>
          <w:sz w:val="28"/>
          <w:szCs w:val="28"/>
        </w:rPr>
      </w:pPr>
    </w:p>
    <w:p w14:paraId="1DBC517E" w14:textId="77777777" w:rsidR="005A5CE1" w:rsidRDefault="005A5CE1" w:rsidP="007D31EB">
      <w:pPr>
        <w:rPr>
          <w:sz w:val="28"/>
          <w:szCs w:val="28"/>
        </w:rPr>
      </w:pPr>
    </w:p>
    <w:p w14:paraId="593652B6" w14:textId="77777777" w:rsidR="009863EA" w:rsidRPr="009863EA" w:rsidRDefault="009863EA" w:rsidP="009863EA">
      <w:bookmarkStart w:id="10" w:name="_Toc150795569"/>
    </w:p>
    <w:p w14:paraId="018EB115" w14:textId="67D81F1D" w:rsidR="00DF77B5" w:rsidRPr="005A5CE1" w:rsidRDefault="00DF77B5" w:rsidP="00DF77B5">
      <w:pPr>
        <w:pStyle w:val="Heading1"/>
        <w:rPr>
          <w:rFonts w:ascii="Times New Roman" w:hAnsi="Times New Roman" w:cs="Times New Roman"/>
          <w:b/>
          <w:color w:val="000000" w:themeColor="text1"/>
          <w:sz w:val="36"/>
          <w:szCs w:val="36"/>
        </w:rPr>
      </w:pPr>
      <w:r w:rsidRPr="005A5CE1">
        <w:rPr>
          <w:rFonts w:ascii="Times New Roman" w:hAnsi="Times New Roman" w:cs="Times New Roman"/>
          <w:b/>
          <w:color w:val="000000" w:themeColor="text1"/>
          <w:sz w:val="36"/>
          <w:szCs w:val="36"/>
        </w:rPr>
        <w:lastRenderedPageBreak/>
        <w:t>References</w:t>
      </w:r>
      <w:bookmarkEnd w:id="10"/>
      <w:r w:rsidRPr="005A5CE1">
        <w:rPr>
          <w:rFonts w:ascii="Times New Roman" w:hAnsi="Times New Roman" w:cs="Times New Roman"/>
          <w:b/>
          <w:color w:val="000000" w:themeColor="text1"/>
          <w:sz w:val="36"/>
          <w:szCs w:val="36"/>
        </w:rPr>
        <w:t xml:space="preserve"> </w:t>
      </w:r>
    </w:p>
    <w:p w14:paraId="776E62D2" w14:textId="77777777" w:rsidR="000F26DB" w:rsidRDefault="000F26DB" w:rsidP="000F26DB">
      <w:pPr>
        <w:numPr>
          <w:ilvl w:val="0"/>
          <w:numId w:val="4"/>
        </w:numPr>
        <w:spacing w:before="0" w:after="0" w:line="240" w:lineRule="auto"/>
        <w:jc w:val="left"/>
        <w:rPr>
          <w:color w:val="0E101A"/>
        </w:rPr>
      </w:pPr>
      <w:r>
        <w:rPr>
          <w:color w:val="0E101A"/>
        </w:rPr>
        <w:t>Barclays Bank Ireland PLC (2021). 'Barclays Bank Ireland PLC Country-by-Country Reporting Information 31 December 2021 Contents' Available at: https://home.barclays/content/dam/home-barclays/documents/investor-relations/reports-and-events/annual-reports/2021/BBI-2021-Country-by-Country-Reporting-Information.pdf. [Accessed:13.11.2023].</w:t>
      </w:r>
    </w:p>
    <w:p w14:paraId="60D20993" w14:textId="0CB0E2E0" w:rsidR="000F26DB" w:rsidRDefault="000F26DB" w:rsidP="000F26DB">
      <w:pPr>
        <w:numPr>
          <w:ilvl w:val="0"/>
          <w:numId w:val="4"/>
        </w:numPr>
        <w:spacing w:before="0" w:after="0" w:line="240" w:lineRule="auto"/>
        <w:jc w:val="left"/>
        <w:rPr>
          <w:color w:val="0E101A"/>
        </w:rPr>
      </w:pPr>
      <w:r>
        <w:rPr>
          <w:color w:val="0E101A"/>
        </w:rPr>
        <w:t xml:space="preserve">Barmeyer, C., Davoine, E. and Stokes, P. (2019). 'When the "well-oiled machine" meets the "pyramid of people:" Role perceptions and hybrid working practices of middle managers in a bi-national organisation – ARTE', International Journal of Cross-Cultural Management, 19(3), pp.251–272. Available </w:t>
      </w:r>
      <w:r w:rsidR="00A462AD">
        <w:rPr>
          <w:color w:val="0E101A"/>
        </w:rPr>
        <w:t>at: https://doi.org/10.1177/1470595819869729 [</w:t>
      </w:r>
      <w:r>
        <w:rPr>
          <w:color w:val="0E101A"/>
        </w:rPr>
        <w:t>Accessed:02.12.2023].</w:t>
      </w:r>
    </w:p>
    <w:p w14:paraId="74C62CD5" w14:textId="77777777" w:rsidR="000F26DB" w:rsidRDefault="000F26DB" w:rsidP="000F26DB">
      <w:pPr>
        <w:numPr>
          <w:ilvl w:val="0"/>
          <w:numId w:val="4"/>
        </w:numPr>
        <w:spacing w:before="0" w:after="0" w:line="240" w:lineRule="auto"/>
        <w:jc w:val="left"/>
        <w:rPr>
          <w:color w:val="0E101A"/>
        </w:rPr>
      </w:pPr>
      <w:r>
        <w:rPr>
          <w:color w:val="0E101A"/>
        </w:rPr>
        <w:t>Business Organisation (2013)' Business communication' Available at: https://businessculture.org/northern-europe/united-kingdom-business-culture/business-communication/. [Accessed:20.11.2023].</w:t>
      </w:r>
    </w:p>
    <w:p w14:paraId="71B2DED0" w14:textId="53033374" w:rsidR="000F26DB" w:rsidRDefault="000F26DB" w:rsidP="000F26DB">
      <w:pPr>
        <w:numPr>
          <w:ilvl w:val="0"/>
          <w:numId w:val="4"/>
        </w:numPr>
        <w:spacing w:before="0" w:after="0" w:line="240" w:lineRule="auto"/>
        <w:jc w:val="left"/>
        <w:rPr>
          <w:color w:val="0E101A"/>
        </w:rPr>
      </w:pPr>
      <w:r>
        <w:rPr>
          <w:color w:val="0E101A"/>
        </w:rPr>
        <w:t>Fashuang, H. (2018). 'RESEARCH ON THE BUSINESS COMMUNICATION BARRIERS AND COUNTERMEASURES IN THE NETWORK ENVIRONMENT', Education, Sustainability &amp; Society. Available at: https://doi</w:t>
      </w:r>
      <w:r>
        <w:rPr>
          <w:rStyle w:val="Emphasis"/>
          <w:color w:val="0E101A"/>
        </w:rPr>
        <w:t>: </w:t>
      </w:r>
      <w:hyperlink r:id="rId9" w:tgtFrame="_blank" w:history="1">
        <w:r>
          <w:rPr>
            <w:rStyle w:val="Emphasis"/>
            <w:color w:val="0E101A"/>
            <w:u w:val="single"/>
          </w:rPr>
          <w:t>10.26480/ess.01.2018.14.16</w:t>
        </w:r>
      </w:hyperlink>
      <w:r>
        <w:rPr>
          <w:color w:val="0E101A"/>
        </w:rPr>
        <w:t>. [Accessed:20.12.2023]</w:t>
      </w:r>
    </w:p>
    <w:p w14:paraId="761AC014" w14:textId="77777777" w:rsidR="000F26DB" w:rsidRDefault="000F26DB" w:rsidP="000F26DB">
      <w:pPr>
        <w:numPr>
          <w:ilvl w:val="0"/>
          <w:numId w:val="4"/>
        </w:numPr>
        <w:spacing w:before="0" w:after="0" w:line="240" w:lineRule="auto"/>
        <w:jc w:val="left"/>
        <w:rPr>
          <w:color w:val="0E101A"/>
        </w:rPr>
      </w:pPr>
      <w:r>
        <w:rPr>
          <w:color w:val="0E101A"/>
        </w:rPr>
        <w:t>Nickerson, C. (2023). 'Hofstede's Cultural Dimensions Theory' is Available at https://www.simplypsychology.org/hofstedes-cultural-dimensions-theory.html. [Accessed:13.11.2023].</w:t>
      </w:r>
    </w:p>
    <w:p w14:paraId="7B47BC78" w14:textId="77777777" w:rsidR="000F26DB" w:rsidRDefault="000F26DB" w:rsidP="000F26DB">
      <w:pPr>
        <w:numPr>
          <w:ilvl w:val="0"/>
          <w:numId w:val="4"/>
        </w:numPr>
        <w:spacing w:before="0" w:after="0" w:line="240" w:lineRule="auto"/>
        <w:jc w:val="left"/>
        <w:rPr>
          <w:color w:val="0E101A"/>
        </w:rPr>
      </w:pPr>
      <w:r>
        <w:rPr>
          <w:color w:val="0E101A"/>
        </w:rPr>
        <w:t>Simon &amp; Simon (2022). 'Cultural Barriers to Effective Communication in Business | SIMON &amp; SIMON' Available at: https://www.simonandsimon.co.uk/blog/cultural-barriers-to-effective-communication-in-business. [Accessed:13.11.2023].</w:t>
      </w:r>
    </w:p>
    <w:p w14:paraId="0A163584" w14:textId="77777777" w:rsidR="000F26DB" w:rsidRDefault="000F26DB" w:rsidP="000F26DB">
      <w:pPr>
        <w:numPr>
          <w:ilvl w:val="0"/>
          <w:numId w:val="4"/>
        </w:numPr>
        <w:spacing w:before="0" w:after="0" w:line="240" w:lineRule="auto"/>
        <w:jc w:val="left"/>
        <w:rPr>
          <w:color w:val="0E101A"/>
        </w:rPr>
      </w:pPr>
      <w:r>
        <w:rPr>
          <w:color w:val="0E101A"/>
        </w:rPr>
        <w:t>Smith, E. (2023). 'Barclays down 6.5% after warning of fourth-quarter cost-cutting charges'. Available at: https://www.cnbc.com/2023/10/24/barclays-narrowly-beats-profit-forecasts-on-strong-consumer-credit-cards-business.html. [Accessed: 05.12.2023].</w:t>
      </w:r>
    </w:p>
    <w:p w14:paraId="110FCE6A" w14:textId="77777777" w:rsidR="000F26DB" w:rsidRDefault="000F26DB" w:rsidP="000F26DB">
      <w:pPr>
        <w:numPr>
          <w:ilvl w:val="0"/>
          <w:numId w:val="4"/>
        </w:numPr>
        <w:spacing w:before="0" w:after="0" w:line="240" w:lineRule="auto"/>
        <w:jc w:val="left"/>
        <w:rPr>
          <w:color w:val="0E101A"/>
        </w:rPr>
      </w:pPr>
      <w:r>
        <w:rPr>
          <w:color w:val="0E101A"/>
        </w:rPr>
        <w:t>Steinsworth, C. (2019). 'Business Communication in UK Organizations' Available at: https://steinsworth.com/business-communication-in-uk-organizations/ [Accessed: 27.11.2023].</w:t>
      </w:r>
    </w:p>
    <w:p w14:paraId="266E7A99" w14:textId="77777777" w:rsidR="000F26DB" w:rsidRDefault="000F26DB" w:rsidP="000F26DB">
      <w:pPr>
        <w:numPr>
          <w:ilvl w:val="0"/>
          <w:numId w:val="4"/>
        </w:numPr>
        <w:spacing w:before="0" w:after="0" w:line="240" w:lineRule="auto"/>
        <w:jc w:val="left"/>
        <w:rPr>
          <w:color w:val="0E101A"/>
        </w:rPr>
      </w:pPr>
      <w:r>
        <w:rPr>
          <w:color w:val="0E101A"/>
        </w:rPr>
        <w:t>Szkudlarek, B., Osland, J.S., Nardon, L. and Zander, L. (2020). 'Communication and culture in international business – Moving the field forward', Journal of World Business, 55(6). Available at: https://doi</w:t>
      </w:r>
      <w:r>
        <w:rPr>
          <w:rStyle w:val="Strong"/>
          <w:color w:val="0E101A"/>
        </w:rPr>
        <w:t>:</w:t>
      </w:r>
      <w:r>
        <w:rPr>
          <w:color w:val="0E101A"/>
        </w:rPr>
        <w:t> </w:t>
      </w:r>
      <w:hyperlink r:id="rId10" w:tgtFrame="_blank" w:history="1">
        <w:r>
          <w:rPr>
            <w:rStyle w:val="Hyperlink"/>
            <w:color w:val="4A6EE0"/>
          </w:rPr>
          <w:t>10.1016/j.jwb.2020.10112</w:t>
        </w:r>
      </w:hyperlink>
      <w:r>
        <w:rPr>
          <w:color w:val="0E101A"/>
        </w:rPr>
        <w:t> [Accessed:10.12.2023]</w:t>
      </w:r>
    </w:p>
    <w:p w14:paraId="7761FAFF" w14:textId="77777777" w:rsidR="000F26DB" w:rsidRDefault="000F26DB" w:rsidP="000F26DB">
      <w:pPr>
        <w:numPr>
          <w:ilvl w:val="0"/>
          <w:numId w:val="4"/>
        </w:numPr>
        <w:spacing w:before="0" w:after="0" w:line="240" w:lineRule="auto"/>
        <w:jc w:val="left"/>
        <w:rPr>
          <w:color w:val="0E101A"/>
        </w:rPr>
      </w:pPr>
      <w:r>
        <w:rPr>
          <w:color w:val="0E101A"/>
        </w:rPr>
        <w:t>The Culture Factor Group (2023) 'Country comparison tool' is available at https://www.hofstede-insights.com/country-comparison-tool?countries=ireland. [Accessed:13.11.2023].</w:t>
      </w:r>
    </w:p>
    <w:p w14:paraId="04E70A6B" w14:textId="77777777" w:rsidR="000F26DB" w:rsidRDefault="000F26DB" w:rsidP="000F26DB">
      <w:pPr>
        <w:numPr>
          <w:ilvl w:val="0"/>
          <w:numId w:val="4"/>
        </w:numPr>
        <w:spacing w:before="0" w:after="0" w:line="240" w:lineRule="auto"/>
        <w:jc w:val="left"/>
        <w:rPr>
          <w:color w:val="0E101A"/>
        </w:rPr>
      </w:pPr>
      <w:r>
        <w:rPr>
          <w:color w:val="0E101A"/>
        </w:rPr>
        <w:t>World Bank (2021) 'Ease of Doing Business Index' Available at: https://data.worldbank.org/indicator/IC.BUS.EASE.XQ. [Accessed:11.11. 2023].</w:t>
      </w:r>
    </w:p>
    <w:p w14:paraId="2E874F10" w14:textId="77777777" w:rsidR="000F26DB" w:rsidRDefault="000F26DB" w:rsidP="000F26DB">
      <w:pPr>
        <w:numPr>
          <w:ilvl w:val="0"/>
          <w:numId w:val="4"/>
        </w:numPr>
        <w:spacing w:before="0" w:after="0" w:line="240" w:lineRule="auto"/>
        <w:jc w:val="left"/>
        <w:rPr>
          <w:color w:val="0E101A"/>
        </w:rPr>
      </w:pPr>
      <w:r>
        <w:rPr>
          <w:color w:val="0E101A"/>
        </w:rPr>
        <w:t>World Bank (2022a). 'GDP per capita (current US$) | Data' Available at: https://data.worldbank.org/indicator/NY.GDP.PCAP.CD. [Accessed: 30.11.2023].</w:t>
      </w:r>
    </w:p>
    <w:p w14:paraId="17F0E864" w14:textId="77777777" w:rsidR="000F26DB" w:rsidRDefault="000F26DB" w:rsidP="000F26DB">
      <w:pPr>
        <w:numPr>
          <w:ilvl w:val="0"/>
          <w:numId w:val="4"/>
        </w:numPr>
        <w:spacing w:before="0" w:after="0" w:line="240" w:lineRule="auto"/>
        <w:jc w:val="left"/>
        <w:rPr>
          <w:color w:val="0E101A"/>
        </w:rPr>
      </w:pPr>
      <w:r>
        <w:rPr>
          <w:color w:val="0E101A"/>
        </w:rPr>
        <w:t>World Bank (2022b). 'Population, total - Netherlands | Data' Available at: https://data.worldbank.org/indicator/SP.POP.TOTL?locations=NL. [Accessed:02.11.2023].</w:t>
      </w:r>
    </w:p>
    <w:p w14:paraId="100FF410" w14:textId="77777777" w:rsidR="000F26DB" w:rsidRDefault="000F26DB" w:rsidP="000F26DB">
      <w:pPr>
        <w:numPr>
          <w:ilvl w:val="0"/>
          <w:numId w:val="4"/>
        </w:numPr>
        <w:spacing w:before="0" w:after="0" w:line="240" w:lineRule="auto"/>
        <w:jc w:val="left"/>
        <w:rPr>
          <w:color w:val="0E101A"/>
        </w:rPr>
      </w:pPr>
      <w:r>
        <w:rPr>
          <w:color w:val="0E101A"/>
        </w:rPr>
        <w:t>Wu, S.J., Yuhan Mei, B. and Cervantez, J. (2022). 'Preferences and Perceptions of Workplace Participation: A Cross-Cultural Study', Frontiers in Psychology, 13. Available at: https://doi: 10.3389/fpsyg.2022.806481. [Accessed:14.12.2023]</w:t>
      </w:r>
    </w:p>
    <w:p w14:paraId="3A62C081" w14:textId="38F5C398" w:rsidR="009863EA" w:rsidRPr="009863EA" w:rsidRDefault="009863EA" w:rsidP="009863EA">
      <w:pPr>
        <w:tabs>
          <w:tab w:val="left" w:pos="2748"/>
        </w:tabs>
      </w:pPr>
    </w:p>
    <w:sectPr w:rsidR="009863EA" w:rsidRPr="009863EA" w:rsidSect="00206112">
      <w:headerReference w:type="default" r:id="rId11"/>
      <w:pgSz w:w="11906" w:h="16838"/>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A6D45" w14:textId="77777777" w:rsidR="004C7B38" w:rsidRDefault="004C7B38">
      <w:pPr>
        <w:spacing w:before="0" w:after="0" w:line="240" w:lineRule="auto"/>
      </w:pPr>
      <w:r>
        <w:separator/>
      </w:r>
    </w:p>
  </w:endnote>
  <w:endnote w:type="continuationSeparator" w:id="0">
    <w:p w14:paraId="778E6DA2" w14:textId="77777777" w:rsidR="004C7B38" w:rsidRDefault="004C7B3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CFF62" w14:textId="77777777" w:rsidR="004C7B38" w:rsidRDefault="004C7B38">
      <w:pPr>
        <w:spacing w:before="0" w:after="0" w:line="240" w:lineRule="auto"/>
      </w:pPr>
      <w:r>
        <w:separator/>
      </w:r>
    </w:p>
  </w:footnote>
  <w:footnote w:type="continuationSeparator" w:id="0">
    <w:p w14:paraId="7212E10B" w14:textId="77777777" w:rsidR="004C7B38" w:rsidRDefault="004C7B3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555008"/>
      <w:docPartObj>
        <w:docPartGallery w:val="Page Numbers (Top of Page)"/>
        <w:docPartUnique/>
      </w:docPartObj>
    </w:sdtPr>
    <w:sdtEndPr>
      <w:rPr>
        <w:noProof/>
      </w:rPr>
    </w:sdtEndPr>
    <w:sdtContent>
      <w:p w14:paraId="57561B5C" w14:textId="77777777" w:rsidR="00E93F20" w:rsidRDefault="00E93F20">
        <w:pPr>
          <w:pStyle w:val="Header"/>
          <w:jc w:val="right"/>
        </w:pPr>
        <w:r>
          <w:fldChar w:fldCharType="begin"/>
        </w:r>
        <w:r>
          <w:instrText xml:space="preserve"> PAGE   \* MERGEFORMAT </w:instrText>
        </w:r>
        <w:r>
          <w:fldChar w:fldCharType="separate"/>
        </w:r>
        <w:r>
          <w:rPr>
            <w:noProof/>
          </w:rPr>
          <w:t>12</w:t>
        </w:r>
        <w:r>
          <w:rPr>
            <w:noProof/>
          </w:rPr>
          <w:fldChar w:fldCharType="end"/>
        </w:r>
      </w:p>
    </w:sdtContent>
  </w:sdt>
  <w:p w14:paraId="1D646BD2" w14:textId="77777777" w:rsidR="00E93F20" w:rsidRDefault="00E93F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C4027"/>
    <w:multiLevelType w:val="hybridMultilevel"/>
    <w:tmpl w:val="C944F26E"/>
    <w:lvl w:ilvl="0" w:tplc="08090013">
      <w:start w:val="1"/>
      <w:numFmt w:val="upperRoman"/>
      <w:lvlText w:val="%1."/>
      <w:lvlJc w:val="right"/>
      <w:pPr>
        <w:ind w:left="960" w:hanging="360"/>
      </w:p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1" w15:restartNumberingAfterBreak="0">
    <w:nsid w:val="24063EFA"/>
    <w:multiLevelType w:val="multilevel"/>
    <w:tmpl w:val="8CAE6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197758"/>
    <w:multiLevelType w:val="hybridMultilevel"/>
    <w:tmpl w:val="5C72FC8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C41D37"/>
    <w:multiLevelType w:val="hybridMultilevel"/>
    <w:tmpl w:val="7CECE04A"/>
    <w:lvl w:ilvl="0" w:tplc="08090013">
      <w:start w:val="1"/>
      <w:numFmt w:val="upperRoman"/>
      <w:lvlText w:val="%1."/>
      <w:lvlJc w:val="right"/>
      <w:pPr>
        <w:ind w:left="960" w:hanging="360"/>
      </w:p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4" w15:restartNumberingAfterBreak="0">
    <w:nsid w:val="437A5511"/>
    <w:multiLevelType w:val="hybridMultilevel"/>
    <w:tmpl w:val="2BB077B8"/>
    <w:lvl w:ilvl="0" w:tplc="08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5B1561D"/>
    <w:multiLevelType w:val="multilevel"/>
    <w:tmpl w:val="B934A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A874E3"/>
    <w:multiLevelType w:val="hybridMultilevel"/>
    <w:tmpl w:val="E9AE503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D329F4"/>
    <w:multiLevelType w:val="hybridMultilevel"/>
    <w:tmpl w:val="4F8072EC"/>
    <w:lvl w:ilvl="0" w:tplc="0809001B">
      <w:start w:val="1"/>
      <w:numFmt w:val="low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8" w15:restartNumberingAfterBreak="0">
    <w:nsid w:val="7A567CEB"/>
    <w:multiLevelType w:val="hybridMultilevel"/>
    <w:tmpl w:val="1F8C86F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56647D"/>
    <w:multiLevelType w:val="hybridMultilevel"/>
    <w:tmpl w:val="0876D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3232917">
    <w:abstractNumId w:val="4"/>
  </w:num>
  <w:num w:numId="2" w16cid:durableId="1711226977">
    <w:abstractNumId w:val="9"/>
  </w:num>
  <w:num w:numId="3" w16cid:durableId="1383943489">
    <w:abstractNumId w:val="5"/>
  </w:num>
  <w:num w:numId="4" w16cid:durableId="598369518">
    <w:abstractNumId w:val="1"/>
  </w:num>
  <w:num w:numId="5" w16cid:durableId="1890266189">
    <w:abstractNumId w:val="3"/>
  </w:num>
  <w:num w:numId="6" w16cid:durableId="1223830597">
    <w:abstractNumId w:val="0"/>
  </w:num>
  <w:num w:numId="7" w16cid:durableId="1113672943">
    <w:abstractNumId w:val="2"/>
  </w:num>
  <w:num w:numId="8" w16cid:durableId="600072047">
    <w:abstractNumId w:val="8"/>
  </w:num>
  <w:num w:numId="9" w16cid:durableId="57560818">
    <w:abstractNumId w:val="6"/>
  </w:num>
  <w:num w:numId="10" w16cid:durableId="1978097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7B5"/>
    <w:rsid w:val="000B5DBC"/>
    <w:rsid w:val="000F26DB"/>
    <w:rsid w:val="00206112"/>
    <w:rsid w:val="002139A9"/>
    <w:rsid w:val="003B71EB"/>
    <w:rsid w:val="00411F80"/>
    <w:rsid w:val="00456DD6"/>
    <w:rsid w:val="004C7B38"/>
    <w:rsid w:val="004D2644"/>
    <w:rsid w:val="00533D39"/>
    <w:rsid w:val="005419FE"/>
    <w:rsid w:val="0058731D"/>
    <w:rsid w:val="005A5CE1"/>
    <w:rsid w:val="005C01EB"/>
    <w:rsid w:val="00602894"/>
    <w:rsid w:val="006100AC"/>
    <w:rsid w:val="006511FA"/>
    <w:rsid w:val="00661FDE"/>
    <w:rsid w:val="006B56FB"/>
    <w:rsid w:val="006D2417"/>
    <w:rsid w:val="006D4EFF"/>
    <w:rsid w:val="007D31EB"/>
    <w:rsid w:val="008C6597"/>
    <w:rsid w:val="009365E6"/>
    <w:rsid w:val="009863EA"/>
    <w:rsid w:val="00A462AD"/>
    <w:rsid w:val="00A57A78"/>
    <w:rsid w:val="00AF0A83"/>
    <w:rsid w:val="00BA36CF"/>
    <w:rsid w:val="00BD0FA6"/>
    <w:rsid w:val="00BD7A36"/>
    <w:rsid w:val="00C571C1"/>
    <w:rsid w:val="00CE0D6A"/>
    <w:rsid w:val="00CF1F0A"/>
    <w:rsid w:val="00D321C4"/>
    <w:rsid w:val="00D47E88"/>
    <w:rsid w:val="00D75F97"/>
    <w:rsid w:val="00D84410"/>
    <w:rsid w:val="00DF77B5"/>
    <w:rsid w:val="00E342EC"/>
    <w:rsid w:val="00E83970"/>
    <w:rsid w:val="00E93F20"/>
    <w:rsid w:val="00F62382"/>
    <w:rsid w:val="00FA3640"/>
    <w:rsid w:val="00FB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061E0B"/>
  <w15:docId w15:val="{BEC823E1-B497-479C-8964-00D47863B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2EC"/>
    <w:pPr>
      <w:spacing w:before="120" w:after="120"/>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DF77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77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77B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7B5"/>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DF77B5"/>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DF77B5"/>
    <w:rPr>
      <w:rFonts w:asciiTheme="majorHAnsi" w:eastAsiaTheme="majorEastAsia" w:hAnsiTheme="majorHAnsi" w:cstheme="majorBidi"/>
      <w:color w:val="1F3763" w:themeColor="accent1" w:themeShade="7F"/>
      <w:kern w:val="0"/>
      <w:sz w:val="24"/>
      <w:szCs w:val="24"/>
      <w14:ligatures w14:val="none"/>
    </w:rPr>
  </w:style>
  <w:style w:type="paragraph" w:styleId="Header">
    <w:name w:val="header"/>
    <w:basedOn w:val="Normal"/>
    <w:link w:val="HeaderChar"/>
    <w:uiPriority w:val="99"/>
    <w:unhideWhenUsed/>
    <w:rsid w:val="00DF77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7B5"/>
    <w:rPr>
      <w:rFonts w:ascii="Times New Roman" w:hAnsi="Times New Roman"/>
      <w:kern w:val="0"/>
      <w:sz w:val="24"/>
      <w14:ligatures w14:val="none"/>
    </w:rPr>
  </w:style>
  <w:style w:type="paragraph" w:styleId="NormalWeb">
    <w:name w:val="Normal (Web)"/>
    <w:basedOn w:val="Normal"/>
    <w:uiPriority w:val="99"/>
    <w:semiHidden/>
    <w:unhideWhenUsed/>
    <w:rsid w:val="00DF77B5"/>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DF77B5"/>
    <w:rPr>
      <w:color w:val="0563C1" w:themeColor="hyperlink"/>
      <w:u w:val="single"/>
    </w:rPr>
  </w:style>
  <w:style w:type="paragraph" w:styleId="TOCHeading">
    <w:name w:val="TOC Heading"/>
    <w:basedOn w:val="Heading1"/>
    <w:next w:val="Normal"/>
    <w:uiPriority w:val="39"/>
    <w:unhideWhenUsed/>
    <w:qFormat/>
    <w:rsid w:val="00DF77B5"/>
    <w:pPr>
      <w:jc w:val="left"/>
      <w:outlineLvl w:val="9"/>
    </w:pPr>
    <w:rPr>
      <w:lang w:val="en-US"/>
    </w:rPr>
  </w:style>
  <w:style w:type="paragraph" w:styleId="TOC1">
    <w:name w:val="toc 1"/>
    <w:basedOn w:val="Normal"/>
    <w:next w:val="Normal"/>
    <w:autoRedefine/>
    <w:uiPriority w:val="39"/>
    <w:unhideWhenUsed/>
    <w:rsid w:val="00DF77B5"/>
    <w:pPr>
      <w:spacing w:after="100"/>
    </w:pPr>
  </w:style>
  <w:style w:type="paragraph" w:styleId="TOC2">
    <w:name w:val="toc 2"/>
    <w:basedOn w:val="Normal"/>
    <w:next w:val="Normal"/>
    <w:autoRedefine/>
    <w:uiPriority w:val="39"/>
    <w:unhideWhenUsed/>
    <w:rsid w:val="009365E6"/>
    <w:pPr>
      <w:tabs>
        <w:tab w:val="left" w:pos="660"/>
        <w:tab w:val="right" w:leader="dot" w:pos="9016"/>
      </w:tabs>
      <w:spacing w:after="100" w:line="360" w:lineRule="auto"/>
      <w:ind w:left="240"/>
    </w:pPr>
  </w:style>
  <w:style w:type="paragraph" w:styleId="TOC3">
    <w:name w:val="toc 3"/>
    <w:basedOn w:val="Normal"/>
    <w:next w:val="Normal"/>
    <w:autoRedefine/>
    <w:uiPriority w:val="39"/>
    <w:unhideWhenUsed/>
    <w:rsid w:val="00DF77B5"/>
    <w:pPr>
      <w:spacing w:after="100"/>
      <w:ind w:left="480"/>
    </w:pPr>
  </w:style>
  <w:style w:type="paragraph" w:styleId="ListParagraph">
    <w:name w:val="List Paragraph"/>
    <w:basedOn w:val="Normal"/>
    <w:uiPriority w:val="34"/>
    <w:qFormat/>
    <w:rsid w:val="005419FE"/>
    <w:pPr>
      <w:ind w:left="720"/>
      <w:contextualSpacing/>
    </w:pPr>
  </w:style>
  <w:style w:type="character" w:styleId="UnresolvedMention">
    <w:name w:val="Unresolved Mention"/>
    <w:basedOn w:val="DefaultParagraphFont"/>
    <w:uiPriority w:val="99"/>
    <w:semiHidden/>
    <w:unhideWhenUsed/>
    <w:rsid w:val="000F26DB"/>
    <w:rPr>
      <w:color w:val="605E5C"/>
      <w:shd w:val="clear" w:color="auto" w:fill="E1DFDD"/>
    </w:rPr>
  </w:style>
  <w:style w:type="character" w:styleId="Emphasis">
    <w:name w:val="Emphasis"/>
    <w:basedOn w:val="DefaultParagraphFont"/>
    <w:uiPriority w:val="20"/>
    <w:qFormat/>
    <w:rsid w:val="000F26DB"/>
    <w:rPr>
      <w:i/>
      <w:iCs/>
    </w:rPr>
  </w:style>
  <w:style w:type="character" w:styleId="Strong">
    <w:name w:val="Strong"/>
    <w:basedOn w:val="DefaultParagraphFont"/>
    <w:uiPriority w:val="22"/>
    <w:qFormat/>
    <w:rsid w:val="000F26DB"/>
    <w:rPr>
      <w:b/>
      <w:bCs/>
    </w:rPr>
  </w:style>
  <w:style w:type="paragraph" w:styleId="Footer">
    <w:name w:val="footer"/>
    <w:basedOn w:val="Normal"/>
    <w:link w:val="FooterChar"/>
    <w:uiPriority w:val="99"/>
    <w:unhideWhenUsed/>
    <w:rsid w:val="0020611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06112"/>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01218">
      <w:bodyDiv w:val="1"/>
      <w:marLeft w:val="0"/>
      <w:marRight w:val="0"/>
      <w:marTop w:val="0"/>
      <w:marBottom w:val="0"/>
      <w:divBdr>
        <w:top w:val="none" w:sz="0" w:space="0" w:color="auto"/>
        <w:left w:val="none" w:sz="0" w:space="0" w:color="auto"/>
        <w:bottom w:val="none" w:sz="0" w:space="0" w:color="auto"/>
        <w:right w:val="none" w:sz="0" w:space="0" w:color="auto"/>
      </w:divBdr>
    </w:div>
    <w:div w:id="763765888">
      <w:bodyDiv w:val="1"/>
      <w:marLeft w:val="0"/>
      <w:marRight w:val="0"/>
      <w:marTop w:val="0"/>
      <w:marBottom w:val="0"/>
      <w:divBdr>
        <w:top w:val="none" w:sz="0" w:space="0" w:color="auto"/>
        <w:left w:val="none" w:sz="0" w:space="0" w:color="auto"/>
        <w:bottom w:val="none" w:sz="0" w:space="0" w:color="auto"/>
        <w:right w:val="none" w:sz="0" w:space="0" w:color="auto"/>
      </w:divBdr>
    </w:div>
    <w:div w:id="1210217004">
      <w:bodyDiv w:val="1"/>
      <w:marLeft w:val="0"/>
      <w:marRight w:val="0"/>
      <w:marTop w:val="0"/>
      <w:marBottom w:val="0"/>
      <w:divBdr>
        <w:top w:val="none" w:sz="0" w:space="0" w:color="auto"/>
        <w:left w:val="none" w:sz="0" w:space="0" w:color="auto"/>
        <w:bottom w:val="none" w:sz="0" w:space="0" w:color="auto"/>
        <w:right w:val="none" w:sz="0" w:space="0" w:color="auto"/>
      </w:divBdr>
    </w:div>
    <w:div w:id="1219513789">
      <w:bodyDiv w:val="1"/>
      <w:marLeft w:val="0"/>
      <w:marRight w:val="0"/>
      <w:marTop w:val="0"/>
      <w:marBottom w:val="0"/>
      <w:divBdr>
        <w:top w:val="none" w:sz="0" w:space="0" w:color="auto"/>
        <w:left w:val="none" w:sz="0" w:space="0" w:color="auto"/>
        <w:bottom w:val="none" w:sz="0" w:space="0" w:color="auto"/>
        <w:right w:val="none" w:sz="0" w:space="0" w:color="auto"/>
      </w:divBdr>
    </w:div>
    <w:div w:id="21448055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econpapers.repec.org/scripts/redir.pf?u=https%3A%2F%2Fdoi.org%2F10.1016%252Fj.jwb.2020.101126;h=repec:eee:worbus:v:55:y:2020:i:6:s1090951620300547" TargetMode="External"/><Relationship Id="rId4" Type="http://schemas.openxmlformats.org/officeDocument/2006/relationships/settings" Target="settings.xml"/><Relationship Id="rId9" Type="http://schemas.openxmlformats.org/officeDocument/2006/relationships/hyperlink" Target="http://10.0.103.112/ess.01.2018.14.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FF6F24-92A0-436B-8858-7183FACE5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13</Pages>
  <Words>3240</Words>
  <Characters>22026</Characters>
  <Application>Microsoft Office Word</Application>
  <DocSecurity>0</DocSecurity>
  <Lines>438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Anton</dc:creator>
  <cp:keywords/>
  <dc:description/>
  <cp:lastModifiedBy>Cristina Anton</cp:lastModifiedBy>
  <cp:revision>24</cp:revision>
  <dcterms:created xsi:type="dcterms:W3CDTF">2023-12-30T01:05:00Z</dcterms:created>
  <dcterms:modified xsi:type="dcterms:W3CDTF">2023-12-30T04:27:00Z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a336e303-e64f-45fd-bc5a-64b9412100e0</vt:lpwstr>
  </property>
</Properties>
</file>