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D818F" w14:textId="42C74E33" w:rsidR="00AC25B8" w:rsidRDefault="00CA5D9C" w:rsidP="00CA5D9C">
      <w:pPr>
        <w:jc w:val="center"/>
        <w:rPr>
          <w:rFonts w:ascii="Arial" w:eastAsiaTheme="majorEastAsia" w:hAnsi="Arial" w:cs="Arial"/>
          <w:b/>
          <w:bCs/>
          <w:sz w:val="32"/>
          <w:szCs w:val="32"/>
          <w:lang w:val="en-US" w:bidi="ar-SA"/>
        </w:rPr>
      </w:pPr>
      <w:bookmarkStart w:id="0" w:name="_Hlk117251597"/>
      <w:r>
        <w:rPr>
          <w:rFonts w:ascii="Arial" w:eastAsiaTheme="majorEastAsia" w:hAnsi="Arial" w:cs="Arial"/>
          <w:b/>
          <w:bCs/>
          <w:sz w:val="32"/>
          <w:szCs w:val="32"/>
          <w:lang w:val="en-US" w:bidi="ar-SA"/>
        </w:rPr>
        <w:t>A VISION OF CHANGE SUSTAINABILITY</w:t>
      </w:r>
    </w:p>
    <w:p w14:paraId="730FC03F" w14:textId="77777777" w:rsidR="00CA5D9C" w:rsidRDefault="00CA5D9C" w:rsidP="00CA5D9C">
      <w:pPr>
        <w:jc w:val="center"/>
        <w:rPr>
          <w:rFonts w:ascii="Arial" w:eastAsiaTheme="majorEastAsia" w:hAnsi="Arial" w:cs="Arial"/>
          <w:b/>
          <w:bCs/>
          <w:sz w:val="32"/>
          <w:szCs w:val="32"/>
          <w:lang w:val="en-US" w:bidi="ar-SA"/>
        </w:rPr>
      </w:pPr>
    </w:p>
    <w:p w14:paraId="2BB38E7D" w14:textId="04AF1EA9" w:rsidR="00CA5D9C" w:rsidRDefault="00CA5D9C" w:rsidP="00CA5D9C">
      <w:pPr>
        <w:jc w:val="center"/>
        <w:rPr>
          <w:rFonts w:ascii="Arial" w:eastAsiaTheme="majorEastAsia" w:hAnsi="Arial" w:cs="Arial"/>
          <w:b/>
          <w:bCs/>
          <w:sz w:val="32"/>
          <w:szCs w:val="32"/>
          <w:lang w:val="en-US" w:bidi="ar-SA"/>
        </w:rPr>
      </w:pPr>
      <w:r>
        <w:rPr>
          <w:rFonts w:ascii="Arial" w:eastAsiaTheme="majorEastAsia" w:hAnsi="Arial" w:cs="Arial"/>
          <w:b/>
          <w:bCs/>
          <w:sz w:val="32"/>
          <w:szCs w:val="32"/>
          <w:lang w:val="en-US" w:bidi="ar-SA"/>
        </w:rPr>
        <w:t>Khalida Miah</w:t>
      </w:r>
    </w:p>
    <w:p w14:paraId="4D37DAD0" w14:textId="19258F65" w:rsidR="00CA5D9C" w:rsidRDefault="00CA5D9C" w:rsidP="00CA5D9C">
      <w:pPr>
        <w:jc w:val="center"/>
        <w:rPr>
          <w:rFonts w:ascii="Arial" w:eastAsiaTheme="majorEastAsia" w:hAnsi="Arial" w:cs="Arial"/>
          <w:b/>
          <w:bCs/>
          <w:sz w:val="32"/>
          <w:szCs w:val="32"/>
          <w:lang w:val="en-US" w:bidi="ar-SA"/>
        </w:rPr>
      </w:pPr>
      <w:r>
        <w:rPr>
          <w:rFonts w:ascii="Arial" w:eastAsiaTheme="majorEastAsia" w:hAnsi="Arial" w:cs="Arial"/>
          <w:b/>
          <w:bCs/>
          <w:sz w:val="32"/>
          <w:szCs w:val="32"/>
          <w:lang w:val="en-US" w:bidi="ar-SA"/>
        </w:rPr>
        <w:t>2017269</w:t>
      </w:r>
    </w:p>
    <w:p w14:paraId="50FAE723" w14:textId="70F3BB99" w:rsidR="00CA5D9C" w:rsidRDefault="00CA5D9C" w:rsidP="00CA5D9C">
      <w:pPr>
        <w:jc w:val="center"/>
        <w:rPr>
          <w:rFonts w:ascii="Arial" w:eastAsiaTheme="majorEastAsia" w:hAnsi="Arial" w:cs="Arial"/>
          <w:b/>
          <w:bCs/>
          <w:sz w:val="32"/>
          <w:szCs w:val="32"/>
          <w:lang w:val="en-US" w:bidi="ar-SA"/>
        </w:rPr>
      </w:pPr>
      <w:r>
        <w:rPr>
          <w:rFonts w:ascii="Arial" w:eastAsiaTheme="majorEastAsia" w:hAnsi="Arial" w:cs="Arial"/>
          <w:b/>
          <w:bCs/>
          <w:sz w:val="32"/>
          <w:szCs w:val="32"/>
          <w:lang w:val="en-US" w:bidi="ar-SA"/>
        </w:rPr>
        <w:t>BM15006</w:t>
      </w:r>
    </w:p>
    <w:p w14:paraId="5170C6E8" w14:textId="369A01EC" w:rsidR="00CA5D9C" w:rsidRDefault="00CA5D9C" w:rsidP="00CA5D9C">
      <w:pPr>
        <w:jc w:val="center"/>
        <w:rPr>
          <w:rFonts w:ascii="Arial" w:hAnsi="Arial" w:cs="Arial"/>
          <w:noProof/>
          <w:sz w:val="24"/>
          <w:szCs w:val="24"/>
        </w:rPr>
      </w:pPr>
      <w:r>
        <w:rPr>
          <w:rFonts w:ascii="Arial" w:eastAsiaTheme="majorEastAsia" w:hAnsi="Arial" w:cs="Arial"/>
          <w:b/>
          <w:bCs/>
          <w:sz w:val="32"/>
          <w:szCs w:val="32"/>
          <w:lang w:val="en-US" w:bidi="ar-SA"/>
        </w:rPr>
        <w:t>Dr. Huw Thomas</w:t>
      </w:r>
    </w:p>
    <w:p w14:paraId="442ADA5C" w14:textId="0A9C712E" w:rsidR="00F112BB" w:rsidRPr="00AC25B8" w:rsidRDefault="00AC25B8" w:rsidP="00AC25B8">
      <w:pPr>
        <w:tabs>
          <w:tab w:val="left" w:pos="1190"/>
        </w:tabs>
        <w:rPr>
          <w:rFonts w:ascii="Arial" w:hAnsi="Arial" w:cs="Arial"/>
          <w:sz w:val="24"/>
          <w:szCs w:val="24"/>
        </w:rPr>
      </w:pPr>
      <w:r>
        <w:rPr>
          <w:rFonts w:ascii="Arial" w:hAnsi="Arial" w:cs="Arial"/>
          <w:sz w:val="24"/>
          <w:szCs w:val="24"/>
        </w:rPr>
        <w:tab/>
      </w:r>
      <w:bookmarkEnd w:id="0"/>
    </w:p>
    <w:p w14:paraId="617767D7" w14:textId="2D794E70"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r w:rsidRPr="00AC25B8">
        <w:lastRenderedPageBreak/>
        <w:drawing>
          <wp:inline distT="0" distB="0" distL="0" distR="0" wp14:anchorId="7A0D5666" wp14:editId="72AE8D8D">
            <wp:extent cx="5734050" cy="1943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4050" cy="1943100"/>
                    </a:xfrm>
                    <a:prstGeom prst="rect">
                      <a:avLst/>
                    </a:prstGeom>
                    <a:noFill/>
                    <a:ln>
                      <a:noFill/>
                    </a:ln>
                  </pic:spPr>
                </pic:pic>
              </a:graphicData>
            </a:graphic>
          </wp:inline>
        </w:drawing>
      </w:r>
    </w:p>
    <w:p w14:paraId="3716E594" w14:textId="04723E27"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p>
    <w:p w14:paraId="2DC71A69" w14:textId="4A4D097B"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p>
    <w:p w14:paraId="08719DA3" w14:textId="09B9238D"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p>
    <w:p w14:paraId="1E958794" w14:textId="697F0ACF"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p>
    <w:p w14:paraId="49CEA36E" w14:textId="176092F2"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p>
    <w:p w14:paraId="6EF21B8A" w14:textId="59175DDD"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p>
    <w:p w14:paraId="7078D44E" w14:textId="66759930"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p>
    <w:p w14:paraId="4882B329" w14:textId="591FF4E0"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p>
    <w:p w14:paraId="3A020C11" w14:textId="7B95C815"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p>
    <w:p w14:paraId="3C29BAA6" w14:textId="27EA573C"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p>
    <w:p w14:paraId="642165F9" w14:textId="77777777" w:rsidR="00AC25B8" w:rsidRDefault="00AC25B8" w:rsidP="00F112BB">
      <w:pPr>
        <w:keepNext/>
        <w:keepLines/>
        <w:spacing w:before="240" w:after="0" w:line="360" w:lineRule="auto"/>
        <w:jc w:val="center"/>
        <w:outlineLvl w:val="0"/>
        <w:rPr>
          <w:rFonts w:ascii="Arial" w:eastAsiaTheme="majorEastAsia" w:hAnsi="Arial" w:cstheme="majorBidi"/>
          <w:b/>
          <w:bCs/>
          <w:sz w:val="32"/>
          <w:szCs w:val="40"/>
        </w:rPr>
      </w:pPr>
    </w:p>
    <w:p w14:paraId="3B07D20A" w14:textId="4D5BB2E6" w:rsidR="00F112BB" w:rsidRPr="00F112BB" w:rsidRDefault="00F112BB" w:rsidP="00F112BB">
      <w:pPr>
        <w:rPr>
          <w:rFonts w:ascii="Arial" w:eastAsiaTheme="majorEastAsia" w:hAnsi="Arial" w:cstheme="majorBidi"/>
          <w:b/>
          <w:bCs/>
          <w:sz w:val="32"/>
          <w:szCs w:val="40"/>
        </w:rPr>
      </w:pPr>
    </w:p>
    <w:p w14:paraId="3611A293" w14:textId="77777777" w:rsidR="00F112BB" w:rsidRPr="00F112BB" w:rsidRDefault="00F112BB" w:rsidP="00F112BB">
      <w:pPr>
        <w:keepNext/>
        <w:keepLines/>
        <w:spacing w:before="240" w:after="0" w:line="360" w:lineRule="auto"/>
        <w:jc w:val="center"/>
        <w:outlineLvl w:val="0"/>
        <w:rPr>
          <w:rFonts w:ascii="Arial" w:eastAsiaTheme="majorEastAsia" w:hAnsi="Arial" w:cstheme="majorBidi"/>
          <w:b/>
          <w:bCs/>
          <w:sz w:val="32"/>
          <w:szCs w:val="40"/>
        </w:rPr>
      </w:pPr>
      <w:bookmarkStart w:id="1" w:name="_Toc117251163"/>
      <w:r w:rsidRPr="00F112BB">
        <w:rPr>
          <w:rFonts w:ascii="Arial" w:eastAsiaTheme="majorEastAsia" w:hAnsi="Arial" w:cstheme="majorBidi"/>
          <w:b/>
          <w:bCs/>
          <w:sz w:val="32"/>
          <w:szCs w:val="40"/>
        </w:rPr>
        <w:lastRenderedPageBreak/>
        <w:t>A Vision of Change: Sustainability in the hotel industry</w:t>
      </w:r>
      <w:bookmarkEnd w:id="1"/>
    </w:p>
    <w:p w14:paraId="5D96AC2E" w14:textId="77777777" w:rsidR="00F112BB" w:rsidRPr="00F112BB" w:rsidRDefault="00F112BB" w:rsidP="00F112BB">
      <w:pPr>
        <w:spacing w:line="360" w:lineRule="auto"/>
        <w:jc w:val="both"/>
        <w:rPr>
          <w:rFonts w:ascii="Arial" w:hAnsi="Arial" w:cs="Arial"/>
          <w:sz w:val="24"/>
          <w:szCs w:val="24"/>
        </w:rPr>
      </w:pPr>
      <w:r w:rsidRPr="00F112BB">
        <w:rPr>
          <w:rFonts w:ascii="Arial" w:hAnsi="Arial" w:cs="Arial"/>
          <w:sz w:val="24"/>
          <w:szCs w:val="24"/>
        </w:rPr>
        <w:t>Sustainability is a major concern now in the hospitality industry. The hospitality industry by its nature has a direct impact on the environment. The hospitality industry depends largely on the preservation and maintenance of natural and cultural attractions. Furthermore, it also impacts the environment through the consumption of natural energy and resources like water and consumable goods</w:t>
      </w:r>
      <w:r w:rsidRPr="00F112BB">
        <w:t xml:space="preserve"> (</w:t>
      </w:r>
      <w:r w:rsidRPr="00F112BB">
        <w:rPr>
          <w:rFonts w:ascii="Arial" w:hAnsi="Arial" w:cs="Arial"/>
          <w:sz w:val="24"/>
          <w:szCs w:val="24"/>
        </w:rPr>
        <w:t>Clark, 2005). Sustainability is a major issue in this industry as overuse may cause depletion and degradation of these sources thus harming the future of this industry</w:t>
      </w:r>
      <w:r w:rsidRPr="00F112BB">
        <w:t xml:space="preserve"> (</w:t>
      </w:r>
      <w:r w:rsidRPr="00F112BB">
        <w:rPr>
          <w:rFonts w:ascii="Arial" w:hAnsi="Arial" w:cs="Arial"/>
          <w:sz w:val="24"/>
          <w:szCs w:val="24"/>
        </w:rPr>
        <w:t xml:space="preserve">Rocafort et al., 2016). Sustainability is important to ensure growth and profitability in the industry. </w:t>
      </w:r>
      <w:bookmarkStart w:id="2" w:name="_Hlk116355511"/>
      <w:r w:rsidRPr="00F112BB">
        <w:rPr>
          <w:rFonts w:ascii="Arial" w:hAnsi="Arial" w:cs="Arial"/>
          <w:sz w:val="24"/>
          <w:szCs w:val="24"/>
        </w:rPr>
        <w:t>The recent change in environment and climate change has raised serious concerns to store the environment thus ensuring sustainability.</w:t>
      </w:r>
      <w:bookmarkEnd w:id="2"/>
      <w:r w:rsidRPr="00F112BB">
        <w:rPr>
          <w:rFonts w:ascii="Arial" w:hAnsi="Arial" w:cs="Arial"/>
          <w:sz w:val="24"/>
          <w:szCs w:val="24"/>
        </w:rPr>
        <w:t xml:space="preserve"> Sustainability encompasses environmental, economic, and social sustainability. Responsible tourism includes the conservation of the environment, ensuring economic vitality, and ensuring social sustainability. This essay discusses how this hotel industry is responding and adapting to sustainability concerns, and why sustainability here is the key focus(Grosbois, 2012). The essay also focuses on how the hotel industry needs to take action to ensure sustainability in the industry. The essay also connects the circular economy and the relationship between CSR with sustainability in the hotel industry. Followed by the measures taken by the hospitality industry to ensure sustainability for the industry.</w:t>
      </w:r>
    </w:p>
    <w:p w14:paraId="78584530" w14:textId="77777777" w:rsidR="00F112BB" w:rsidRPr="00F112BB" w:rsidRDefault="00F112BB" w:rsidP="00F112BB">
      <w:pPr>
        <w:spacing w:line="360" w:lineRule="auto"/>
        <w:jc w:val="both"/>
        <w:rPr>
          <w:rFonts w:ascii="Arial" w:hAnsi="Arial" w:cs="Arial"/>
          <w:sz w:val="24"/>
          <w:szCs w:val="24"/>
        </w:rPr>
      </w:pPr>
      <w:r w:rsidRPr="00F112BB">
        <w:rPr>
          <w:rFonts w:ascii="Arial" w:hAnsi="Arial" w:cs="Arial"/>
          <w:sz w:val="24"/>
          <w:szCs w:val="24"/>
        </w:rPr>
        <w:t>Sustainability can be defined as the ability to support a process or development continuously over time. Sustainable development indicates the development in which the resources are adequate to meet not only the present needs but also ensure the ability to generate benefits in the future</w:t>
      </w:r>
      <w:r w:rsidRPr="00F112BB">
        <w:t xml:space="preserve"> (</w:t>
      </w:r>
      <w:r w:rsidRPr="00F112BB">
        <w:rPr>
          <w:rFonts w:ascii="Arial" w:hAnsi="Arial" w:cs="Arial"/>
          <w:sz w:val="24"/>
          <w:szCs w:val="24"/>
        </w:rPr>
        <w:t>Diesendorf, 2000). Sustainability is aboard concept that involves retaining, preserving, and maintaining any ability or resources. Sustainable development seeks to preserve natural environment resources, and human &amp; ecological health while driving innovation and not compromising the lives of the people.</w:t>
      </w:r>
    </w:p>
    <w:p w14:paraId="6D633287" w14:textId="77777777" w:rsidR="00F112BB" w:rsidRPr="00F112BB" w:rsidRDefault="00F112BB" w:rsidP="00F112BB">
      <w:pPr>
        <w:spacing w:line="360" w:lineRule="auto"/>
        <w:jc w:val="both"/>
        <w:rPr>
          <w:rFonts w:ascii="Arial" w:hAnsi="Arial" w:cs="Arial"/>
          <w:sz w:val="24"/>
          <w:szCs w:val="24"/>
        </w:rPr>
      </w:pPr>
      <w:r w:rsidRPr="00F112BB">
        <w:rPr>
          <w:rFonts w:ascii="Arial" w:hAnsi="Arial" w:cs="Arial"/>
          <w:sz w:val="24"/>
          <w:szCs w:val="24"/>
        </w:rPr>
        <w:t xml:space="preserve">Sustainability has around 3 pillars such as economic sustainability, environmental sustainability, and social sustainability. These 3 pillars of sustainability are also known as profit, planet, and people. Profit or economic sustainability is the core of the existence of the business of any industry as the business needs to be economically viable first to be </w:t>
      </w:r>
      <w:r w:rsidRPr="00F112BB">
        <w:rPr>
          <w:rFonts w:ascii="Arial" w:hAnsi="Arial" w:cs="Arial"/>
          <w:sz w:val="24"/>
          <w:szCs w:val="24"/>
        </w:rPr>
        <w:lastRenderedPageBreak/>
        <w:t>sustainable. Moreover, the business needs to consider profitability just as a part of the company’s strategy. Economic sustainability indicates managing the investments of the company without harming the environment</w:t>
      </w:r>
      <w:r w:rsidRPr="00F112BB">
        <w:t xml:space="preserve"> (</w:t>
      </w:r>
      <w:r w:rsidRPr="00F112BB">
        <w:rPr>
          <w:rFonts w:ascii="Arial" w:hAnsi="Arial" w:cs="Arial"/>
          <w:sz w:val="24"/>
          <w:szCs w:val="24"/>
        </w:rPr>
        <w:t>Labajo-González et al., 2019). Economic sustainability indicates the management of the current working capital and profit management without compromising the prospect of future growth and profit in long term. Environmental sustainability or planet generally indicates preserving the environment, conserving natural resources, controlling pollution, restoring environmental damage, and saving biodiversity</w:t>
      </w:r>
      <w:r w:rsidRPr="00F112BB">
        <w:t xml:space="preserve"> (</w:t>
      </w:r>
      <w:r w:rsidRPr="00F112BB">
        <w:rPr>
          <w:rFonts w:ascii="Arial" w:hAnsi="Arial" w:cs="Arial"/>
          <w:sz w:val="24"/>
          <w:szCs w:val="24"/>
        </w:rPr>
        <w:t>Pal, 2021). Environmental sustainability’s other aspect is controlling human activity to protect the environment and reduce the depletion of natural resources. Environmental sustainability focuses on strengthening natural capital to promote environmental sustainability and improve life. The last pillar of sustainability is the social pillar which indicates the people of the society, the social initiatives, public policies, planning, and social issues</w:t>
      </w:r>
      <w:r w:rsidRPr="00F112BB">
        <w:t xml:space="preserve"> </w:t>
      </w:r>
      <w:bookmarkStart w:id="3" w:name="_Hlk116357390"/>
      <w:r w:rsidRPr="00F112BB">
        <w:t>(</w:t>
      </w:r>
      <w:r w:rsidRPr="00F112BB">
        <w:rPr>
          <w:rFonts w:ascii="Arial" w:hAnsi="Arial" w:cs="Arial"/>
          <w:sz w:val="24"/>
          <w:szCs w:val="24"/>
        </w:rPr>
        <w:t>Grosbois, 2012)</w:t>
      </w:r>
      <w:bookmarkEnd w:id="3"/>
      <w:r w:rsidRPr="00F112BB">
        <w:rPr>
          <w:rFonts w:ascii="Arial" w:hAnsi="Arial" w:cs="Arial"/>
          <w:sz w:val="24"/>
          <w:szCs w:val="24"/>
        </w:rPr>
        <w:t>. The pillar of social sustainability is concerned with protecting the social environment for future generations and recognizing what impact our actions have on the world. These include fighting unemployment, and poverty, ensuring social justice, promoting peace, and ensuring diversity, and quality of living. Even though less importance is given to social sustainability than economic and environmental plans, this is an important factor that influences human activity and is related to the sustainability of economic and ecological development. Sustainability is a key concern in the hotel industry due to its major impact on harming sustainability as a whole and its responsible for ecological hazards</w:t>
      </w:r>
      <w:r w:rsidRPr="00F112BB">
        <w:t xml:space="preserve"> (</w:t>
      </w:r>
      <w:r w:rsidRPr="00F112BB">
        <w:rPr>
          <w:rFonts w:ascii="Arial" w:hAnsi="Arial" w:cs="Arial"/>
          <w:sz w:val="24"/>
          <w:szCs w:val="24"/>
        </w:rPr>
        <w:t xml:space="preserve">Diesendorf, 2000). The hotel industry facilitating tourism also contributes to increased water usage, energy usage, food waste, pollution in tourist areas, and increased garbage waste around the world. Thus, it calls for responsible tourism to ensure sustainable growth of the industry by managing water and energy usage and eliminating food waste and pollution </w:t>
      </w:r>
      <w:r w:rsidRPr="00F112BB">
        <w:t>(</w:t>
      </w:r>
      <w:r w:rsidRPr="00F112BB">
        <w:rPr>
          <w:rFonts w:ascii="Arial" w:hAnsi="Arial" w:cs="Arial"/>
          <w:sz w:val="24"/>
          <w:szCs w:val="24"/>
        </w:rPr>
        <w:t>Cavagnaro and Gehrels, 2009). In recent years people around the world, as well as the UN, have become more concerned to ensure the sustainability of the environment this has increased pressure on hotel industries to take actions to preserve the environment and go for sustainable development. In the 2015 Paris agreement, 15 sustainable development goals were proposed that including reducing food waste, water waste, ensuring affordable and clean energy, sustainable communities, clean water, sanitation, and many more</w:t>
      </w:r>
      <w:r w:rsidRPr="00F112BB">
        <w:t xml:space="preserve"> (</w:t>
      </w:r>
      <w:r w:rsidRPr="00F112BB">
        <w:rPr>
          <w:rFonts w:ascii="Arial" w:hAnsi="Arial" w:cs="Arial"/>
          <w:sz w:val="24"/>
          <w:szCs w:val="24"/>
        </w:rPr>
        <w:t>Gonzalez-</w:t>
      </w:r>
      <w:r w:rsidRPr="00F112BB">
        <w:rPr>
          <w:rFonts w:ascii="Arial" w:hAnsi="Arial" w:cs="Arial"/>
          <w:sz w:val="24"/>
          <w:szCs w:val="24"/>
        </w:rPr>
        <w:lastRenderedPageBreak/>
        <w:t>Padron et al., 2011). According to the environment protection agency of the United States, the country called for achieving 17 sustainable development goals. This puts increased pressure on the hotel industry from society as well as from the government. Moreover, the competitors within the industry are seeking sustainable development and prompromotingtainability thus pressurizing thher businesses to do the same</w:t>
      </w:r>
      <w:r w:rsidRPr="00F112BB">
        <w:t xml:space="preserve"> (</w:t>
      </w:r>
      <w:r w:rsidRPr="00F112BB">
        <w:rPr>
          <w:rFonts w:ascii="Arial" w:hAnsi="Arial" w:cs="Arial"/>
          <w:sz w:val="24"/>
          <w:szCs w:val="24"/>
        </w:rPr>
        <w:t>Cohen,2010). Furthermore, in a resech done in 2021, 81% tourist are plans to choose hotels who have a good reputating in working for sustainable development goals. According to a research of Hilton, 33.33% global tourist research about hotel’s environmental and social practices before choosing them. Recently, the state of New York has banned the single use of toiletries in hotels</w:t>
      </w:r>
      <w:r w:rsidRPr="00F112BB">
        <w:t xml:space="preserve"> </w:t>
      </w:r>
      <w:bookmarkStart w:id="4" w:name="_Hlk116357077"/>
      <w:r w:rsidRPr="00F112BB">
        <w:t>(</w:t>
      </w:r>
      <w:r w:rsidRPr="00F112BB">
        <w:rPr>
          <w:rFonts w:ascii="Arial" w:hAnsi="Arial" w:cs="Arial"/>
          <w:sz w:val="24"/>
          <w:szCs w:val="24"/>
        </w:rPr>
        <w:t>Rosario et a., 2014)</w:t>
      </w:r>
      <w:bookmarkEnd w:id="4"/>
      <w:r w:rsidRPr="00F112BB">
        <w:rPr>
          <w:rFonts w:ascii="Arial" w:hAnsi="Arial" w:cs="Arial"/>
          <w:sz w:val="24"/>
          <w:szCs w:val="24"/>
        </w:rPr>
        <w:t>. Moreover, the government is not calling for the reuse of a towel program to reduce water usage. The hotel industry is responsible for carbon emissions of 1% around the world according to UNWTO. But the hotel industry is related to transport and building which is responsible for 14% &amp; 6% respectively</w:t>
      </w:r>
      <w:r w:rsidRPr="00F112BB">
        <w:t xml:space="preserve"> (</w:t>
      </w:r>
      <w:r w:rsidRPr="00F112BB">
        <w:rPr>
          <w:rFonts w:ascii="Arial" w:hAnsi="Arial" w:cs="Arial"/>
          <w:sz w:val="24"/>
          <w:szCs w:val="24"/>
        </w:rPr>
        <w:t>Carbo et al., 2011). There is also increased pressure to reduce carbon emissions around the world. Tourism has increased waste disposal and affected the natural life of the habitat as the hotels dump untreated waste</w:t>
      </w:r>
      <w:r w:rsidRPr="00F112BB">
        <w:t xml:space="preserve"> (</w:t>
      </w:r>
      <w:r w:rsidRPr="00F112BB">
        <w:rPr>
          <w:rFonts w:ascii="Arial" w:hAnsi="Arial" w:cs="Arial"/>
          <w:sz w:val="24"/>
          <w:szCs w:val="24"/>
        </w:rPr>
        <w:t>Duarte and Borda, 2013). These waste products accelerate pollution. All these facts create pressure on the hotel industry to take steps to achieve sustainable development and make sustainability an integral part of the corporate agenda.</w:t>
      </w:r>
    </w:p>
    <w:p w14:paraId="11965B0F" w14:textId="77777777" w:rsidR="00F112BB" w:rsidRPr="00F112BB" w:rsidRDefault="00F112BB" w:rsidP="00F112BB">
      <w:pPr>
        <w:spacing w:line="360" w:lineRule="auto"/>
        <w:jc w:val="both"/>
        <w:rPr>
          <w:rFonts w:ascii="Arial" w:hAnsi="Arial" w:cs="Arial"/>
          <w:sz w:val="24"/>
          <w:szCs w:val="24"/>
        </w:rPr>
      </w:pPr>
      <w:r w:rsidRPr="00F112BB">
        <w:rPr>
          <w:rFonts w:ascii="Arial" w:hAnsi="Arial" w:cs="Arial"/>
          <w:sz w:val="24"/>
          <w:szCs w:val="24"/>
        </w:rPr>
        <w:t>The hospitality industry is taking steps to adapt and respond to this new demand and situation. This portion of the essay will demonstrate how the hospitality industry is responding to climate change with sustainable business practices</w:t>
      </w:r>
      <w:r w:rsidRPr="00F112BB">
        <w:t xml:space="preserve"> (</w:t>
      </w:r>
      <w:r w:rsidRPr="00F112BB">
        <w:rPr>
          <w:rFonts w:ascii="Arial" w:hAnsi="Arial" w:cs="Arial"/>
          <w:sz w:val="24"/>
          <w:szCs w:val="24"/>
        </w:rPr>
        <w:t>Tarkang Mary and Ozturen, 2019). The demonstrations follow next. First moving on to the economic sustainability in the hotel industry. The hotel businesses need to focus on ensuring long-term economic sustainability by reducing costs, preserving energy &amp; water, promoting the growth of new talent, gaining social capital, and many more</w:t>
      </w:r>
      <w:r w:rsidRPr="00F112BB">
        <w:t xml:space="preserve"> (</w:t>
      </w:r>
      <w:r w:rsidRPr="00F112BB">
        <w:rPr>
          <w:rFonts w:ascii="Arial" w:hAnsi="Arial" w:cs="Arial"/>
          <w:sz w:val="24"/>
          <w:szCs w:val="24"/>
        </w:rPr>
        <w:t>Diesendorf, 2000). For this, the hotels have taken many steps. Hyatt &amp; Cincinnati’s The Summit have adopted the recent trend to make their customers reuse their towels and single-use toiletries in their hotels thus reducing costs. Search Norway is the world’s first energy-preserving hotel as it moves to a sustainable source</w:t>
      </w:r>
      <w:r w:rsidRPr="00F112BB">
        <w:t xml:space="preserve"> (</w:t>
      </w:r>
      <w:r w:rsidRPr="00F112BB">
        <w:rPr>
          <w:rFonts w:ascii="Arial" w:hAnsi="Arial" w:cs="Arial"/>
          <w:sz w:val="24"/>
          <w:szCs w:val="24"/>
        </w:rPr>
        <w:t xml:space="preserve">Labajo-González, 2019). This hotel uses solar energy as its main source of power supply. Hotel Sixtus and Danhostel use a device name </w:t>
      </w:r>
      <w:r w:rsidRPr="00F112BB">
        <w:rPr>
          <w:rFonts w:ascii="Arial" w:hAnsi="Arial" w:cs="Arial"/>
          <w:sz w:val="24"/>
          <w:szCs w:val="24"/>
        </w:rPr>
        <w:lastRenderedPageBreak/>
        <w:t>Aguardio that monitors the guest’s water usage and encourages the users to reduce their energy consumption. Hilton has focuses on employee retention thus promoting sustainability by giving 12 weeks paid maternity leaves to their female employees and  4 weeks paid paternity leave to male employees.</w:t>
      </w:r>
      <w:r w:rsidRPr="00F112BB">
        <w:t xml:space="preserve"> </w:t>
      </w:r>
      <w:r w:rsidRPr="00F112BB">
        <w:rPr>
          <w:rFonts w:ascii="Arial" w:hAnsi="Arial" w:cs="Arial"/>
          <w:sz w:val="24"/>
          <w:szCs w:val="24"/>
        </w:rPr>
        <w:t>Hyatt has committed to hiring 10,000 “opportunity youth” between the ages of 16 and 24 by 2025 under their program named RiseHy.</w:t>
      </w:r>
      <w:r w:rsidRPr="00F112BB">
        <w:t xml:space="preserve"> </w:t>
      </w:r>
      <w:r w:rsidRPr="00F112BB">
        <w:rPr>
          <w:rFonts w:ascii="Arial" w:hAnsi="Arial" w:cs="Arial"/>
          <w:sz w:val="24"/>
          <w:szCs w:val="24"/>
        </w:rPr>
        <w:t>Wyndham has said to have 100% gender equality in their compensation and benefits. This helps the company to create a positive attitude of the employees toward the company thus increasing the chances of retaining employees thus enhancing sustainable development.</w:t>
      </w:r>
    </w:p>
    <w:p w14:paraId="50300539" w14:textId="77777777" w:rsidR="00F112BB" w:rsidRPr="00F112BB" w:rsidRDefault="00F112BB" w:rsidP="00F112BB">
      <w:pPr>
        <w:spacing w:line="360" w:lineRule="auto"/>
        <w:jc w:val="both"/>
        <w:rPr>
          <w:rFonts w:ascii="Arial" w:hAnsi="Arial" w:cs="Arial"/>
          <w:sz w:val="24"/>
          <w:szCs w:val="24"/>
        </w:rPr>
      </w:pPr>
      <w:r w:rsidRPr="00F112BB">
        <w:rPr>
          <w:rFonts w:ascii="Arial" w:hAnsi="Arial" w:cs="Arial"/>
          <w:sz w:val="24"/>
          <w:szCs w:val="24"/>
        </w:rPr>
        <w:t>The environment is one of the most crucial elements to achieving sustainability. Environmental sustainability is an important pillar affecting sustainability within the industry. The tourism industry largely depends on natural resources and beauty thus sustaining the environment is crucial to ensure its operating success. Waste management is one of the most crucial steps for environmental sustainability. The parliament of the EU has banned the use of plastics since 2021</w:t>
      </w:r>
      <w:r w:rsidRPr="00F112BB">
        <w:t xml:space="preserve"> (</w:t>
      </w:r>
      <w:r w:rsidRPr="00F112BB">
        <w:rPr>
          <w:rFonts w:ascii="Arial" w:hAnsi="Arial" w:cs="Arial"/>
          <w:sz w:val="24"/>
          <w:szCs w:val="24"/>
        </w:rPr>
        <w:t>Gonzalez-Padron et al., 2011). This banned the massive use of plastic articles such as straws, disposable plastic, plastic plates, fast food containers, etc. The EU parliament promotes using reusable products instead of plastic articles. IHG &amp; Marriot has planned to stop all single-use of toiletries and reduce the use of plastic bottles to over 200 million globally in IHG and 14 million yearly in Marriott. The water usage in those hotels is quite high and laundry activities are most common. The Caesar’s Palace in Las Vegas has implemented the towel reuse program to reduce water consumption in their hotel. According to the hotel, this method has helped the hotel to reduce water usage by 30 million gallons yearly</w:t>
      </w:r>
      <w:r w:rsidRPr="00F112BB">
        <w:t xml:space="preserve"> (</w:t>
      </w:r>
      <w:r w:rsidRPr="00F112BB">
        <w:rPr>
          <w:rFonts w:ascii="Arial" w:hAnsi="Arial" w:cs="Arial"/>
          <w:sz w:val="24"/>
          <w:szCs w:val="24"/>
        </w:rPr>
        <w:t>Clark, 2005). The building constructions of the hotel have a carbon emission rate of 6% annually. Nowadays the hotel used modular hotel construction to reduce carbon emissions. The carbon emission has been reduced by 68% as the building are built with less truckload and supplies (Grosbois, 2012). Hilton conducted a survey on their customers in 2018 that says around one-third of the potential customers select the hotels that put more importance on environmental sustainability in their actions. The Machan located in India is a tree-house-based hotel</w:t>
      </w:r>
      <w:r w:rsidRPr="00F112BB">
        <w:t xml:space="preserve"> (</w:t>
      </w:r>
      <w:r w:rsidRPr="00F112BB">
        <w:rPr>
          <w:rFonts w:ascii="Arial" w:hAnsi="Arial" w:cs="Arial"/>
          <w:sz w:val="24"/>
          <w:szCs w:val="24"/>
        </w:rPr>
        <w:t xml:space="preserve">Miller, 2001). This hotel used wood from dead trees so that this process does not disturb the environment thus affecting sustainability in the environment. Bambu Indah </w:t>
      </w:r>
      <w:r w:rsidRPr="00F112BB">
        <w:rPr>
          <w:rFonts w:ascii="Arial" w:hAnsi="Arial" w:cs="Arial"/>
          <w:sz w:val="24"/>
          <w:szCs w:val="24"/>
        </w:rPr>
        <w:lastRenderedPageBreak/>
        <w:t>in Bali has various tents made from bamboo that is situated on treetops. This restaurant mainly serves foods made from organic ingredients.</w:t>
      </w:r>
      <w:r w:rsidRPr="00F112BB">
        <w:t xml:space="preserve"> </w:t>
      </w:r>
      <w:bookmarkStart w:id="5" w:name="_Hlk116352755"/>
      <w:r w:rsidRPr="00F112BB">
        <w:rPr>
          <w:rFonts w:ascii="Arial" w:hAnsi="Arial" w:cs="Arial"/>
          <w:sz w:val="24"/>
          <w:szCs w:val="24"/>
        </w:rPr>
        <w:t xml:space="preserve">Willard Intercontinental Hotels </w:t>
      </w:r>
      <w:bookmarkEnd w:id="5"/>
      <w:r w:rsidRPr="00F112BB">
        <w:rPr>
          <w:rFonts w:ascii="Arial" w:hAnsi="Arial" w:cs="Arial"/>
          <w:sz w:val="24"/>
          <w:szCs w:val="24"/>
        </w:rPr>
        <w:t>in Belgium has reduced its energy consumption by around 12% with the implementation of a wind power generation plant.</w:t>
      </w:r>
    </w:p>
    <w:p w14:paraId="5D452D14" w14:textId="77777777" w:rsidR="00F112BB" w:rsidRPr="00F112BB" w:rsidRDefault="00F112BB" w:rsidP="00F112BB">
      <w:pPr>
        <w:spacing w:line="360" w:lineRule="auto"/>
        <w:jc w:val="both"/>
        <w:rPr>
          <w:rFonts w:ascii="Arial" w:hAnsi="Arial" w:cs="Arial"/>
          <w:sz w:val="24"/>
          <w:szCs w:val="24"/>
        </w:rPr>
      </w:pPr>
      <w:r w:rsidRPr="00F112BB">
        <w:rPr>
          <w:rFonts w:ascii="Arial" w:hAnsi="Arial" w:cs="Arial"/>
          <w:sz w:val="24"/>
          <w:szCs w:val="24"/>
        </w:rPr>
        <w:t>Social sustainability is related to society and the people we are operating in. Social sustainability is closely related to corporate social responsibility. Even though environmental sustainability measures are also part of corporate social responsibility. Corporate social responsibility can also be defined as the outcome of social sustainability that is initiated from the need of creating brand values and stakeholder value in the long term</w:t>
      </w:r>
      <w:r w:rsidRPr="00F112BB">
        <w:t xml:space="preserve"> </w:t>
      </w:r>
      <w:bookmarkStart w:id="6" w:name="_Hlk116357125"/>
      <w:r w:rsidRPr="00F112BB">
        <w:t>(</w:t>
      </w:r>
      <w:r w:rsidRPr="00F112BB">
        <w:rPr>
          <w:rFonts w:ascii="Arial" w:hAnsi="Arial" w:cs="Arial"/>
          <w:sz w:val="24"/>
          <w:szCs w:val="24"/>
        </w:rPr>
        <w:t>Cavagnaro and Gehrels, 2009)</w:t>
      </w:r>
      <w:bookmarkEnd w:id="6"/>
      <w:r w:rsidRPr="00F112BB">
        <w:rPr>
          <w:rFonts w:ascii="Arial" w:hAnsi="Arial" w:cs="Arial"/>
          <w:sz w:val="24"/>
          <w:szCs w:val="24"/>
        </w:rPr>
        <w:t>. Hilton has hired people from 170 nations showing improved diversity within the business. Marriot has announced a commitment to increase gender parity. Haytt has donated to the non-profit organizations around $4.7 million. Hilton has adopted paid leaves for new mothers of 12 weeks and new fathers of 4 weeks</w:t>
      </w:r>
      <w:r w:rsidRPr="00F112BB">
        <w:t xml:space="preserve"> (</w:t>
      </w:r>
      <w:r w:rsidRPr="00F112BB">
        <w:rPr>
          <w:rFonts w:ascii="Arial" w:hAnsi="Arial" w:cs="Arial"/>
          <w:sz w:val="24"/>
          <w:szCs w:val="24"/>
        </w:rPr>
        <w:t>Dahl, 1998).</w:t>
      </w:r>
      <w:r w:rsidRPr="00F112BB">
        <w:t xml:space="preserve"> </w:t>
      </w:r>
      <w:r w:rsidRPr="00F112BB">
        <w:rPr>
          <w:rFonts w:ascii="Arial" w:hAnsi="Arial" w:cs="Arial"/>
          <w:sz w:val="24"/>
          <w:szCs w:val="24"/>
        </w:rPr>
        <w:t>Willard Intercontinental Hotels has announced $120,000 in funding to help fund emerging business leaders. Marriott has adopted an anti-corruption program to train tanagers. According to the triple bottom line, companies must focus on social and environmental sustainability to ensure economic sustainability. The triple bottom line suggests that there should be 3 bottom lines such as a  planet, people, and profit that seek to commit to corporate social responsibility.</w:t>
      </w:r>
    </w:p>
    <w:p w14:paraId="41DF3C25" w14:textId="77777777" w:rsidR="00F112BB" w:rsidRPr="00F112BB" w:rsidRDefault="00F112BB" w:rsidP="00F112BB">
      <w:pPr>
        <w:spacing w:line="360" w:lineRule="auto"/>
        <w:jc w:val="both"/>
        <w:rPr>
          <w:rFonts w:ascii="Arial" w:hAnsi="Arial" w:cs="Arial"/>
          <w:sz w:val="24"/>
          <w:szCs w:val="24"/>
        </w:rPr>
      </w:pPr>
      <w:r w:rsidRPr="00F112BB">
        <w:rPr>
          <w:rFonts w:ascii="Arial" w:hAnsi="Arial" w:cs="Arial"/>
          <w:sz w:val="24"/>
          <w:szCs w:val="24"/>
        </w:rPr>
        <w:t>The circular economy has a total of 3 principles i.e. production, consumption &amp; use, and recycling. This theory suggests the renewal of the wastage through the production system and distribution to the customers again. This concept of circular economy is a complete cycle and makes the economy a whole string of cycles that is self-sustaining</w:t>
      </w:r>
      <w:r w:rsidRPr="00F112BB">
        <w:t xml:space="preserve"> (</w:t>
      </w:r>
      <w:r w:rsidRPr="00F112BB">
        <w:rPr>
          <w:rFonts w:ascii="Arial" w:hAnsi="Arial" w:cs="Arial"/>
          <w:sz w:val="24"/>
          <w:szCs w:val="24"/>
        </w:rPr>
        <w:t>Miller, 2001). The circular economy is a regenerative system that uses the waste of the products as input for the next production thus reusing. The circular economy is applied to hotel sustainability to reduce waste and pollution, extend useful products and materials, and regenerate of natural resources. Modern-day hotels use the recycle and regeneration to preserve the natural environment.</w:t>
      </w:r>
    </w:p>
    <w:p w14:paraId="75695EAF" w14:textId="688BED15" w:rsidR="002250D4" w:rsidRDefault="00F112BB" w:rsidP="00F112BB">
      <w:pPr>
        <w:spacing w:line="360" w:lineRule="auto"/>
        <w:jc w:val="both"/>
        <w:rPr>
          <w:rFonts w:ascii="Arial" w:hAnsi="Arial" w:cs="Arial"/>
          <w:sz w:val="24"/>
          <w:szCs w:val="24"/>
        </w:rPr>
      </w:pPr>
      <w:r w:rsidRPr="00F112BB">
        <w:rPr>
          <w:rFonts w:ascii="Arial" w:hAnsi="Arial" w:cs="Arial"/>
          <w:sz w:val="24"/>
          <w:szCs w:val="24"/>
        </w:rPr>
        <w:t xml:space="preserve">The above essay has reported that a total of 3 policies contribute to whole sustainability. Achieve sustainable development needs the achievement of economic sustainability, </w:t>
      </w:r>
      <w:r w:rsidRPr="00F112BB">
        <w:rPr>
          <w:rFonts w:ascii="Arial" w:hAnsi="Arial" w:cs="Arial"/>
          <w:sz w:val="24"/>
          <w:szCs w:val="24"/>
        </w:rPr>
        <w:lastRenderedPageBreak/>
        <w:t>environmental sustainability, and social sustainability. The hospitality industry by its nature has a direct impact on the environment. The hospitality industry depends largely on the preservation and maintenance of natural and cultural attractions.</w:t>
      </w:r>
      <w:r w:rsidRPr="00F112BB">
        <w:t xml:space="preserve"> </w:t>
      </w:r>
      <w:r w:rsidRPr="00F112BB">
        <w:rPr>
          <w:rFonts w:ascii="Arial" w:hAnsi="Arial" w:cs="Arial"/>
          <w:sz w:val="24"/>
          <w:szCs w:val="24"/>
        </w:rPr>
        <w:t>The recent change in environment and climate change has raised serious concerns to store the environment thus ensuring sustainability thus calling for responsible tourism.</w:t>
      </w:r>
      <w:r w:rsidRPr="00F112BB">
        <w:t xml:space="preserve"> </w:t>
      </w:r>
      <w:r w:rsidRPr="00F112BB">
        <w:rPr>
          <w:rFonts w:ascii="Arial" w:hAnsi="Arial" w:cs="Arial"/>
          <w:sz w:val="24"/>
          <w:szCs w:val="24"/>
        </w:rPr>
        <w:t>Sustainability is a key concern in the hotel industry due to its major impact on harming sustainability as a whole and its responsible for ecological hazards(Rosario et a., 2014). The hotel industry facilitating tourism also contributes to increased water usage, energy usage, food waste, pollution in tourist areas, and increased garbage waste around the world. The hotel industries have already taken steps to respond to the need for sustainability but that’s complete. There are still many gaps to fill to properly achieve sustainability goals. These sustainability practices will not only help companies achieve sustainable growth but also results in an improved reputation.</w:t>
      </w:r>
    </w:p>
    <w:p w14:paraId="5B132967" w14:textId="0928280B" w:rsidR="00F112BB" w:rsidRDefault="00F112BB">
      <w:pPr>
        <w:rPr>
          <w:rFonts w:ascii="Arial" w:hAnsi="Arial" w:cs="Arial"/>
          <w:sz w:val="24"/>
          <w:szCs w:val="24"/>
        </w:rPr>
      </w:pPr>
      <w:r>
        <w:rPr>
          <w:rFonts w:ascii="Arial" w:hAnsi="Arial" w:cs="Arial"/>
          <w:sz w:val="24"/>
          <w:szCs w:val="24"/>
        </w:rPr>
        <w:br w:type="page"/>
      </w:r>
    </w:p>
    <w:p w14:paraId="37D8CCF4" w14:textId="77777777" w:rsidR="00F112BB" w:rsidRPr="00F112BB" w:rsidRDefault="00F112BB" w:rsidP="00F112BB">
      <w:pPr>
        <w:keepNext/>
        <w:keepLines/>
        <w:spacing w:before="240" w:after="0" w:line="360" w:lineRule="auto"/>
        <w:jc w:val="center"/>
        <w:outlineLvl w:val="0"/>
        <w:rPr>
          <w:rFonts w:ascii="Arial" w:eastAsia="Times New Roman" w:hAnsi="Arial" w:cstheme="majorBidi"/>
          <w:sz w:val="32"/>
          <w:szCs w:val="40"/>
          <w:lang w:eastAsia="en-GB"/>
        </w:rPr>
      </w:pPr>
      <w:bookmarkStart w:id="7" w:name="_Toc117251164"/>
      <w:r w:rsidRPr="00F112BB">
        <w:rPr>
          <w:rFonts w:ascii="Arial" w:eastAsia="Times New Roman" w:hAnsi="Arial" w:cstheme="majorBidi"/>
          <w:sz w:val="32"/>
          <w:szCs w:val="40"/>
          <w:lang w:eastAsia="en-GB"/>
        </w:rPr>
        <w:lastRenderedPageBreak/>
        <w:t>References</w:t>
      </w:r>
      <w:bookmarkEnd w:id="7"/>
    </w:p>
    <w:p w14:paraId="133B8EE0"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r w:rsidRPr="00F112BB">
        <w:rPr>
          <w:rFonts w:ascii="Arial" w:eastAsia="Times New Roman" w:hAnsi="Arial" w:cs="Arial"/>
          <w:sz w:val="24"/>
          <w:szCs w:val="24"/>
          <w:lang w:eastAsia="en-GB"/>
        </w:rPr>
        <w:t>Aznar, J., Sayeras, J., Galiana, J. and Rocafort, A., 2016. Sustainability Commitment, New Competitors’ Presence, and Hotel Performance: The Hotel Industry in Barcelona. </w:t>
      </w:r>
      <w:r w:rsidRPr="00F112BB">
        <w:rPr>
          <w:rFonts w:ascii="Arial" w:eastAsia="Times New Roman" w:hAnsi="Arial" w:cs="Arial"/>
          <w:i/>
          <w:iCs/>
          <w:sz w:val="24"/>
          <w:szCs w:val="24"/>
          <w:lang w:eastAsia="en-GB"/>
        </w:rPr>
        <w:t>Sustainability</w:t>
      </w:r>
      <w:r w:rsidRPr="00F112BB">
        <w:rPr>
          <w:rFonts w:ascii="Arial" w:eastAsia="Times New Roman" w:hAnsi="Arial" w:cs="Arial"/>
          <w:sz w:val="24"/>
          <w:szCs w:val="24"/>
          <w:lang w:eastAsia="en-GB"/>
        </w:rPr>
        <w:t>, 8(8), p.755.</w:t>
      </w:r>
    </w:p>
    <w:p w14:paraId="6EE4DFDE"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r w:rsidRPr="00F112BB">
        <w:rPr>
          <w:rFonts w:ascii="Arial" w:eastAsia="Times New Roman" w:hAnsi="Arial" w:cs="Arial"/>
          <w:sz w:val="24"/>
          <w:szCs w:val="24"/>
          <w:lang w:eastAsia="en-GB"/>
        </w:rPr>
        <w:t xml:space="preserve">Bonilla-Priego, M.J., Font, X., and del Rosario ( 2014) ‘Corporate sustainability reporting index and baseline data for the cruise industry, Tourism Management. Vol. 44, pp.149-160. </w:t>
      </w:r>
    </w:p>
    <w:p w14:paraId="5D6D4633"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bookmarkStart w:id="8" w:name="_Hlk116357098"/>
      <w:r w:rsidRPr="00F112BB">
        <w:rPr>
          <w:rFonts w:ascii="Arial" w:eastAsia="Times New Roman" w:hAnsi="Arial" w:cs="Arial"/>
          <w:sz w:val="24"/>
          <w:szCs w:val="24"/>
          <w:lang w:eastAsia="en-GB"/>
        </w:rPr>
        <w:t xml:space="preserve">Cavagnaro, E. and Gehrels, S. A. (2009) </w:t>
      </w:r>
      <w:bookmarkEnd w:id="8"/>
      <w:r w:rsidRPr="00F112BB">
        <w:rPr>
          <w:rFonts w:ascii="Arial" w:eastAsia="Times New Roman" w:hAnsi="Arial" w:cs="Arial"/>
          <w:sz w:val="24"/>
          <w:szCs w:val="24"/>
          <w:lang w:eastAsia="en-GB"/>
        </w:rPr>
        <w:t>‘Sweet and Sour Grapes: Implementing Sustainability in the Hospitality Industry-A Case Study, Journal of Culinary Science and Technology, Vol. 7, No.2-3 pp.181-195</w:t>
      </w:r>
    </w:p>
    <w:p w14:paraId="442B0ACA"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r w:rsidRPr="00F112BB">
        <w:rPr>
          <w:rFonts w:ascii="Arial" w:eastAsia="Times New Roman" w:hAnsi="Arial" w:cs="Arial"/>
          <w:sz w:val="24"/>
          <w:szCs w:val="24"/>
          <w:lang w:eastAsia="en-GB"/>
        </w:rPr>
        <w:t xml:space="preserve">Chabowski, B. R., Mena, J. A. and </w:t>
      </w:r>
      <w:bookmarkStart w:id="9" w:name="_Hlk116357172"/>
      <w:r w:rsidRPr="00F112BB">
        <w:rPr>
          <w:rFonts w:ascii="Arial" w:eastAsia="Times New Roman" w:hAnsi="Arial" w:cs="Arial"/>
          <w:sz w:val="24"/>
          <w:szCs w:val="24"/>
          <w:lang w:eastAsia="en-GB"/>
        </w:rPr>
        <w:t xml:space="preserve">Gonzalez-Padron, T.L. (2011) </w:t>
      </w:r>
      <w:bookmarkEnd w:id="9"/>
      <w:r w:rsidRPr="00F112BB">
        <w:rPr>
          <w:rFonts w:ascii="Arial" w:eastAsia="Times New Roman" w:hAnsi="Arial" w:cs="Arial"/>
          <w:sz w:val="24"/>
          <w:szCs w:val="24"/>
          <w:lang w:eastAsia="en-GB"/>
        </w:rPr>
        <w:t xml:space="preserve">‘The structure of sustainability research in marketing, 1958-2008: a basis for 29 future research opportunities’, Journal of the Academy of Marketing Science, Vol. 39, pp. 55-70 </w:t>
      </w:r>
    </w:p>
    <w:p w14:paraId="4249AF50"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bookmarkStart w:id="10" w:name="_Hlk116357244"/>
      <w:r w:rsidRPr="00F112BB">
        <w:rPr>
          <w:rFonts w:ascii="Arial" w:eastAsia="Times New Roman" w:hAnsi="Arial" w:cs="Arial"/>
          <w:sz w:val="24"/>
          <w:szCs w:val="24"/>
          <w:lang w:eastAsia="en-GB"/>
        </w:rPr>
        <w:t xml:space="preserve">Clark, R. (2005) </w:t>
      </w:r>
      <w:bookmarkEnd w:id="10"/>
      <w:r w:rsidRPr="00F112BB">
        <w:rPr>
          <w:rFonts w:ascii="Arial" w:eastAsia="Times New Roman" w:hAnsi="Arial" w:cs="Arial"/>
          <w:sz w:val="24"/>
          <w:szCs w:val="24"/>
          <w:lang w:eastAsia="en-GB"/>
        </w:rPr>
        <w:t xml:space="preserve">‘What is Sustainability?’ </w:t>
      </w:r>
      <w:hyperlink r:id="rId7" w:history="1">
        <w:r w:rsidRPr="00F112BB">
          <w:rPr>
            <w:rFonts w:ascii="Arial" w:eastAsia="Times New Roman" w:hAnsi="Arial" w:cs="Arial"/>
            <w:sz w:val="24"/>
            <w:szCs w:val="24"/>
            <w:u w:val="single"/>
            <w:lang w:eastAsia="en-GB"/>
          </w:rPr>
          <w:t>http://www.timesonline.co.uk/tol/comment/columnists/guest_contributors/article584043.ece last accessed 10/11/2014</w:t>
        </w:r>
      </w:hyperlink>
    </w:p>
    <w:p w14:paraId="1FD7784A"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bookmarkStart w:id="11" w:name="_Hlk116357273"/>
      <w:r w:rsidRPr="00F112BB">
        <w:rPr>
          <w:rFonts w:ascii="Arial" w:eastAsia="Times New Roman" w:hAnsi="Arial" w:cs="Arial"/>
          <w:sz w:val="24"/>
          <w:szCs w:val="24"/>
          <w:lang w:eastAsia="en-GB"/>
        </w:rPr>
        <w:t xml:space="preserve">Cohen, M.J. (2010) </w:t>
      </w:r>
      <w:bookmarkEnd w:id="11"/>
      <w:r w:rsidRPr="00F112BB">
        <w:rPr>
          <w:rFonts w:ascii="Arial" w:eastAsia="Times New Roman" w:hAnsi="Arial" w:cs="Arial"/>
          <w:sz w:val="24"/>
          <w:szCs w:val="24"/>
          <w:lang w:eastAsia="en-GB"/>
        </w:rPr>
        <w:t>‘The international political economy of (un)sustainable consumption and the global financial crisis, Environmental Politics Vol. 19, No. 1, pp. 107-126</w:t>
      </w:r>
    </w:p>
    <w:p w14:paraId="282E7BC3"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r w:rsidRPr="00F112BB">
        <w:rPr>
          <w:rFonts w:ascii="Arial" w:eastAsia="Times New Roman" w:hAnsi="Arial" w:cs="Arial"/>
          <w:sz w:val="24"/>
          <w:szCs w:val="24"/>
          <w:lang w:eastAsia="en-GB"/>
        </w:rPr>
        <w:t>Dahl,   A.(1998)   ‘Sustainable   consumption   and   true   prosperity’,http://bahai-library.com/dahl_sustaianble_consumption_prosperity  last accessed 11/11/2014</w:t>
      </w:r>
    </w:p>
    <w:p w14:paraId="1A4EA941"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r w:rsidRPr="00F112BB">
        <w:rPr>
          <w:rFonts w:ascii="Arial" w:eastAsia="Times New Roman" w:hAnsi="Arial" w:cs="Arial"/>
          <w:sz w:val="24"/>
          <w:szCs w:val="24"/>
          <w:lang w:eastAsia="en-GB"/>
        </w:rPr>
        <w:t xml:space="preserve">Dao,  V.,   Langella,  I   and  Carbo,   J.  (2011)   ‘From  green  to   sustainability: Information Technology and  an  integrated  sustainability  framework’,  TheJournal of Strategic Information Systems, Vol. 20, No. 1, pp. 63-79De  </w:t>
      </w:r>
    </w:p>
    <w:p w14:paraId="56BFEC0B"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bookmarkStart w:id="12" w:name="_Hlk116357370"/>
      <w:r w:rsidRPr="00F112BB">
        <w:rPr>
          <w:rFonts w:ascii="Arial" w:eastAsia="Times New Roman" w:hAnsi="Arial" w:cs="Arial"/>
          <w:sz w:val="24"/>
          <w:szCs w:val="24"/>
          <w:lang w:eastAsia="en-GB"/>
        </w:rPr>
        <w:t xml:space="preserve">Grosbois,  D.  (2012)  </w:t>
      </w:r>
      <w:bookmarkEnd w:id="12"/>
      <w:r w:rsidRPr="00F112BB">
        <w:rPr>
          <w:rFonts w:ascii="Arial" w:eastAsia="Times New Roman" w:hAnsi="Arial" w:cs="Arial"/>
          <w:sz w:val="24"/>
          <w:szCs w:val="24"/>
          <w:lang w:eastAsia="en-GB"/>
        </w:rPr>
        <w:t>‘Corporate  social  responsibility  reporting  by  the global   hotel   industry:   Commitments,   initiatives   and   performance’, International Journal of Hospitality Management, Vol. 31, pp. 896-90530</w:t>
      </w:r>
    </w:p>
    <w:p w14:paraId="1BCF3C23"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bookmarkStart w:id="13" w:name="_Hlk116357417"/>
      <w:r w:rsidRPr="00F112BB">
        <w:rPr>
          <w:rFonts w:ascii="Arial" w:eastAsia="Times New Roman" w:hAnsi="Arial" w:cs="Arial"/>
          <w:sz w:val="24"/>
          <w:szCs w:val="24"/>
          <w:lang w:eastAsia="en-GB"/>
        </w:rPr>
        <w:lastRenderedPageBreak/>
        <w:t xml:space="preserve">Diesendorf, M. (2000) </w:t>
      </w:r>
      <w:bookmarkEnd w:id="13"/>
      <w:r w:rsidRPr="00F112BB">
        <w:rPr>
          <w:rFonts w:ascii="Arial" w:eastAsia="Times New Roman" w:hAnsi="Arial" w:cs="Arial"/>
          <w:sz w:val="24"/>
          <w:szCs w:val="24"/>
          <w:lang w:eastAsia="en-GB"/>
        </w:rPr>
        <w:t xml:space="preserve">‘Sustainability and Sustainable Development, in ‘Sustainability: The corporate challenge of the 21st century, </w:t>
      </w:r>
    </w:p>
    <w:p w14:paraId="7842D1E5"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r w:rsidRPr="00F112BB">
        <w:rPr>
          <w:rFonts w:ascii="Arial" w:eastAsia="Times New Roman" w:hAnsi="Arial" w:cs="Arial"/>
          <w:sz w:val="24"/>
          <w:szCs w:val="24"/>
          <w:lang w:eastAsia="en-GB"/>
        </w:rPr>
        <w:t>Duarte, D.C. and Borda, G.Z. (2013)’ Accessibility and sustainability: the experience of hospitality in Brasilia’,  Revista Brasileira de Pesquisa am Tourismo, Vol. 7, No. 3, pp.365-383</w:t>
      </w:r>
    </w:p>
    <w:p w14:paraId="367B2D76"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r w:rsidRPr="00F112BB">
        <w:rPr>
          <w:rFonts w:ascii="Arial" w:eastAsia="Times New Roman" w:hAnsi="Arial" w:cs="Arial"/>
          <w:sz w:val="24"/>
          <w:szCs w:val="24"/>
          <w:lang w:eastAsia="en-GB"/>
        </w:rPr>
        <w:t xml:space="preserve">Morales-Contreras, M., Bilbao-Calabuig, P., Meneses-Falcón, C. and </w:t>
      </w:r>
      <w:bookmarkStart w:id="14" w:name="_Hlk116357513"/>
      <w:r w:rsidRPr="00F112BB">
        <w:rPr>
          <w:rFonts w:ascii="Arial" w:eastAsia="Times New Roman" w:hAnsi="Arial" w:cs="Arial"/>
          <w:sz w:val="24"/>
          <w:szCs w:val="24"/>
          <w:lang w:eastAsia="en-GB"/>
        </w:rPr>
        <w:t>Labajo-González, V., 2019</w:t>
      </w:r>
      <w:bookmarkEnd w:id="14"/>
      <w:r w:rsidRPr="00F112BB">
        <w:rPr>
          <w:rFonts w:ascii="Arial" w:eastAsia="Times New Roman" w:hAnsi="Arial" w:cs="Arial"/>
          <w:sz w:val="24"/>
          <w:szCs w:val="24"/>
          <w:lang w:eastAsia="en-GB"/>
        </w:rPr>
        <w:t>. Evaluating Sustainable Purchasing Processes in the Hotel Industry. </w:t>
      </w:r>
      <w:r w:rsidRPr="00F112BB">
        <w:rPr>
          <w:rFonts w:ascii="Arial" w:eastAsia="Times New Roman" w:hAnsi="Arial" w:cs="Arial"/>
          <w:i/>
          <w:iCs/>
          <w:sz w:val="24"/>
          <w:szCs w:val="24"/>
          <w:lang w:eastAsia="en-GB"/>
        </w:rPr>
        <w:t>Sustainability</w:t>
      </w:r>
      <w:r w:rsidRPr="00F112BB">
        <w:rPr>
          <w:rFonts w:ascii="Arial" w:eastAsia="Times New Roman" w:hAnsi="Arial" w:cs="Arial"/>
          <w:sz w:val="24"/>
          <w:szCs w:val="24"/>
          <w:lang w:eastAsia="en-GB"/>
        </w:rPr>
        <w:t>, 11(16), p.4262.</w:t>
      </w:r>
    </w:p>
    <w:p w14:paraId="2E8BD7AB" w14:textId="6E8C20E1" w:rsidR="00F112BB" w:rsidRPr="00F112BB" w:rsidRDefault="00F112BB" w:rsidP="00F112BB">
      <w:pPr>
        <w:spacing w:after="180" w:line="360" w:lineRule="auto"/>
        <w:ind w:left="450" w:hanging="450"/>
        <w:jc w:val="both"/>
        <w:rPr>
          <w:rFonts w:ascii="Arial" w:eastAsia="Times New Roman" w:hAnsi="Arial" w:cs="Arial"/>
          <w:sz w:val="24"/>
          <w:szCs w:val="24"/>
          <w:lang w:val="en-US" w:eastAsia="en-GB"/>
        </w:rPr>
      </w:pPr>
      <w:bookmarkStart w:id="15" w:name="_Hlk116357614"/>
      <w:r w:rsidRPr="00F112BB">
        <w:rPr>
          <w:rFonts w:ascii="Arial" w:eastAsia="Times New Roman" w:hAnsi="Arial" w:cs="Arial"/>
          <w:sz w:val="24"/>
          <w:szCs w:val="24"/>
          <w:lang w:val="en-US" w:eastAsia="en-GB"/>
        </w:rPr>
        <w:t>Miller, G. (2001)</w:t>
      </w:r>
      <w:bookmarkEnd w:id="15"/>
      <w:r w:rsidRPr="00F112BB">
        <w:rPr>
          <w:rFonts w:ascii="Arial" w:eastAsia="Times New Roman" w:hAnsi="Arial" w:cs="Arial"/>
          <w:sz w:val="24"/>
          <w:szCs w:val="24"/>
          <w:lang w:val="en-US" w:eastAsia="en-GB"/>
        </w:rPr>
        <w:t xml:space="preserve">. Corporate responsibility in the UK tourism industry. </w:t>
      </w:r>
      <w:r w:rsidRPr="00F112BB">
        <w:rPr>
          <w:rFonts w:ascii="Arial" w:eastAsia="Times New Roman" w:hAnsi="Arial" w:cs="Arial"/>
          <w:i/>
          <w:iCs/>
          <w:sz w:val="24"/>
          <w:szCs w:val="24"/>
          <w:lang w:val="en-US" w:eastAsia="en-GB"/>
        </w:rPr>
        <w:t>Tourism Management</w:t>
      </w:r>
      <w:r w:rsidRPr="00F112BB">
        <w:rPr>
          <w:rFonts w:ascii="Arial" w:eastAsia="Times New Roman" w:hAnsi="Arial" w:cs="Arial"/>
          <w:sz w:val="24"/>
          <w:szCs w:val="24"/>
          <w:lang w:val="en-US" w:eastAsia="en-GB"/>
        </w:rPr>
        <w:t>, 22(6), pp.589–598. doi:</w:t>
      </w:r>
      <w:hyperlink r:id="rId8" w:history="1">
        <w:r w:rsidRPr="00F112BB">
          <w:rPr>
            <w:rFonts w:ascii="Arial" w:eastAsia="Times New Roman" w:hAnsi="Arial" w:cs="Arial"/>
            <w:sz w:val="24"/>
            <w:szCs w:val="24"/>
            <w:u w:val="single"/>
            <w:lang w:val="en-US" w:eastAsia="en-GB"/>
          </w:rPr>
          <w:t>10.1016/s0261-5177(01)00034-6</w:t>
        </w:r>
      </w:hyperlink>
      <w:r w:rsidRPr="00F112BB">
        <w:rPr>
          <w:rFonts w:ascii="Arial" w:eastAsia="Times New Roman" w:hAnsi="Arial" w:cs="Arial"/>
          <w:sz w:val="24"/>
          <w:szCs w:val="24"/>
          <w:lang w:val="en-US" w:eastAsia="en-GB"/>
        </w:rPr>
        <w:t>.</w:t>
      </w:r>
    </w:p>
    <w:p w14:paraId="45DD7FC1" w14:textId="427C6951" w:rsidR="00F112BB" w:rsidRPr="00F112BB" w:rsidRDefault="00F112BB" w:rsidP="00F112BB">
      <w:pPr>
        <w:spacing w:after="180" w:line="360" w:lineRule="auto"/>
        <w:ind w:left="450" w:hanging="450"/>
        <w:jc w:val="both"/>
        <w:rPr>
          <w:rFonts w:ascii="Arial" w:eastAsia="Times New Roman" w:hAnsi="Arial" w:cs="Arial"/>
          <w:sz w:val="24"/>
          <w:szCs w:val="24"/>
          <w:lang w:val="en-US" w:eastAsia="en-GB"/>
        </w:rPr>
      </w:pPr>
      <w:bookmarkStart w:id="16" w:name="_Hlk116357674"/>
      <w:r w:rsidRPr="00F112BB">
        <w:rPr>
          <w:rFonts w:ascii="Arial" w:eastAsia="Times New Roman" w:hAnsi="Arial" w:cs="Arial"/>
          <w:sz w:val="24"/>
          <w:szCs w:val="24"/>
          <w:lang w:val="en-US" w:eastAsia="en-GB"/>
        </w:rPr>
        <w:t xml:space="preserve">Pal, D. (2021). </w:t>
      </w:r>
      <w:bookmarkEnd w:id="16"/>
      <w:r w:rsidRPr="00F112BB">
        <w:rPr>
          <w:rFonts w:ascii="Arial" w:eastAsia="Times New Roman" w:hAnsi="Arial" w:cs="Arial"/>
          <w:sz w:val="24"/>
          <w:szCs w:val="24"/>
          <w:lang w:val="en-US" w:eastAsia="en-GB"/>
        </w:rPr>
        <w:t xml:space="preserve">Socially responsible investment, ethical rating, and separating contracts: A theoretical exploration in the hospitality industry. </w:t>
      </w:r>
      <w:r w:rsidRPr="00F112BB">
        <w:rPr>
          <w:rFonts w:ascii="Arial" w:eastAsia="Times New Roman" w:hAnsi="Arial" w:cs="Arial"/>
          <w:i/>
          <w:iCs/>
          <w:sz w:val="24"/>
          <w:szCs w:val="24"/>
          <w:lang w:val="en-US" w:eastAsia="en-GB"/>
        </w:rPr>
        <w:t>International Journal of Hospitality Management</w:t>
      </w:r>
      <w:r w:rsidRPr="00F112BB">
        <w:rPr>
          <w:rFonts w:ascii="Arial" w:eastAsia="Times New Roman" w:hAnsi="Arial" w:cs="Arial"/>
          <w:sz w:val="24"/>
          <w:szCs w:val="24"/>
          <w:lang w:val="en-US" w:eastAsia="en-GB"/>
        </w:rPr>
        <w:t>, 93, p.102771. doi:</w:t>
      </w:r>
      <w:hyperlink r:id="rId9" w:history="1">
        <w:r w:rsidRPr="00F112BB">
          <w:rPr>
            <w:rFonts w:ascii="Arial" w:eastAsia="Times New Roman" w:hAnsi="Arial" w:cs="Arial"/>
            <w:sz w:val="24"/>
            <w:szCs w:val="24"/>
            <w:u w:val="single"/>
            <w:lang w:val="en-US" w:eastAsia="en-GB"/>
          </w:rPr>
          <w:t>10.1016/j.ijhm.2020.102771</w:t>
        </w:r>
      </w:hyperlink>
      <w:r w:rsidRPr="00F112BB">
        <w:rPr>
          <w:rFonts w:ascii="Arial" w:eastAsia="Times New Roman" w:hAnsi="Arial" w:cs="Arial"/>
          <w:sz w:val="24"/>
          <w:szCs w:val="24"/>
          <w:lang w:val="en-US" w:eastAsia="en-GB"/>
        </w:rPr>
        <w:t>.</w:t>
      </w:r>
    </w:p>
    <w:p w14:paraId="5D7AF7A3"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bookmarkStart w:id="17" w:name="_Hlk116357710"/>
      <w:r w:rsidRPr="00F112BB">
        <w:rPr>
          <w:rFonts w:ascii="Arial" w:eastAsia="Times New Roman" w:hAnsi="Arial" w:cs="Arial"/>
          <w:sz w:val="24"/>
          <w:szCs w:val="24"/>
          <w:lang w:eastAsia="en-GB"/>
        </w:rPr>
        <w:t>Tarkang Mary, M. and Ozturen, A., 2019</w:t>
      </w:r>
      <w:bookmarkEnd w:id="17"/>
      <w:r w:rsidRPr="00F112BB">
        <w:rPr>
          <w:rFonts w:ascii="Arial" w:eastAsia="Times New Roman" w:hAnsi="Arial" w:cs="Arial"/>
          <w:sz w:val="24"/>
          <w:szCs w:val="24"/>
          <w:lang w:eastAsia="en-GB"/>
        </w:rPr>
        <w:t>. Sustainable Ethical Leadership and Employee Outcomes in the Hotel Industry in Cameroon. </w:t>
      </w:r>
      <w:r w:rsidRPr="00F112BB">
        <w:rPr>
          <w:rFonts w:ascii="Arial" w:eastAsia="Times New Roman" w:hAnsi="Arial" w:cs="Arial"/>
          <w:i/>
          <w:iCs/>
          <w:sz w:val="24"/>
          <w:szCs w:val="24"/>
          <w:lang w:eastAsia="en-GB"/>
        </w:rPr>
        <w:t>Sustainability</w:t>
      </w:r>
      <w:r w:rsidRPr="00F112BB">
        <w:rPr>
          <w:rFonts w:ascii="Arial" w:eastAsia="Times New Roman" w:hAnsi="Arial" w:cs="Arial"/>
          <w:sz w:val="24"/>
          <w:szCs w:val="24"/>
          <w:lang w:eastAsia="en-GB"/>
        </w:rPr>
        <w:t>, 11(8), p.2245.</w:t>
      </w:r>
    </w:p>
    <w:p w14:paraId="517B10F7" w14:textId="77777777" w:rsidR="00F112BB" w:rsidRPr="00F112BB" w:rsidRDefault="00F112BB" w:rsidP="00F112BB">
      <w:pPr>
        <w:spacing w:after="180" w:line="360" w:lineRule="auto"/>
        <w:ind w:left="450" w:hanging="450"/>
        <w:jc w:val="both"/>
        <w:rPr>
          <w:rFonts w:ascii="Arial" w:eastAsia="Times New Roman" w:hAnsi="Arial" w:cs="Arial"/>
          <w:sz w:val="24"/>
          <w:szCs w:val="24"/>
          <w:lang w:val="en-US" w:eastAsia="en-GB"/>
        </w:rPr>
      </w:pPr>
      <w:r w:rsidRPr="00F112BB">
        <w:rPr>
          <w:rFonts w:ascii="Arial" w:eastAsia="Times New Roman" w:hAnsi="Arial" w:cs="Arial"/>
          <w:sz w:val="24"/>
          <w:szCs w:val="24"/>
          <w:lang w:val="en-US" w:eastAsia="en-GB"/>
        </w:rPr>
        <w:t xml:space="preserve">The United States Environmental Protection Agency (2018). </w:t>
      </w:r>
      <w:r w:rsidRPr="00F112BB">
        <w:rPr>
          <w:rFonts w:ascii="Arial" w:eastAsia="Times New Roman" w:hAnsi="Arial" w:cs="Arial"/>
          <w:i/>
          <w:iCs/>
          <w:sz w:val="24"/>
          <w:szCs w:val="24"/>
          <w:lang w:val="en-US" w:eastAsia="en-GB"/>
        </w:rPr>
        <w:t>Global Greenhouse Gas Emissions Data</w:t>
      </w:r>
      <w:r w:rsidRPr="00F112BB">
        <w:rPr>
          <w:rFonts w:ascii="Arial" w:eastAsia="Times New Roman" w:hAnsi="Arial" w:cs="Arial"/>
          <w:sz w:val="24"/>
          <w:szCs w:val="24"/>
          <w:lang w:val="en-US" w:eastAsia="en-GB"/>
        </w:rPr>
        <w:t xml:space="preserve">. [online] US EPA. Available at: </w:t>
      </w:r>
      <w:hyperlink r:id="rId10" w:history="1">
        <w:r w:rsidRPr="00F112BB">
          <w:rPr>
            <w:rFonts w:ascii="Arial" w:eastAsia="Times New Roman" w:hAnsi="Arial" w:cs="Arial"/>
            <w:sz w:val="24"/>
            <w:szCs w:val="24"/>
            <w:u w:val="single"/>
            <w:lang w:val="en-US" w:eastAsia="en-GB"/>
          </w:rPr>
          <w:t>https://www.epa.gov/ghgemissions/global-greenhouse-gas-emissions-data</w:t>
        </w:r>
      </w:hyperlink>
      <w:r w:rsidRPr="00F112BB">
        <w:rPr>
          <w:rFonts w:ascii="Arial" w:eastAsia="Times New Roman" w:hAnsi="Arial" w:cs="Arial"/>
          <w:sz w:val="24"/>
          <w:szCs w:val="24"/>
          <w:lang w:val="en-US" w:eastAsia="en-GB"/>
        </w:rPr>
        <w:t>.</w:t>
      </w:r>
    </w:p>
    <w:p w14:paraId="7946AB05" w14:textId="77777777" w:rsidR="00F112BB" w:rsidRPr="00F112BB" w:rsidRDefault="00F112BB" w:rsidP="00F112BB">
      <w:pPr>
        <w:spacing w:after="180" w:line="360" w:lineRule="auto"/>
        <w:ind w:left="450" w:hanging="450"/>
        <w:jc w:val="both"/>
        <w:rPr>
          <w:rFonts w:ascii="Arial" w:eastAsia="Times New Roman" w:hAnsi="Arial" w:cs="Arial"/>
          <w:sz w:val="24"/>
          <w:szCs w:val="24"/>
          <w:lang w:eastAsia="en-GB"/>
        </w:rPr>
      </w:pPr>
    </w:p>
    <w:p w14:paraId="271BD01C" w14:textId="77777777" w:rsidR="00F112BB" w:rsidRPr="00F112BB" w:rsidRDefault="00F112BB" w:rsidP="00F112BB">
      <w:pPr>
        <w:spacing w:after="0" w:line="360" w:lineRule="auto"/>
        <w:jc w:val="both"/>
        <w:rPr>
          <w:rFonts w:ascii="Arial" w:eastAsia="Times New Roman" w:hAnsi="Arial" w:cs="Arial"/>
          <w:sz w:val="24"/>
          <w:szCs w:val="24"/>
          <w:u w:val="single"/>
          <w:lang w:eastAsia="en-GB"/>
        </w:rPr>
      </w:pPr>
      <w:r w:rsidRPr="00F112BB">
        <w:rPr>
          <w:rFonts w:ascii="Arial" w:eastAsia="Times New Roman" w:hAnsi="Arial" w:cs="Arial"/>
          <w:sz w:val="24"/>
          <w:szCs w:val="24"/>
          <w:lang w:eastAsia="en-GB"/>
        </w:rPr>
        <w:fldChar w:fldCharType="begin"/>
      </w:r>
      <w:r w:rsidRPr="00F112BB">
        <w:rPr>
          <w:rFonts w:ascii="Arial" w:eastAsia="Times New Roman" w:hAnsi="Arial" w:cs="Arial"/>
          <w:sz w:val="24"/>
          <w:szCs w:val="24"/>
          <w:lang w:eastAsia="en-GB"/>
        </w:rPr>
        <w:instrText xml:space="preserve"> HYPERLINK "https://www.researchgate.net/deref/http%3A%2F%2Fwww.timesonline.co.uk%2Ftol%2Fcomment%2Fcolumnists%2Fguest_contributors%2Farticle584043.ece" </w:instrText>
      </w:r>
      <w:r w:rsidRPr="00F112BB">
        <w:rPr>
          <w:rFonts w:ascii="Arial" w:eastAsia="Times New Roman" w:hAnsi="Arial" w:cs="Arial"/>
          <w:sz w:val="24"/>
          <w:szCs w:val="24"/>
          <w:lang w:eastAsia="en-GB"/>
        </w:rPr>
      </w:r>
      <w:r w:rsidRPr="00F112BB">
        <w:rPr>
          <w:rFonts w:ascii="Arial" w:eastAsia="Times New Roman" w:hAnsi="Arial" w:cs="Arial"/>
          <w:sz w:val="24"/>
          <w:szCs w:val="24"/>
          <w:lang w:eastAsia="en-GB"/>
        </w:rPr>
        <w:fldChar w:fldCharType="separate"/>
      </w:r>
    </w:p>
    <w:p w14:paraId="710B8E39" w14:textId="77777777" w:rsidR="00F112BB" w:rsidRPr="00F112BB" w:rsidRDefault="00F112BB" w:rsidP="00F112BB">
      <w:pPr>
        <w:spacing w:after="0" w:line="360" w:lineRule="auto"/>
        <w:jc w:val="both"/>
        <w:rPr>
          <w:rFonts w:ascii="Arial" w:eastAsia="Times New Roman" w:hAnsi="Arial" w:cs="Arial"/>
          <w:sz w:val="24"/>
          <w:szCs w:val="24"/>
          <w:u w:val="single"/>
          <w:lang w:eastAsia="en-GB"/>
        </w:rPr>
      </w:pPr>
      <w:r w:rsidRPr="00F112BB">
        <w:rPr>
          <w:rFonts w:ascii="Arial" w:eastAsia="Times New Roman" w:hAnsi="Arial" w:cs="Arial"/>
          <w:sz w:val="24"/>
          <w:szCs w:val="24"/>
          <w:lang w:eastAsia="en-GB"/>
        </w:rPr>
        <w:fldChar w:fldCharType="end"/>
      </w:r>
      <w:r w:rsidRPr="00F112BB">
        <w:rPr>
          <w:rFonts w:ascii="Arial" w:eastAsia="Times New Roman" w:hAnsi="Arial" w:cs="Arial"/>
          <w:sz w:val="24"/>
          <w:szCs w:val="24"/>
          <w:lang w:eastAsia="en-GB"/>
        </w:rPr>
        <w:fldChar w:fldCharType="begin"/>
      </w:r>
      <w:r w:rsidRPr="00F112BB">
        <w:rPr>
          <w:rFonts w:ascii="Arial" w:eastAsia="Times New Roman" w:hAnsi="Arial" w:cs="Arial"/>
          <w:sz w:val="24"/>
          <w:szCs w:val="24"/>
          <w:lang w:eastAsia="en-GB"/>
        </w:rPr>
        <w:instrText xml:space="preserve"> HYPERLINK "https://www.researchgate.net/deref/http%3A%2F%2Fwww.timesonline.co.uk%2Ftol%2Fcomment%2Fcolumnists%2Fguest_contributors%2Farticle584043.ece" </w:instrText>
      </w:r>
      <w:r w:rsidRPr="00F112BB">
        <w:rPr>
          <w:rFonts w:ascii="Arial" w:eastAsia="Times New Roman" w:hAnsi="Arial" w:cs="Arial"/>
          <w:sz w:val="24"/>
          <w:szCs w:val="24"/>
          <w:lang w:eastAsia="en-GB"/>
        </w:rPr>
      </w:r>
      <w:r w:rsidRPr="00F112BB">
        <w:rPr>
          <w:rFonts w:ascii="Arial" w:eastAsia="Times New Roman" w:hAnsi="Arial" w:cs="Arial"/>
          <w:sz w:val="24"/>
          <w:szCs w:val="24"/>
          <w:lang w:eastAsia="en-GB"/>
        </w:rPr>
        <w:fldChar w:fldCharType="separate"/>
      </w:r>
    </w:p>
    <w:p w14:paraId="635C088E" w14:textId="77777777" w:rsidR="00F112BB" w:rsidRPr="00F112BB" w:rsidRDefault="00F112BB" w:rsidP="00F112BB">
      <w:pPr>
        <w:spacing w:after="0" w:line="360" w:lineRule="auto"/>
        <w:jc w:val="both"/>
        <w:rPr>
          <w:rFonts w:ascii="Arial" w:eastAsia="Times New Roman" w:hAnsi="Arial" w:cs="Arial"/>
          <w:sz w:val="24"/>
          <w:szCs w:val="24"/>
          <w:lang w:eastAsia="en-GB"/>
        </w:rPr>
      </w:pPr>
      <w:r w:rsidRPr="00F112BB">
        <w:rPr>
          <w:rFonts w:ascii="Arial" w:eastAsia="Times New Roman" w:hAnsi="Arial" w:cs="Arial"/>
          <w:sz w:val="24"/>
          <w:szCs w:val="24"/>
          <w:lang w:eastAsia="en-GB"/>
        </w:rPr>
        <w:fldChar w:fldCharType="end"/>
      </w:r>
      <w:r w:rsidRPr="00F112BB">
        <w:rPr>
          <w:rFonts w:ascii="Arial" w:hAnsi="Arial" w:cs="Arial"/>
          <w:sz w:val="24"/>
          <w:szCs w:val="24"/>
        </w:rPr>
        <w:t xml:space="preserve"> </w:t>
      </w:r>
    </w:p>
    <w:p w14:paraId="5CC1267F" w14:textId="77777777" w:rsidR="00F112BB" w:rsidRPr="00F112BB" w:rsidRDefault="00F112BB" w:rsidP="00F112BB">
      <w:pPr>
        <w:spacing w:line="360" w:lineRule="auto"/>
        <w:jc w:val="both"/>
        <w:rPr>
          <w:rFonts w:ascii="Arial" w:hAnsi="Arial" w:cs="Arial"/>
          <w:sz w:val="24"/>
          <w:szCs w:val="24"/>
        </w:rPr>
      </w:pPr>
    </w:p>
    <w:p w14:paraId="6494D661" w14:textId="77777777" w:rsidR="00F112BB" w:rsidRPr="00F112BB" w:rsidRDefault="00F112BB" w:rsidP="00F112BB">
      <w:pPr>
        <w:spacing w:line="360" w:lineRule="auto"/>
        <w:jc w:val="both"/>
        <w:rPr>
          <w:rFonts w:ascii="Arial" w:hAnsi="Arial" w:cs="Arial"/>
          <w:sz w:val="24"/>
          <w:szCs w:val="24"/>
        </w:rPr>
      </w:pPr>
    </w:p>
    <w:sectPr w:rsidR="00F112BB" w:rsidRPr="00F112B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4A628" w14:textId="77777777" w:rsidR="00D623F3" w:rsidRDefault="00D623F3" w:rsidP="00AC25B8">
      <w:pPr>
        <w:spacing w:after="0" w:line="240" w:lineRule="auto"/>
      </w:pPr>
      <w:r>
        <w:separator/>
      </w:r>
    </w:p>
  </w:endnote>
  <w:endnote w:type="continuationSeparator" w:id="0">
    <w:p w14:paraId="52E0778B" w14:textId="77777777" w:rsidR="00D623F3" w:rsidRDefault="00D623F3" w:rsidP="00AC2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0FBF1" w14:textId="77777777" w:rsidR="00D623F3" w:rsidRDefault="00D623F3" w:rsidP="00AC25B8">
      <w:pPr>
        <w:spacing w:after="0" w:line="240" w:lineRule="auto"/>
      </w:pPr>
      <w:r>
        <w:separator/>
      </w:r>
    </w:p>
  </w:footnote>
  <w:footnote w:type="continuationSeparator" w:id="0">
    <w:p w14:paraId="40F256A0" w14:textId="77777777" w:rsidR="00D623F3" w:rsidRDefault="00D623F3" w:rsidP="00AC25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2BB"/>
    <w:rsid w:val="002250D4"/>
    <w:rsid w:val="00AC25B8"/>
    <w:rsid w:val="00CA5D9C"/>
    <w:rsid w:val="00D623F3"/>
    <w:rsid w:val="00F112B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4EAF0"/>
  <w15:chartTrackingRefBased/>
  <w15:docId w15:val="{5505696F-D26F-43A8-9535-915932C67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2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5B8"/>
  </w:style>
  <w:style w:type="paragraph" w:styleId="Footer">
    <w:name w:val="footer"/>
    <w:basedOn w:val="Normal"/>
    <w:link w:val="FooterChar"/>
    <w:uiPriority w:val="99"/>
    <w:unhideWhenUsed/>
    <w:rsid w:val="00AC2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5B8"/>
  </w:style>
  <w:style w:type="paragraph" w:styleId="TOC1">
    <w:name w:val="toc 1"/>
    <w:basedOn w:val="Normal"/>
    <w:next w:val="Normal"/>
    <w:autoRedefine/>
    <w:uiPriority w:val="39"/>
    <w:unhideWhenUsed/>
    <w:rsid w:val="00AC25B8"/>
    <w:pPr>
      <w:spacing w:after="100"/>
    </w:pPr>
  </w:style>
  <w:style w:type="character" w:styleId="Hyperlink">
    <w:name w:val="Hyperlink"/>
    <w:basedOn w:val="DefaultParagraphFont"/>
    <w:uiPriority w:val="99"/>
    <w:unhideWhenUsed/>
    <w:rsid w:val="00AC25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Family\Downloads\10.1016\s0261-5177(01)00034-6" TargetMode="External"/><Relationship Id="rId3" Type="http://schemas.openxmlformats.org/officeDocument/2006/relationships/webSettings" Target="webSettings.xml"/><Relationship Id="rId7" Type="http://schemas.openxmlformats.org/officeDocument/2006/relationships/hyperlink" Target="http://www.timesonline.co.uk/tol/comment/columnists/guest_contributors/article584043.ece%20last%20accessed%2010/11/201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epa.gov/ghgemissions/global-greenhouse-gas-emissions-data" TargetMode="External"/><Relationship Id="rId4" Type="http://schemas.openxmlformats.org/officeDocument/2006/relationships/footnotes" Target="footnotes.xml"/><Relationship Id="rId9" Type="http://schemas.openxmlformats.org/officeDocument/2006/relationships/hyperlink" Target="file:///C:\Users\Family\Downloads\10.1016\j.ijhm.2020.1027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2664</Words>
  <Characters>15187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dc:creator>
  <cp:keywords/>
  <dc:description/>
  <cp:lastModifiedBy>Family</cp:lastModifiedBy>
  <cp:revision>2</cp:revision>
  <dcterms:created xsi:type="dcterms:W3CDTF">2022-10-21T12:37:00Z</dcterms:created>
  <dcterms:modified xsi:type="dcterms:W3CDTF">2022-10-21T12:37:00Z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9612b539-95e9-4b72-beac-23ff3f49f363</vt:lpwstr>
  </property>
</Properties>
</file>