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615D42" w14:textId="465D2527" w:rsidR="00AF006F" w:rsidRPr="009E4B59" w:rsidRDefault="00AF006F" w:rsidP="00AF006F">
      <w:pPr>
        <w:spacing w:line="480" w:lineRule="auto"/>
        <w:jc w:val="center"/>
        <w:rPr>
          <w:rFonts w:ascii="Times New Roman" w:hAnsi="Times New Roman" w:cs="Times New Roman"/>
          <w:b/>
          <w:bCs/>
          <w:sz w:val="32"/>
          <w:szCs w:val="32"/>
          <w:u w:val="single"/>
        </w:rPr>
      </w:pPr>
      <w:r>
        <w:rPr>
          <w:rFonts w:ascii="Times New Roman" w:hAnsi="Times New Roman" w:cs="Times New Roman"/>
          <w:b/>
          <w:bCs/>
          <w:sz w:val="32"/>
          <w:szCs w:val="32"/>
          <w:u w:val="single"/>
        </w:rPr>
        <w:t>Essay</w:t>
      </w:r>
    </w:p>
    <w:p w14:paraId="2F436327" w14:textId="530593BA" w:rsidR="00AF006F" w:rsidRPr="009E4B59" w:rsidRDefault="00AF006F" w:rsidP="00AF006F">
      <w:pPr>
        <w:spacing w:line="480" w:lineRule="auto"/>
        <w:jc w:val="center"/>
        <w:rPr>
          <w:rFonts w:ascii="Times New Roman" w:hAnsi="Times New Roman" w:cs="Times New Roman"/>
          <w:sz w:val="32"/>
          <w:szCs w:val="32"/>
        </w:rPr>
      </w:pPr>
      <w:r w:rsidRPr="009E4B59">
        <w:rPr>
          <w:rFonts w:ascii="Times New Roman" w:hAnsi="Times New Roman" w:cs="Times New Roman"/>
          <w:sz w:val="32"/>
          <w:szCs w:val="32"/>
        </w:rPr>
        <w:t xml:space="preserve">Module: </w:t>
      </w:r>
      <w:r>
        <w:rPr>
          <w:rFonts w:ascii="Times New Roman" w:hAnsi="Times New Roman" w:cs="Times New Roman"/>
          <w:sz w:val="32"/>
          <w:szCs w:val="32"/>
        </w:rPr>
        <w:t>History of Counselling</w:t>
      </w:r>
    </w:p>
    <w:p w14:paraId="473F8F28" w14:textId="65FD481A" w:rsidR="00AF006F" w:rsidRPr="009E4B59" w:rsidRDefault="00AF006F" w:rsidP="00AF006F">
      <w:pPr>
        <w:spacing w:line="480" w:lineRule="auto"/>
        <w:jc w:val="center"/>
        <w:rPr>
          <w:rFonts w:ascii="Times New Roman" w:hAnsi="Times New Roman" w:cs="Times New Roman"/>
          <w:sz w:val="32"/>
          <w:szCs w:val="32"/>
        </w:rPr>
      </w:pPr>
      <w:r w:rsidRPr="009E4B59">
        <w:rPr>
          <w:rFonts w:ascii="Times New Roman" w:hAnsi="Times New Roman" w:cs="Times New Roman"/>
          <w:sz w:val="32"/>
          <w:szCs w:val="32"/>
        </w:rPr>
        <w:t xml:space="preserve">Assessor: </w:t>
      </w:r>
      <w:r>
        <w:rPr>
          <w:rFonts w:ascii="Times New Roman" w:hAnsi="Times New Roman" w:cs="Times New Roman"/>
          <w:sz w:val="32"/>
          <w:szCs w:val="32"/>
        </w:rPr>
        <w:t>Andrea Williams</w:t>
      </w:r>
    </w:p>
    <w:p w14:paraId="6C63D003" w14:textId="370D1BE5" w:rsidR="00AF006F" w:rsidRPr="009E4B59" w:rsidRDefault="00AF006F" w:rsidP="00AF006F">
      <w:pPr>
        <w:spacing w:line="480" w:lineRule="auto"/>
        <w:jc w:val="center"/>
        <w:rPr>
          <w:rFonts w:ascii="Times New Roman" w:hAnsi="Times New Roman" w:cs="Times New Roman"/>
          <w:sz w:val="32"/>
          <w:szCs w:val="32"/>
        </w:rPr>
      </w:pPr>
      <w:r w:rsidRPr="009E4B59">
        <w:rPr>
          <w:rFonts w:ascii="Times New Roman" w:hAnsi="Times New Roman" w:cs="Times New Roman"/>
          <w:sz w:val="32"/>
          <w:szCs w:val="32"/>
        </w:rPr>
        <w:t xml:space="preserve">Due Date: </w:t>
      </w:r>
      <w:r>
        <w:rPr>
          <w:rFonts w:ascii="Times New Roman" w:hAnsi="Times New Roman" w:cs="Times New Roman"/>
          <w:sz w:val="32"/>
          <w:szCs w:val="32"/>
        </w:rPr>
        <w:t>26</w:t>
      </w:r>
      <w:r w:rsidRPr="009E4B59">
        <w:rPr>
          <w:rFonts w:ascii="Times New Roman" w:hAnsi="Times New Roman" w:cs="Times New Roman"/>
          <w:sz w:val="32"/>
          <w:szCs w:val="32"/>
          <w:vertAlign w:val="superscript"/>
        </w:rPr>
        <w:t>th</w:t>
      </w:r>
      <w:r w:rsidRPr="009E4B59">
        <w:rPr>
          <w:rFonts w:ascii="Times New Roman" w:hAnsi="Times New Roman" w:cs="Times New Roman"/>
          <w:sz w:val="32"/>
          <w:szCs w:val="32"/>
        </w:rPr>
        <w:t xml:space="preserve"> November 2024</w:t>
      </w:r>
    </w:p>
    <w:p w14:paraId="624694D4" w14:textId="77777777" w:rsidR="00AF006F" w:rsidRDefault="00AF006F" w:rsidP="00AF006F">
      <w:pPr>
        <w:spacing w:line="480" w:lineRule="auto"/>
        <w:rPr>
          <w:rFonts w:ascii="Times New Roman" w:hAnsi="Times New Roman" w:cs="Times New Roman"/>
        </w:rPr>
      </w:pPr>
    </w:p>
    <w:p w14:paraId="4D3FBDCE" w14:textId="35760FC2" w:rsidR="00AF006F" w:rsidRDefault="00AF006F">
      <w:pPr>
        <w:rPr>
          <w:rFonts w:ascii="Times New Roman" w:hAnsi="Times New Roman" w:cs="Times New Roman"/>
        </w:rPr>
      </w:pPr>
      <w:r>
        <w:rPr>
          <w:rFonts w:ascii="Times New Roman" w:hAnsi="Times New Roman" w:cs="Times New Roman"/>
        </w:rPr>
        <w:br w:type="page"/>
      </w:r>
    </w:p>
    <w:p w14:paraId="218C6B40" w14:textId="77777777" w:rsidR="00AF006F" w:rsidRPr="009E4B59" w:rsidRDefault="00AF006F" w:rsidP="00AF006F">
      <w:pPr>
        <w:spacing w:line="480" w:lineRule="auto"/>
        <w:rPr>
          <w:rFonts w:ascii="Times New Roman" w:hAnsi="Times New Roman" w:cs="Times New Roman"/>
          <w:sz w:val="32"/>
          <w:szCs w:val="32"/>
        </w:rPr>
      </w:pPr>
      <w:r w:rsidRPr="009E4B59">
        <w:rPr>
          <w:rFonts w:ascii="Times New Roman" w:hAnsi="Times New Roman" w:cs="Times New Roman"/>
          <w:sz w:val="32"/>
          <w:szCs w:val="32"/>
        </w:rPr>
        <w:lastRenderedPageBreak/>
        <w:t>Content</w:t>
      </w:r>
    </w:p>
    <w:p w14:paraId="7116D990" w14:textId="2ACF4069" w:rsidR="00AF006F" w:rsidRDefault="00AF006F" w:rsidP="00AF006F">
      <w:pPr>
        <w:spacing w:line="480" w:lineRule="auto"/>
        <w:rPr>
          <w:rFonts w:ascii="Times New Roman" w:hAnsi="Times New Roman" w:cs="Times New Roman"/>
          <w:sz w:val="32"/>
          <w:szCs w:val="32"/>
        </w:rPr>
      </w:pPr>
      <w:r>
        <w:rPr>
          <w:rFonts w:ascii="Times New Roman" w:hAnsi="Times New Roman" w:cs="Times New Roman"/>
          <w:sz w:val="32"/>
          <w:szCs w:val="32"/>
        </w:rPr>
        <w:t>Pg 3: Use of AI</w:t>
      </w:r>
    </w:p>
    <w:p w14:paraId="22FB326B" w14:textId="0F5BD0DD" w:rsidR="00AF006F" w:rsidRPr="009E4B59" w:rsidRDefault="00AF006F" w:rsidP="00AF006F">
      <w:pPr>
        <w:spacing w:line="480" w:lineRule="auto"/>
        <w:rPr>
          <w:rFonts w:ascii="Times New Roman" w:hAnsi="Times New Roman" w:cs="Times New Roman"/>
          <w:sz w:val="32"/>
          <w:szCs w:val="32"/>
        </w:rPr>
      </w:pPr>
      <w:r w:rsidRPr="009E4B59">
        <w:rPr>
          <w:rFonts w:ascii="Times New Roman" w:hAnsi="Times New Roman" w:cs="Times New Roman"/>
          <w:sz w:val="32"/>
          <w:szCs w:val="32"/>
        </w:rPr>
        <w:t xml:space="preserve">Pg </w:t>
      </w:r>
      <w:r>
        <w:rPr>
          <w:rFonts w:ascii="Times New Roman" w:hAnsi="Times New Roman" w:cs="Times New Roman"/>
          <w:sz w:val="32"/>
          <w:szCs w:val="32"/>
        </w:rPr>
        <w:t>4</w:t>
      </w:r>
      <w:r w:rsidRPr="009E4B59">
        <w:rPr>
          <w:rFonts w:ascii="Times New Roman" w:hAnsi="Times New Roman" w:cs="Times New Roman"/>
          <w:sz w:val="32"/>
          <w:szCs w:val="32"/>
        </w:rPr>
        <w:t xml:space="preserve">: </w:t>
      </w:r>
      <w:r>
        <w:rPr>
          <w:rFonts w:ascii="Times New Roman" w:hAnsi="Times New Roman" w:cs="Times New Roman"/>
          <w:sz w:val="32"/>
          <w:szCs w:val="32"/>
        </w:rPr>
        <w:t>Essay title</w:t>
      </w:r>
    </w:p>
    <w:p w14:paraId="19CA073E" w14:textId="5027BFC0" w:rsidR="00AF006F" w:rsidRDefault="00AF006F" w:rsidP="00AF006F">
      <w:pPr>
        <w:spacing w:line="480" w:lineRule="auto"/>
        <w:rPr>
          <w:rFonts w:ascii="Times New Roman" w:hAnsi="Times New Roman" w:cs="Times New Roman"/>
          <w:sz w:val="32"/>
          <w:szCs w:val="32"/>
        </w:rPr>
      </w:pPr>
      <w:r w:rsidRPr="009E4B59">
        <w:rPr>
          <w:rFonts w:ascii="Times New Roman" w:hAnsi="Times New Roman" w:cs="Times New Roman"/>
          <w:sz w:val="32"/>
          <w:szCs w:val="32"/>
        </w:rPr>
        <w:t xml:space="preserve">Pg </w:t>
      </w:r>
      <w:r>
        <w:rPr>
          <w:rFonts w:ascii="Times New Roman" w:hAnsi="Times New Roman" w:cs="Times New Roman"/>
          <w:sz w:val="32"/>
          <w:szCs w:val="32"/>
        </w:rPr>
        <w:t>5</w:t>
      </w:r>
      <w:r w:rsidRPr="009E4B59">
        <w:rPr>
          <w:rFonts w:ascii="Times New Roman" w:hAnsi="Times New Roman" w:cs="Times New Roman"/>
          <w:sz w:val="32"/>
          <w:szCs w:val="32"/>
        </w:rPr>
        <w:t xml:space="preserve">: </w:t>
      </w:r>
      <w:r>
        <w:rPr>
          <w:rFonts w:ascii="Times New Roman" w:hAnsi="Times New Roman" w:cs="Times New Roman"/>
          <w:sz w:val="32"/>
          <w:szCs w:val="32"/>
        </w:rPr>
        <w:t>Essay</w:t>
      </w:r>
    </w:p>
    <w:p w14:paraId="31C8C8C7" w14:textId="72334892" w:rsidR="00AF006F" w:rsidRDefault="00AF006F" w:rsidP="00AF006F">
      <w:pPr>
        <w:spacing w:line="480" w:lineRule="auto"/>
        <w:rPr>
          <w:rFonts w:ascii="Times New Roman" w:hAnsi="Times New Roman" w:cs="Times New Roman"/>
          <w:sz w:val="32"/>
          <w:szCs w:val="32"/>
        </w:rPr>
      </w:pPr>
      <w:r>
        <w:rPr>
          <w:rFonts w:ascii="Times New Roman" w:hAnsi="Times New Roman" w:cs="Times New Roman"/>
          <w:sz w:val="32"/>
          <w:szCs w:val="32"/>
        </w:rPr>
        <w:t>Pg 9: References</w:t>
      </w:r>
    </w:p>
    <w:p w14:paraId="5890B3C1" w14:textId="77777777" w:rsidR="00AF006F" w:rsidRDefault="00AF006F" w:rsidP="00AF006F">
      <w:pPr>
        <w:spacing w:line="480" w:lineRule="auto"/>
        <w:rPr>
          <w:rFonts w:ascii="Times New Roman" w:hAnsi="Times New Roman" w:cs="Times New Roman"/>
          <w:sz w:val="32"/>
          <w:szCs w:val="32"/>
        </w:rPr>
      </w:pPr>
    </w:p>
    <w:p w14:paraId="17487F5A" w14:textId="77777777" w:rsidR="00AF006F" w:rsidRDefault="00AF006F" w:rsidP="00AF006F">
      <w:pPr>
        <w:spacing w:line="480" w:lineRule="auto"/>
        <w:rPr>
          <w:rFonts w:ascii="Times New Roman" w:hAnsi="Times New Roman" w:cs="Times New Roman"/>
          <w:sz w:val="32"/>
          <w:szCs w:val="32"/>
        </w:rPr>
      </w:pPr>
    </w:p>
    <w:p w14:paraId="64855ABE" w14:textId="77777777" w:rsidR="00AF006F" w:rsidRDefault="00AF006F" w:rsidP="00AF006F">
      <w:pPr>
        <w:spacing w:line="480" w:lineRule="auto"/>
        <w:rPr>
          <w:rFonts w:ascii="Times New Roman" w:hAnsi="Times New Roman" w:cs="Times New Roman"/>
          <w:sz w:val="32"/>
          <w:szCs w:val="32"/>
        </w:rPr>
      </w:pPr>
    </w:p>
    <w:p w14:paraId="239ECBA5" w14:textId="77777777" w:rsidR="00AF006F" w:rsidRDefault="00AF006F" w:rsidP="00AF006F">
      <w:pPr>
        <w:spacing w:line="480" w:lineRule="auto"/>
        <w:rPr>
          <w:rFonts w:ascii="Times New Roman" w:hAnsi="Times New Roman" w:cs="Times New Roman"/>
          <w:sz w:val="32"/>
          <w:szCs w:val="32"/>
        </w:rPr>
      </w:pPr>
    </w:p>
    <w:p w14:paraId="3304A1C7" w14:textId="77777777" w:rsidR="00AF006F" w:rsidRDefault="00AF006F" w:rsidP="00AF006F">
      <w:pPr>
        <w:spacing w:line="480" w:lineRule="auto"/>
        <w:rPr>
          <w:rFonts w:ascii="Times New Roman" w:hAnsi="Times New Roman" w:cs="Times New Roman"/>
          <w:sz w:val="32"/>
          <w:szCs w:val="32"/>
        </w:rPr>
      </w:pPr>
    </w:p>
    <w:p w14:paraId="6885846B" w14:textId="77777777" w:rsidR="00AF006F" w:rsidRDefault="00AF006F" w:rsidP="00AF006F">
      <w:pPr>
        <w:spacing w:line="480" w:lineRule="auto"/>
        <w:rPr>
          <w:rFonts w:ascii="Times New Roman" w:hAnsi="Times New Roman" w:cs="Times New Roman"/>
          <w:sz w:val="32"/>
          <w:szCs w:val="32"/>
        </w:rPr>
      </w:pPr>
    </w:p>
    <w:p w14:paraId="5E8349E4" w14:textId="77777777" w:rsidR="00AF006F" w:rsidRDefault="00AF006F" w:rsidP="00AF006F">
      <w:pPr>
        <w:spacing w:line="480" w:lineRule="auto"/>
        <w:rPr>
          <w:rFonts w:ascii="Times New Roman" w:hAnsi="Times New Roman" w:cs="Times New Roman"/>
          <w:sz w:val="32"/>
          <w:szCs w:val="32"/>
        </w:rPr>
      </w:pPr>
    </w:p>
    <w:p w14:paraId="0F676FD0" w14:textId="77777777" w:rsidR="00AF006F" w:rsidRDefault="00AF006F" w:rsidP="00AF006F">
      <w:pPr>
        <w:spacing w:line="480" w:lineRule="auto"/>
        <w:rPr>
          <w:rFonts w:ascii="Times New Roman" w:hAnsi="Times New Roman" w:cs="Times New Roman"/>
          <w:sz w:val="32"/>
          <w:szCs w:val="32"/>
        </w:rPr>
      </w:pPr>
    </w:p>
    <w:p w14:paraId="44556EE4" w14:textId="77777777" w:rsidR="00AF006F" w:rsidRDefault="00AF006F" w:rsidP="00AF006F">
      <w:pPr>
        <w:spacing w:line="480" w:lineRule="auto"/>
        <w:rPr>
          <w:rFonts w:ascii="Times New Roman" w:hAnsi="Times New Roman" w:cs="Times New Roman"/>
          <w:sz w:val="32"/>
          <w:szCs w:val="32"/>
        </w:rPr>
      </w:pPr>
    </w:p>
    <w:p w14:paraId="3F3F1943" w14:textId="77777777" w:rsidR="00AF006F" w:rsidRDefault="00AF006F" w:rsidP="00AF006F">
      <w:pPr>
        <w:spacing w:line="480" w:lineRule="auto"/>
        <w:rPr>
          <w:rFonts w:ascii="Times New Roman" w:hAnsi="Times New Roman" w:cs="Times New Roman"/>
          <w:sz w:val="32"/>
          <w:szCs w:val="32"/>
        </w:rPr>
      </w:pPr>
    </w:p>
    <w:p w14:paraId="3C33B748" w14:textId="5CA1ED6D" w:rsidR="00AF006F" w:rsidRDefault="00AF006F" w:rsidP="00AF006F">
      <w:pPr>
        <w:spacing w:line="480" w:lineRule="auto"/>
        <w:rPr>
          <w:rFonts w:ascii="Times New Roman" w:hAnsi="Times New Roman" w:cs="Times New Roman"/>
          <w:sz w:val="32"/>
          <w:szCs w:val="32"/>
        </w:rPr>
      </w:pPr>
    </w:p>
    <w:p w14:paraId="216CC3AE" w14:textId="77777777" w:rsidR="00AF006F" w:rsidRDefault="00AF006F">
      <w:pPr>
        <w:rPr>
          <w:rFonts w:ascii="Times New Roman" w:hAnsi="Times New Roman" w:cs="Times New Roman"/>
          <w:sz w:val="32"/>
          <w:szCs w:val="32"/>
        </w:rPr>
      </w:pPr>
      <w:r>
        <w:rPr>
          <w:rFonts w:ascii="Times New Roman" w:hAnsi="Times New Roman" w:cs="Times New Roman"/>
          <w:sz w:val="32"/>
          <w:szCs w:val="32"/>
        </w:rPr>
        <w:lastRenderedPageBreak/>
        <w:t>Use of AI</w:t>
      </w:r>
    </w:p>
    <w:p w14:paraId="4B1E50AE" w14:textId="644DDCD1" w:rsidR="00AF006F" w:rsidRDefault="00AF006F">
      <w:pPr>
        <w:rPr>
          <w:rFonts w:ascii="Times New Roman" w:hAnsi="Times New Roman" w:cs="Times New Roman"/>
          <w:sz w:val="32"/>
          <w:szCs w:val="32"/>
        </w:rPr>
      </w:pPr>
      <w:r>
        <w:rPr>
          <w:rFonts w:ascii="Times New Roman" w:hAnsi="Times New Roman" w:cs="Times New Roman"/>
        </w:rPr>
        <w:t>This page is to declare that I have used no format of Artificial Intelligence (AI) to conduct any research, writing, or academic work of any kind.</w:t>
      </w:r>
      <w:r>
        <w:rPr>
          <w:rFonts w:ascii="Times New Roman" w:hAnsi="Times New Roman" w:cs="Times New Roman"/>
          <w:sz w:val="32"/>
          <w:szCs w:val="32"/>
        </w:rPr>
        <w:br w:type="page"/>
      </w:r>
    </w:p>
    <w:p w14:paraId="01330316" w14:textId="5F512B15" w:rsidR="00AF006F" w:rsidRPr="00AF006F" w:rsidRDefault="00AF006F" w:rsidP="00AF006F">
      <w:pPr>
        <w:jc w:val="center"/>
        <w:rPr>
          <w:rFonts w:ascii="Times New Roman" w:hAnsi="Times New Roman" w:cs="Times New Roman"/>
          <w:b/>
          <w:bCs/>
          <w:sz w:val="28"/>
          <w:szCs w:val="28"/>
        </w:rPr>
      </w:pPr>
      <w:r w:rsidRPr="00AF006F">
        <w:rPr>
          <w:rFonts w:ascii="Times New Roman" w:hAnsi="Times New Roman" w:cs="Times New Roman"/>
          <w:b/>
          <w:bCs/>
          <w:sz w:val="28"/>
          <w:szCs w:val="28"/>
        </w:rPr>
        <w:lastRenderedPageBreak/>
        <w:t>Consider the expansion of asylums during the eighteenth and nineteenth centuries and discuss why so many people were committed during this period.</w:t>
      </w:r>
    </w:p>
    <w:p w14:paraId="0D4761A4" w14:textId="1D0A1678" w:rsidR="00AF006F" w:rsidRDefault="00AF006F">
      <w:pPr>
        <w:rPr>
          <w:rFonts w:ascii="Times New Roman" w:hAnsi="Times New Roman" w:cs="Times New Roman"/>
        </w:rPr>
      </w:pPr>
    </w:p>
    <w:p w14:paraId="69B73B97" w14:textId="77777777" w:rsidR="00AF006F" w:rsidRDefault="00AF006F">
      <w:pPr>
        <w:rPr>
          <w:rFonts w:ascii="Times New Roman" w:hAnsi="Times New Roman" w:cs="Times New Roman"/>
        </w:rPr>
      </w:pPr>
    </w:p>
    <w:p w14:paraId="14B876C9" w14:textId="77777777" w:rsidR="00AF006F" w:rsidRDefault="00AF006F">
      <w:pPr>
        <w:rPr>
          <w:rFonts w:ascii="Times New Roman" w:hAnsi="Times New Roman" w:cs="Times New Roman"/>
        </w:rPr>
      </w:pPr>
    </w:p>
    <w:p w14:paraId="54CC72CA" w14:textId="77777777" w:rsidR="00AF006F" w:rsidRDefault="00AF006F">
      <w:pPr>
        <w:rPr>
          <w:rFonts w:ascii="Times New Roman" w:hAnsi="Times New Roman" w:cs="Times New Roman"/>
        </w:rPr>
      </w:pPr>
    </w:p>
    <w:p w14:paraId="7245AA2C" w14:textId="77777777" w:rsidR="00AF006F" w:rsidRDefault="00AF006F">
      <w:pPr>
        <w:rPr>
          <w:rFonts w:ascii="Times New Roman" w:hAnsi="Times New Roman" w:cs="Times New Roman"/>
        </w:rPr>
      </w:pPr>
    </w:p>
    <w:p w14:paraId="52E62400" w14:textId="77777777" w:rsidR="00AF006F" w:rsidRDefault="00AF006F">
      <w:pPr>
        <w:rPr>
          <w:rFonts w:ascii="Times New Roman" w:hAnsi="Times New Roman" w:cs="Times New Roman"/>
        </w:rPr>
      </w:pPr>
    </w:p>
    <w:p w14:paraId="32AA5EE6" w14:textId="77777777" w:rsidR="00AF006F" w:rsidRDefault="00AF006F">
      <w:pPr>
        <w:rPr>
          <w:rFonts w:ascii="Times New Roman" w:hAnsi="Times New Roman" w:cs="Times New Roman"/>
        </w:rPr>
      </w:pPr>
    </w:p>
    <w:p w14:paraId="31233EE2" w14:textId="77777777" w:rsidR="00AF006F" w:rsidRDefault="00AF006F">
      <w:pPr>
        <w:rPr>
          <w:rFonts w:ascii="Times New Roman" w:hAnsi="Times New Roman" w:cs="Times New Roman"/>
        </w:rPr>
      </w:pPr>
    </w:p>
    <w:p w14:paraId="4512E03E" w14:textId="77777777" w:rsidR="00AF006F" w:rsidRDefault="00AF006F">
      <w:pPr>
        <w:rPr>
          <w:rFonts w:ascii="Times New Roman" w:hAnsi="Times New Roman" w:cs="Times New Roman"/>
        </w:rPr>
      </w:pPr>
    </w:p>
    <w:p w14:paraId="04AA4CBD" w14:textId="77777777" w:rsidR="00AF006F" w:rsidRDefault="00AF006F">
      <w:pPr>
        <w:rPr>
          <w:rFonts w:ascii="Times New Roman" w:hAnsi="Times New Roman" w:cs="Times New Roman"/>
        </w:rPr>
      </w:pPr>
    </w:p>
    <w:p w14:paraId="298C234B" w14:textId="77777777" w:rsidR="00AF006F" w:rsidRDefault="00AF006F">
      <w:pPr>
        <w:rPr>
          <w:rFonts w:ascii="Times New Roman" w:hAnsi="Times New Roman" w:cs="Times New Roman"/>
        </w:rPr>
      </w:pPr>
    </w:p>
    <w:p w14:paraId="34D8C91B" w14:textId="77777777" w:rsidR="00AF006F" w:rsidRDefault="00AF006F">
      <w:pPr>
        <w:rPr>
          <w:rFonts w:ascii="Times New Roman" w:hAnsi="Times New Roman" w:cs="Times New Roman"/>
        </w:rPr>
      </w:pPr>
    </w:p>
    <w:p w14:paraId="7181CDB6" w14:textId="77777777" w:rsidR="00AF006F" w:rsidRDefault="00AF006F">
      <w:pPr>
        <w:rPr>
          <w:rFonts w:ascii="Times New Roman" w:hAnsi="Times New Roman" w:cs="Times New Roman"/>
        </w:rPr>
      </w:pPr>
    </w:p>
    <w:p w14:paraId="59DFF8D8" w14:textId="77777777" w:rsidR="00AF006F" w:rsidRDefault="00AF006F">
      <w:pPr>
        <w:rPr>
          <w:rFonts w:ascii="Times New Roman" w:hAnsi="Times New Roman" w:cs="Times New Roman"/>
        </w:rPr>
      </w:pPr>
    </w:p>
    <w:p w14:paraId="26543B04" w14:textId="77777777" w:rsidR="00AF006F" w:rsidRDefault="00AF006F">
      <w:pPr>
        <w:rPr>
          <w:rFonts w:ascii="Times New Roman" w:hAnsi="Times New Roman" w:cs="Times New Roman"/>
        </w:rPr>
      </w:pPr>
    </w:p>
    <w:p w14:paraId="3876B18F" w14:textId="77777777" w:rsidR="00AF006F" w:rsidRDefault="00AF006F">
      <w:pPr>
        <w:rPr>
          <w:rFonts w:ascii="Times New Roman" w:hAnsi="Times New Roman" w:cs="Times New Roman"/>
        </w:rPr>
      </w:pPr>
    </w:p>
    <w:p w14:paraId="102110EA" w14:textId="77777777" w:rsidR="00AF006F" w:rsidRDefault="00AF006F">
      <w:pPr>
        <w:rPr>
          <w:rFonts w:ascii="Times New Roman" w:hAnsi="Times New Roman" w:cs="Times New Roman"/>
        </w:rPr>
      </w:pPr>
    </w:p>
    <w:p w14:paraId="16290148" w14:textId="77777777" w:rsidR="00AF006F" w:rsidRDefault="00AF006F">
      <w:pPr>
        <w:rPr>
          <w:rFonts w:ascii="Times New Roman" w:hAnsi="Times New Roman" w:cs="Times New Roman"/>
        </w:rPr>
      </w:pPr>
    </w:p>
    <w:p w14:paraId="5B01E0D3" w14:textId="77777777" w:rsidR="00AF006F" w:rsidRDefault="00AF006F">
      <w:pPr>
        <w:rPr>
          <w:rFonts w:ascii="Times New Roman" w:hAnsi="Times New Roman" w:cs="Times New Roman"/>
        </w:rPr>
      </w:pPr>
    </w:p>
    <w:p w14:paraId="0A8B8FFA" w14:textId="20243528" w:rsidR="00AF006F" w:rsidRDefault="00AF006F">
      <w:pPr>
        <w:rPr>
          <w:rFonts w:ascii="Times New Roman" w:hAnsi="Times New Roman" w:cs="Times New Roman"/>
        </w:rPr>
      </w:pPr>
    </w:p>
    <w:p w14:paraId="2817F8EE" w14:textId="77777777" w:rsidR="00AF006F" w:rsidRDefault="00AF006F">
      <w:pPr>
        <w:rPr>
          <w:rFonts w:ascii="Times New Roman" w:hAnsi="Times New Roman" w:cs="Times New Roman"/>
        </w:rPr>
      </w:pPr>
      <w:r>
        <w:rPr>
          <w:rFonts w:ascii="Times New Roman" w:hAnsi="Times New Roman" w:cs="Times New Roman"/>
        </w:rPr>
        <w:br w:type="page"/>
      </w:r>
    </w:p>
    <w:p w14:paraId="49060CFB" w14:textId="2BE01AE8" w:rsidR="00AF006F" w:rsidRPr="00AF006F" w:rsidRDefault="00AF006F" w:rsidP="00AF006F">
      <w:pPr>
        <w:spacing w:line="480" w:lineRule="auto"/>
        <w:rPr>
          <w:rFonts w:ascii="Times New Roman" w:hAnsi="Times New Roman" w:cs="Times New Roman"/>
        </w:rPr>
      </w:pPr>
      <w:r>
        <w:rPr>
          <w:rFonts w:ascii="Times New Roman" w:hAnsi="Times New Roman" w:cs="Times New Roman"/>
        </w:rPr>
        <w:lastRenderedPageBreak/>
        <w:t>This essay will highlight the cultural significance of the Madhouses, which would later be regarded to asylums, originating in the 17</w:t>
      </w:r>
      <w:r w:rsidRPr="00CA1302">
        <w:rPr>
          <w:rFonts w:ascii="Times New Roman" w:hAnsi="Times New Roman" w:cs="Times New Roman"/>
          <w:vertAlign w:val="superscript"/>
        </w:rPr>
        <w:t>th</w:t>
      </w:r>
      <w:r>
        <w:rPr>
          <w:rFonts w:ascii="Times New Roman" w:hAnsi="Times New Roman" w:cs="Times New Roman"/>
        </w:rPr>
        <w:t xml:space="preserve"> century, but also its impact on modern perception of asylums today. From the inception of madhouses back in the 1600s, they were considered a sanctuary for paupers, sick (mentally and physically), and homeless. With lack of investment and regulations in its infant stages, these madhouses were home to horrific treatment of human beings. Over time, we will see the implications of this and how the asylums came from a place of solitary confinement to a place of healing and rehabilitation </w:t>
      </w:r>
      <w:proofErr w:type="gramStart"/>
      <w:r>
        <w:rPr>
          <w:rFonts w:ascii="Times New Roman" w:hAnsi="Times New Roman" w:cs="Times New Roman"/>
        </w:rPr>
        <w:t>through the use of</w:t>
      </w:r>
      <w:proofErr w:type="gramEnd"/>
      <w:r>
        <w:rPr>
          <w:rFonts w:ascii="Times New Roman" w:hAnsi="Times New Roman" w:cs="Times New Roman"/>
        </w:rPr>
        <w:t xml:space="preserve"> experimental treatment and understanding of brain anatomy.</w:t>
      </w:r>
    </w:p>
    <w:p w14:paraId="082CDA72" w14:textId="77777777" w:rsidR="00AF006F" w:rsidRDefault="00AF006F" w:rsidP="00AF006F">
      <w:pPr>
        <w:spacing w:line="480" w:lineRule="auto"/>
        <w:rPr>
          <w:rFonts w:ascii="Times New Roman" w:hAnsi="Times New Roman" w:cs="Times New Roman"/>
        </w:rPr>
      </w:pPr>
      <w:r>
        <w:rPr>
          <w:rFonts w:ascii="Times New Roman" w:hAnsi="Times New Roman" w:cs="Times New Roman"/>
        </w:rPr>
        <w:t>To understand how the asylum movement came to be known as what it is in the 18</w:t>
      </w:r>
      <w:r w:rsidRPr="008156EA">
        <w:rPr>
          <w:rFonts w:ascii="Times New Roman" w:hAnsi="Times New Roman" w:cs="Times New Roman"/>
          <w:vertAlign w:val="superscript"/>
        </w:rPr>
        <w:t>th</w:t>
      </w:r>
      <w:r>
        <w:rPr>
          <w:rFonts w:ascii="Times New Roman" w:hAnsi="Times New Roman" w:cs="Times New Roman"/>
        </w:rPr>
        <w:t>/ 19</w:t>
      </w:r>
      <w:r w:rsidRPr="008156EA">
        <w:rPr>
          <w:rFonts w:ascii="Times New Roman" w:hAnsi="Times New Roman" w:cs="Times New Roman"/>
          <w:vertAlign w:val="superscript"/>
        </w:rPr>
        <w:t>th</w:t>
      </w:r>
      <w:r>
        <w:rPr>
          <w:rFonts w:ascii="Times New Roman" w:hAnsi="Times New Roman" w:cs="Times New Roman"/>
        </w:rPr>
        <w:t xml:space="preserve"> century, we must go back to the 17</w:t>
      </w:r>
      <w:r w:rsidRPr="008156EA">
        <w:rPr>
          <w:rFonts w:ascii="Times New Roman" w:hAnsi="Times New Roman" w:cs="Times New Roman"/>
          <w:vertAlign w:val="superscript"/>
        </w:rPr>
        <w:t>th</w:t>
      </w:r>
      <w:r>
        <w:rPr>
          <w:rFonts w:ascii="Times New Roman" w:hAnsi="Times New Roman" w:cs="Times New Roman"/>
        </w:rPr>
        <w:t xml:space="preserve"> century to truly know where it all came from. The mid-1600s were a difficult time for citizens of England. There were the aftereffects of ‘The Civil War’ (1640 – 1652) which resulted in the destruction of housing, injuries and deaths, with the reports that the death total was close to 200,00. Not only from combat, but from poor healthcare (Mortlock, S. 2017). The mass expenditure on weaponry, farming, and resources would result in an economic collapse with 40% of the population moving to an urban area searching for work and a new life (</w:t>
      </w:r>
      <w:r w:rsidRPr="00706915">
        <w:rPr>
          <w:rFonts w:ascii="Times New Roman" w:hAnsi="Times New Roman" w:cs="Times New Roman"/>
        </w:rPr>
        <w:t>C. G. A. Clay</w:t>
      </w:r>
      <w:r>
        <w:rPr>
          <w:rFonts w:ascii="Times New Roman" w:hAnsi="Times New Roman" w:cs="Times New Roman"/>
        </w:rPr>
        <w:t xml:space="preserve">. 1984. Cited by Lake, P., Pincus, S. 2006). This shift in urbanisation led to a widespread of diseases and poverty in built up areas. In addition to the end of ‘The Civil War,’ ‘The Great Plague’ was at its most futile in 1665, which of course encountered more death and illness Daniel Defoe (1704). recounted in his work a bill of mortality highlighting that 7,165 people had died within a week in September 1665 (Slack, P. 2022). This was followed by The Great Fire of London (1666), although nobody was killed during those fires, the rate of homelessness became astronomical. With everything considered, is this enough to make anybody go “mad?” </w:t>
      </w:r>
    </w:p>
    <w:p w14:paraId="3BC4F20D" w14:textId="77777777" w:rsidR="00AF006F" w:rsidRDefault="00AF006F" w:rsidP="00AF006F">
      <w:pPr>
        <w:spacing w:line="480" w:lineRule="auto"/>
        <w:rPr>
          <w:rFonts w:ascii="Times New Roman" w:hAnsi="Times New Roman" w:cs="Times New Roman"/>
        </w:rPr>
      </w:pPr>
      <w:r>
        <w:rPr>
          <w:rFonts w:ascii="Times New Roman" w:hAnsi="Times New Roman" w:cs="Times New Roman"/>
        </w:rPr>
        <w:t xml:space="preserve">Paupers would turn to Saint Mary of Bethlehem Hospital and other institutions of the like to seek care, which is better referred to as “The Great Confinement.” Bethlehem Hospital (known more commonly as ‘Bedlam’ and will be referred to as this) became a key establishment as England’s first hospital designed for the care of the mentally ill and sick paupers in 1247. Overtime, the mentally ill become the key inhibitors of the hospital. During which, the Poor Law Act of 1601 came into play to </w:t>
      </w:r>
      <w:r>
        <w:rPr>
          <w:rFonts w:ascii="Times New Roman" w:hAnsi="Times New Roman" w:cs="Times New Roman"/>
        </w:rPr>
        <w:lastRenderedPageBreak/>
        <w:t>acknowledge those who were unemployed and seeking treatment. This initial benefit scheme, that involved the responsibility of churchwardens to look after these “paupers” seeking aid, would grow concerns of the expenditure on treatment raining close to £1 million. Costs were cut by sentencing the paupers to Bedlam hospital, or the workhouses (Coombs, H M., &amp; Edwards, J R. 1990). Overcrowding of Bedlam Hospital was now prominent as the Poor Law Act would have no distinction between those who were “old, sick poor, and mentally disordered” (Natali, I. 2016). Another implication for the rise of numbers within the madhouses was the diagnosis of Melancholy being classed as a form of madness. In 18</w:t>
      </w:r>
      <w:r w:rsidRPr="00A378A7">
        <w:rPr>
          <w:rFonts w:ascii="Times New Roman" w:hAnsi="Times New Roman" w:cs="Times New Roman"/>
          <w:vertAlign w:val="superscript"/>
        </w:rPr>
        <w:t>th</w:t>
      </w:r>
      <w:r>
        <w:rPr>
          <w:rFonts w:ascii="Times New Roman" w:hAnsi="Times New Roman" w:cs="Times New Roman"/>
        </w:rPr>
        <w:t xml:space="preserve"> century, melancholy (Which is now more commonly referred to as depression) was described as an apparent sadness without obvious cause (</w:t>
      </w:r>
      <w:r w:rsidRPr="00176E18">
        <w:rPr>
          <w:rFonts w:ascii="Times New Roman" w:hAnsi="Times New Roman" w:cs="Times New Roman"/>
        </w:rPr>
        <w:t>Boerhaav</w:t>
      </w:r>
      <w:r>
        <w:rPr>
          <w:rFonts w:ascii="Times New Roman" w:hAnsi="Times New Roman" w:cs="Times New Roman"/>
        </w:rPr>
        <w:t xml:space="preserve">e. 1735. cited by Jackson, S. 1983). </w:t>
      </w:r>
      <w:proofErr w:type="spellStart"/>
      <w:r>
        <w:rPr>
          <w:rFonts w:ascii="Times New Roman" w:hAnsi="Times New Roman" w:cs="Times New Roman"/>
        </w:rPr>
        <w:t>Boehavve</w:t>
      </w:r>
      <w:proofErr w:type="spellEnd"/>
      <w:r>
        <w:rPr>
          <w:rFonts w:ascii="Times New Roman" w:hAnsi="Times New Roman" w:cs="Times New Roman"/>
        </w:rPr>
        <w:t xml:space="preserve"> (1735) also highlights that melancholy can be linked to the four </w:t>
      </w:r>
      <w:proofErr w:type="spellStart"/>
      <w:r>
        <w:rPr>
          <w:rFonts w:ascii="Times New Roman" w:hAnsi="Times New Roman" w:cs="Times New Roman"/>
        </w:rPr>
        <w:t>humors</w:t>
      </w:r>
      <w:proofErr w:type="spellEnd"/>
      <w:r>
        <w:rPr>
          <w:rFonts w:ascii="Times New Roman" w:hAnsi="Times New Roman" w:cs="Times New Roman"/>
        </w:rPr>
        <w:t xml:space="preserve"> which claims an imbalance of fluids within our body that can cause serious distress and illness. Most notable how the blood would become incredibly dense resulting in blockages within the bloodstream. King George III, a notable figure in British culture, became the scapegoat for the huge influx of admissions to a private asylum after many documentations and press related to his own mental illness and confinement in 1789. The admiration for their king encouraged the citizens to reflect on their own mental wellbeing. With the King showing these signs of “weakness,” does this allow permission of citizens to feel the same way? (Rovang, D. 2006). With an increase in patients within the madhouse, and high demand for new facilities to be built across Great Britain, the Poor Law Act became obsolete and needed a change to accommodate the rising cases. Natalia (2016) would reference that ‘The Madhouse Act of 1774’ was introduced to bring regulations and structure to the asylums as mental illness was now seen as a social issue. These regulations would include medical records, reports, and inspections on the conditions within the four walls of the asylums. This was a big first step to how asylums are presented today. However, not all asylums would follow these regulations. Which may have been due in the influx of those being committed.</w:t>
      </w:r>
    </w:p>
    <w:p w14:paraId="0D869DC4" w14:textId="77777777" w:rsidR="00AF006F" w:rsidRDefault="00AF006F" w:rsidP="00AF006F">
      <w:pPr>
        <w:spacing w:line="480" w:lineRule="auto"/>
        <w:rPr>
          <w:rFonts w:ascii="Times New Roman" w:hAnsi="Times New Roman" w:cs="Times New Roman"/>
        </w:rPr>
      </w:pPr>
      <w:r>
        <w:rPr>
          <w:rFonts w:ascii="Times New Roman" w:hAnsi="Times New Roman" w:cs="Times New Roman"/>
        </w:rPr>
        <w:t xml:space="preserve">With the ever-growing number of those commissioned for mental treatment, asylums were growing exponentially and with the rising number of inhabitants, conditions were on a decline. One witness would describe a lunatic ward in Devon as “almost suffocated” in reference to the smell and another </w:t>
      </w:r>
      <w:r>
        <w:rPr>
          <w:rFonts w:ascii="Times New Roman" w:hAnsi="Times New Roman" w:cs="Times New Roman"/>
        </w:rPr>
        <w:lastRenderedPageBreak/>
        <w:t>at York Asylum suggested he vomited at the sight of 13 women in one small cell (Scull, 2015). Records of treatment within the asylums have varied through time and places, with some asylums adopting specific treatment methods for their patients. However, all these accounts have led us to consider that these treatments fall under once specific adjective we would consider today, Barbaric. Restraints, beatings, and starvation were just the basic method of treatment in effort to inflict pain to release the demons that have occupied a patient’s mind. Methods would become a lot more elaborate with the introduction to “The Swinging Chair” devised by Erasmus Darwin to invoke physical and emotional despair. This method would inflict physical distress for the body to react causing nausea and sickness to allow the sickness to pass through the mind (Scull, 2015).</w:t>
      </w:r>
    </w:p>
    <w:p w14:paraId="005F0ECC" w14:textId="77777777" w:rsidR="00AF006F" w:rsidRDefault="00AF006F" w:rsidP="00AF006F">
      <w:pPr>
        <w:spacing w:line="480" w:lineRule="auto"/>
        <w:rPr>
          <w:rFonts w:ascii="Times New Roman" w:hAnsi="Times New Roman" w:cs="Times New Roman"/>
        </w:rPr>
      </w:pPr>
      <w:r>
        <w:rPr>
          <w:rFonts w:ascii="Times New Roman" w:hAnsi="Times New Roman" w:cs="Times New Roman"/>
        </w:rPr>
        <w:t>By the turn of the 19</w:t>
      </w:r>
      <w:r w:rsidRPr="009A1197">
        <w:rPr>
          <w:rFonts w:ascii="Times New Roman" w:hAnsi="Times New Roman" w:cs="Times New Roman"/>
          <w:vertAlign w:val="superscript"/>
        </w:rPr>
        <w:t>th</w:t>
      </w:r>
      <w:r>
        <w:rPr>
          <w:rFonts w:ascii="Times New Roman" w:hAnsi="Times New Roman" w:cs="Times New Roman"/>
        </w:rPr>
        <w:t xml:space="preserve"> century, overcrowding in the asylums was a pronounced issue as the preconception of an asylum was a sanctuary for the poor, there was no distinguishment for those who truly had mental incapacities. It was at this point that those who </w:t>
      </w:r>
      <w:proofErr w:type="gramStart"/>
      <w:r>
        <w:rPr>
          <w:rFonts w:ascii="Times New Roman" w:hAnsi="Times New Roman" w:cs="Times New Roman"/>
        </w:rPr>
        <w:t>were considered to be</w:t>
      </w:r>
      <w:proofErr w:type="gramEnd"/>
      <w:r>
        <w:rPr>
          <w:rFonts w:ascii="Times New Roman" w:hAnsi="Times New Roman" w:cs="Times New Roman"/>
        </w:rPr>
        <w:t xml:space="preserve"> a danger to themselves, and to others, and those who were a menace to society, would stay at the asylum for “treatment,” whereas those others were sent to workhouses to function in the industrial revolution (Hitchcock, T. 2017). With the apparent decrease of inhabitants within the asylums, focus can be put on the treatment of the mentally impaired.</w:t>
      </w:r>
    </w:p>
    <w:p w14:paraId="59C74A20" w14:textId="77777777" w:rsidR="00AF006F" w:rsidRDefault="00AF006F" w:rsidP="00AF006F">
      <w:pPr>
        <w:spacing w:line="480" w:lineRule="auto"/>
        <w:rPr>
          <w:rFonts w:ascii="Times New Roman" w:hAnsi="Times New Roman" w:cs="Times New Roman"/>
        </w:rPr>
      </w:pPr>
      <w:proofErr w:type="gramStart"/>
      <w:r>
        <w:rPr>
          <w:rFonts w:ascii="Times New Roman" w:hAnsi="Times New Roman" w:cs="Times New Roman"/>
        </w:rPr>
        <w:t>William Tuke (1732-1822),</w:t>
      </w:r>
      <w:proofErr w:type="gramEnd"/>
      <w:r>
        <w:rPr>
          <w:rFonts w:ascii="Times New Roman" w:hAnsi="Times New Roman" w:cs="Times New Roman"/>
        </w:rPr>
        <w:t xml:space="preserve"> considered the “founder of the modern mental asylum” took the initiative to seek change in the treatment of the mentally impaired after witnessing firsthand the conditions these patients went through. Tuke would categorise these patients at ‘The Retreat of York’ and allow social interactions </w:t>
      </w:r>
      <w:proofErr w:type="gramStart"/>
      <w:r>
        <w:rPr>
          <w:rFonts w:ascii="Times New Roman" w:hAnsi="Times New Roman" w:cs="Times New Roman"/>
        </w:rPr>
        <w:t>in order to</w:t>
      </w:r>
      <w:proofErr w:type="gramEnd"/>
      <w:r>
        <w:rPr>
          <w:rFonts w:ascii="Times New Roman" w:hAnsi="Times New Roman" w:cs="Times New Roman"/>
        </w:rPr>
        <w:t xml:space="preserve"> help reconnect with their own mental capabilities. A healthy and comfortable environment was formed for these patients, including support groups, academic research in the grand library entrance, and finding places of worship (Kibria, A </w:t>
      </w:r>
      <w:proofErr w:type="spellStart"/>
      <w:r>
        <w:rPr>
          <w:rFonts w:ascii="Times New Roman" w:hAnsi="Times New Roman" w:cs="Times New Roman"/>
        </w:rPr>
        <w:t>A</w:t>
      </w:r>
      <w:proofErr w:type="spellEnd"/>
      <w:r>
        <w:rPr>
          <w:rFonts w:ascii="Times New Roman" w:hAnsi="Times New Roman" w:cs="Times New Roman"/>
        </w:rPr>
        <w:t xml:space="preserve"> &amp; Metcalf, N., 2014).</w:t>
      </w:r>
    </w:p>
    <w:p w14:paraId="4D73994C" w14:textId="77777777" w:rsidR="00AF006F" w:rsidRDefault="00AF006F" w:rsidP="00AF006F">
      <w:pPr>
        <w:spacing w:line="480" w:lineRule="auto"/>
        <w:rPr>
          <w:rFonts w:ascii="Times New Roman" w:hAnsi="Times New Roman" w:cs="Times New Roman"/>
        </w:rPr>
      </w:pPr>
      <w:r>
        <w:rPr>
          <w:rFonts w:ascii="Times New Roman" w:hAnsi="Times New Roman" w:cs="Times New Roman"/>
        </w:rPr>
        <w:t>As we enter the 19</w:t>
      </w:r>
      <w:r w:rsidRPr="00387EB4">
        <w:rPr>
          <w:rFonts w:ascii="Times New Roman" w:hAnsi="Times New Roman" w:cs="Times New Roman"/>
          <w:vertAlign w:val="superscript"/>
        </w:rPr>
        <w:t>th</w:t>
      </w:r>
      <w:r>
        <w:rPr>
          <w:rFonts w:ascii="Times New Roman" w:hAnsi="Times New Roman" w:cs="Times New Roman"/>
        </w:rPr>
        <w:t xml:space="preserve"> century, research within the asylums was conducted with the increase into the study of the brain and nervous system to gain a better understanding of how and why citizens would turn to madness. The transition from humoral approaches of mental illness from Hippocrates to a more scientific discovery of the nerves and brain anatomy was starting. Studies had been conducted looking at the thalamus within patients to discover that there was damage caused by tumours which </w:t>
      </w:r>
      <w:r>
        <w:rPr>
          <w:rFonts w:ascii="Times New Roman" w:hAnsi="Times New Roman" w:cs="Times New Roman"/>
        </w:rPr>
        <w:lastRenderedPageBreak/>
        <w:t xml:space="preserve">greatly affected Vaso motor functions (Dawson, W R. 1899). This is key evidence on the changes of times in the asylums and how some doctors within the institutions worked to improve the livelihood and quality of life for those that were committed. </w:t>
      </w:r>
    </w:p>
    <w:p w14:paraId="66CCE182" w14:textId="77777777" w:rsidR="00AF006F" w:rsidRDefault="00AF006F" w:rsidP="00AF006F">
      <w:pPr>
        <w:spacing w:line="480" w:lineRule="auto"/>
        <w:rPr>
          <w:rFonts w:ascii="Times New Roman" w:hAnsi="Times New Roman" w:cs="Times New Roman"/>
        </w:rPr>
      </w:pPr>
      <w:r>
        <w:rPr>
          <w:rFonts w:ascii="Times New Roman" w:hAnsi="Times New Roman" w:cs="Times New Roman"/>
        </w:rPr>
        <w:t>To conclude this essay, it is important to factor that this was a time of great poverty, famine and limited knowledge into mental health issues. To accommodate the rising rate of the sick, confinements were built to keep any undesirables away from the public eye. It was not until King George III’s own mental issues became apparent that the restructure of these asylums would commence and the research into brain anatomy would become prominent. By being able to distinguish between those with true mental defects, procedures were put in place to rehabilitate the right people, the admission rate into the asylums would ultimately decline and those searching for refuge would be sent elsewhere. i.e. the workhouses. Having said that, studies and treatment methods were still within its infancy and more effective and humaine methods of treatment would not come into play until much later.</w:t>
      </w:r>
    </w:p>
    <w:p w14:paraId="5CF41D74" w14:textId="77777777" w:rsidR="00AF006F" w:rsidRDefault="00AF006F" w:rsidP="00AF006F">
      <w:pPr>
        <w:spacing w:line="480" w:lineRule="auto"/>
        <w:rPr>
          <w:rFonts w:ascii="Times New Roman" w:hAnsi="Times New Roman" w:cs="Times New Roman"/>
        </w:rPr>
      </w:pPr>
    </w:p>
    <w:p w14:paraId="1C1AD431" w14:textId="77777777" w:rsidR="00AF006F" w:rsidRDefault="00AF006F" w:rsidP="00AF006F">
      <w:pPr>
        <w:spacing w:line="480" w:lineRule="auto"/>
        <w:rPr>
          <w:rFonts w:ascii="Times New Roman" w:hAnsi="Times New Roman" w:cs="Times New Roman"/>
        </w:rPr>
      </w:pPr>
    </w:p>
    <w:p w14:paraId="4C4B289A" w14:textId="77777777" w:rsidR="00AF006F" w:rsidRDefault="00AF006F" w:rsidP="00AF006F">
      <w:pPr>
        <w:spacing w:line="480" w:lineRule="auto"/>
        <w:rPr>
          <w:rFonts w:ascii="Times New Roman" w:hAnsi="Times New Roman" w:cs="Times New Roman"/>
        </w:rPr>
      </w:pPr>
    </w:p>
    <w:p w14:paraId="7A617CC0" w14:textId="77777777" w:rsidR="00AF006F" w:rsidRDefault="00AF006F" w:rsidP="00AF006F">
      <w:pPr>
        <w:spacing w:line="480" w:lineRule="auto"/>
        <w:rPr>
          <w:rFonts w:ascii="Times New Roman" w:hAnsi="Times New Roman" w:cs="Times New Roman"/>
        </w:rPr>
      </w:pPr>
    </w:p>
    <w:p w14:paraId="08FBC5AB" w14:textId="77777777" w:rsidR="00AF006F" w:rsidRDefault="00AF006F" w:rsidP="00AF006F">
      <w:pPr>
        <w:spacing w:line="480" w:lineRule="auto"/>
        <w:rPr>
          <w:rFonts w:ascii="Times New Roman" w:hAnsi="Times New Roman" w:cs="Times New Roman"/>
        </w:rPr>
      </w:pPr>
    </w:p>
    <w:p w14:paraId="69305785" w14:textId="77777777" w:rsidR="00AF006F" w:rsidRDefault="00AF006F" w:rsidP="00AF006F">
      <w:pPr>
        <w:spacing w:line="480" w:lineRule="auto"/>
        <w:rPr>
          <w:rFonts w:ascii="Times New Roman" w:hAnsi="Times New Roman" w:cs="Times New Roman"/>
        </w:rPr>
      </w:pPr>
    </w:p>
    <w:p w14:paraId="06D764CE" w14:textId="77777777" w:rsidR="00AF006F" w:rsidRDefault="00AF006F" w:rsidP="00AF006F">
      <w:pPr>
        <w:spacing w:line="480" w:lineRule="auto"/>
        <w:rPr>
          <w:rFonts w:ascii="Times New Roman" w:hAnsi="Times New Roman" w:cs="Times New Roman"/>
        </w:rPr>
      </w:pPr>
    </w:p>
    <w:p w14:paraId="73EBC150" w14:textId="77777777" w:rsidR="00AF006F" w:rsidRDefault="00AF006F" w:rsidP="00AF006F">
      <w:pPr>
        <w:spacing w:line="480" w:lineRule="auto"/>
        <w:rPr>
          <w:rFonts w:ascii="Times New Roman" w:hAnsi="Times New Roman" w:cs="Times New Roman"/>
        </w:rPr>
      </w:pPr>
    </w:p>
    <w:p w14:paraId="3A8CA63A" w14:textId="77777777" w:rsidR="00AF006F" w:rsidRDefault="00AF006F" w:rsidP="00AF006F">
      <w:pPr>
        <w:spacing w:line="480" w:lineRule="auto"/>
        <w:rPr>
          <w:rFonts w:ascii="Times New Roman" w:hAnsi="Times New Roman" w:cs="Times New Roman"/>
        </w:rPr>
      </w:pPr>
    </w:p>
    <w:p w14:paraId="49C3BF1F" w14:textId="77777777" w:rsidR="00AF006F" w:rsidRDefault="00AF006F" w:rsidP="00AF006F">
      <w:pPr>
        <w:spacing w:line="480" w:lineRule="auto"/>
        <w:rPr>
          <w:rFonts w:ascii="Times New Roman" w:hAnsi="Times New Roman" w:cs="Times New Roman"/>
        </w:rPr>
      </w:pPr>
    </w:p>
    <w:p w14:paraId="5788577C" w14:textId="77777777" w:rsidR="00AF006F" w:rsidRDefault="00AF006F" w:rsidP="00AF006F">
      <w:pPr>
        <w:spacing w:line="480" w:lineRule="auto"/>
        <w:rPr>
          <w:rFonts w:ascii="Times New Roman" w:hAnsi="Times New Roman" w:cs="Times New Roman"/>
        </w:rPr>
      </w:pPr>
    </w:p>
    <w:p w14:paraId="3DDAE499" w14:textId="40D1C01C" w:rsidR="00AF006F" w:rsidRDefault="00AF006F" w:rsidP="00AF006F">
      <w:pPr>
        <w:spacing w:line="480" w:lineRule="auto"/>
        <w:rPr>
          <w:rFonts w:ascii="Times New Roman" w:hAnsi="Times New Roman" w:cs="Times New Roman"/>
        </w:rPr>
      </w:pPr>
      <w:r>
        <w:rPr>
          <w:rFonts w:ascii="Times New Roman" w:hAnsi="Times New Roman" w:cs="Times New Roman"/>
        </w:rPr>
        <w:lastRenderedPageBreak/>
        <w:t>References</w:t>
      </w:r>
    </w:p>
    <w:p w14:paraId="11809342" w14:textId="77777777" w:rsidR="00AF006F" w:rsidRDefault="00AF006F" w:rsidP="00AF006F">
      <w:pPr>
        <w:spacing w:line="480" w:lineRule="auto"/>
        <w:rPr>
          <w:rFonts w:ascii="Times New Roman" w:hAnsi="Times New Roman" w:cs="Times New Roman"/>
        </w:rPr>
      </w:pPr>
      <w:proofErr w:type="spellStart"/>
      <w:r w:rsidRPr="00982018">
        <w:rPr>
          <w:rFonts w:ascii="Times New Roman" w:hAnsi="Times New Roman" w:cs="Times New Roman"/>
        </w:rPr>
        <w:t>Boerhaav</w:t>
      </w:r>
      <w:proofErr w:type="spellEnd"/>
      <w:r>
        <w:rPr>
          <w:rFonts w:ascii="Times New Roman" w:hAnsi="Times New Roman" w:cs="Times New Roman"/>
        </w:rPr>
        <w:t xml:space="preserve">, H. 1735. </w:t>
      </w:r>
      <w:r w:rsidRPr="00EF5CF0">
        <w:rPr>
          <w:rFonts w:ascii="Times New Roman" w:hAnsi="Times New Roman" w:cs="Times New Roman"/>
          <w:b/>
          <w:bCs/>
        </w:rPr>
        <w:t>Boerhaave's Aphorisms: Concerning the Knowledge and Cure of Diseases.</w:t>
      </w:r>
      <w:r>
        <w:rPr>
          <w:rFonts w:ascii="Times New Roman" w:hAnsi="Times New Roman" w:cs="Times New Roman"/>
        </w:rPr>
        <w:t xml:space="preserve"> Pg 132.</w:t>
      </w:r>
    </w:p>
    <w:p w14:paraId="0C9DFE02" w14:textId="77777777" w:rsidR="00AF006F" w:rsidRDefault="00AF006F" w:rsidP="00AF006F">
      <w:pPr>
        <w:spacing w:line="480" w:lineRule="auto"/>
        <w:rPr>
          <w:rFonts w:ascii="Times New Roman" w:hAnsi="Times New Roman" w:cs="Times New Roman"/>
        </w:rPr>
      </w:pPr>
      <w:r w:rsidRPr="00706915">
        <w:rPr>
          <w:rFonts w:ascii="Times New Roman" w:hAnsi="Times New Roman" w:cs="Times New Roman"/>
        </w:rPr>
        <w:t>C. G. A. Clay</w:t>
      </w:r>
      <w:r>
        <w:rPr>
          <w:rFonts w:ascii="Times New Roman" w:hAnsi="Times New Roman" w:cs="Times New Roman"/>
        </w:rPr>
        <w:t xml:space="preserve">. 1984. </w:t>
      </w:r>
      <w:r w:rsidRPr="004F7CEC">
        <w:rPr>
          <w:rFonts w:ascii="Times New Roman" w:hAnsi="Times New Roman" w:cs="Times New Roman"/>
          <w:b/>
          <w:bCs/>
        </w:rPr>
        <w:t>Economic Expansion and Social Change</w:t>
      </w:r>
      <w:r>
        <w:rPr>
          <w:rFonts w:ascii="Times New Roman" w:hAnsi="Times New Roman" w:cs="Times New Roman"/>
        </w:rPr>
        <w:t xml:space="preserve">. Cited by Lake, P., Pincus, S. 2006. </w:t>
      </w:r>
      <w:r w:rsidRPr="004F7CEC">
        <w:rPr>
          <w:rFonts w:ascii="Times New Roman" w:hAnsi="Times New Roman" w:cs="Times New Roman"/>
          <w:b/>
          <w:bCs/>
        </w:rPr>
        <w:t>Rethinking the Public Sphere in Early Modern England</w:t>
      </w:r>
      <w:r>
        <w:rPr>
          <w:rFonts w:ascii="Times New Roman" w:hAnsi="Times New Roman" w:cs="Times New Roman"/>
          <w:b/>
          <w:bCs/>
        </w:rPr>
        <w:t xml:space="preserve">. </w:t>
      </w:r>
      <w:r w:rsidRPr="00D579C7">
        <w:rPr>
          <w:rFonts w:ascii="Times New Roman" w:hAnsi="Times New Roman" w:cs="Times New Roman"/>
        </w:rPr>
        <w:t>DOI: 10.1086/499788</w:t>
      </w:r>
    </w:p>
    <w:p w14:paraId="69A27E9B" w14:textId="102D1089" w:rsidR="00AF006F" w:rsidRDefault="00AF006F" w:rsidP="00AF006F">
      <w:pPr>
        <w:spacing w:line="480" w:lineRule="auto"/>
        <w:rPr>
          <w:rFonts w:ascii="Times New Roman" w:hAnsi="Times New Roman" w:cs="Times New Roman"/>
        </w:rPr>
      </w:pPr>
      <w:r>
        <w:rPr>
          <w:rFonts w:ascii="Times New Roman" w:hAnsi="Times New Roman" w:cs="Times New Roman"/>
        </w:rPr>
        <w:t xml:space="preserve">Coombs, H M., and Edwards, J R. 1990. </w:t>
      </w:r>
      <w:r w:rsidRPr="00992E13">
        <w:rPr>
          <w:rFonts w:ascii="Times New Roman" w:hAnsi="Times New Roman" w:cs="Times New Roman"/>
          <w:b/>
          <w:bCs/>
        </w:rPr>
        <w:t>The Evolution of the District Audit</w:t>
      </w:r>
      <w:r>
        <w:rPr>
          <w:rFonts w:ascii="Times New Roman" w:hAnsi="Times New Roman" w:cs="Times New Roman"/>
        </w:rPr>
        <w:t xml:space="preserve">. Pg155 </w:t>
      </w:r>
      <w:r>
        <w:rPr>
          <w:rFonts w:ascii="Times New Roman" w:hAnsi="Times New Roman" w:cs="Times New Roman"/>
        </w:rPr>
        <w:tab/>
        <w:t xml:space="preserve">             </w:t>
      </w:r>
      <w:r w:rsidRPr="00992E13">
        <w:rPr>
          <w:rFonts w:ascii="Times New Roman" w:hAnsi="Times New Roman" w:cs="Times New Roman"/>
        </w:rPr>
        <w:t>DOI: 10.1111/j.1468-</w:t>
      </w:r>
      <w:proofErr w:type="gramStart"/>
      <w:r w:rsidRPr="00992E13">
        <w:rPr>
          <w:rFonts w:ascii="Times New Roman" w:hAnsi="Times New Roman" w:cs="Times New Roman"/>
        </w:rPr>
        <w:t>0408.1990.tb</w:t>
      </w:r>
      <w:proofErr w:type="gramEnd"/>
      <w:r w:rsidRPr="00992E13">
        <w:rPr>
          <w:rFonts w:ascii="Times New Roman" w:hAnsi="Times New Roman" w:cs="Times New Roman"/>
        </w:rPr>
        <w:t>00114.x</w:t>
      </w:r>
    </w:p>
    <w:p w14:paraId="19DFF2A7" w14:textId="77777777" w:rsidR="00AF006F" w:rsidRDefault="00AF006F" w:rsidP="00AF006F">
      <w:pPr>
        <w:spacing w:line="480" w:lineRule="auto"/>
        <w:rPr>
          <w:rFonts w:ascii="Times New Roman" w:hAnsi="Times New Roman" w:cs="Times New Roman"/>
        </w:rPr>
      </w:pPr>
      <w:r>
        <w:rPr>
          <w:rFonts w:ascii="Times New Roman" w:hAnsi="Times New Roman" w:cs="Times New Roman"/>
        </w:rPr>
        <w:t xml:space="preserve">D, Defoe. 1702. </w:t>
      </w:r>
      <w:proofErr w:type="gramStart"/>
      <w:r w:rsidRPr="008527F1">
        <w:rPr>
          <w:rFonts w:ascii="Times New Roman" w:hAnsi="Times New Roman" w:cs="Times New Roman"/>
          <w:b/>
          <w:bCs/>
        </w:rPr>
        <w:t>Journal  of</w:t>
      </w:r>
      <w:proofErr w:type="gramEnd"/>
      <w:r w:rsidRPr="008527F1">
        <w:rPr>
          <w:rFonts w:ascii="Times New Roman" w:hAnsi="Times New Roman" w:cs="Times New Roman"/>
          <w:b/>
          <w:bCs/>
        </w:rPr>
        <w:t xml:space="preserve">  the  Plague Year</w:t>
      </w:r>
      <w:r w:rsidRPr="008527F1">
        <w:rPr>
          <w:rFonts w:ascii="Times New Roman" w:hAnsi="Times New Roman" w:cs="Times New Roman"/>
        </w:rPr>
        <w:t xml:space="preserve">  </w:t>
      </w:r>
      <w:r>
        <w:rPr>
          <w:rFonts w:ascii="Times New Roman" w:hAnsi="Times New Roman" w:cs="Times New Roman"/>
        </w:rPr>
        <w:t xml:space="preserve">&amp; </w:t>
      </w:r>
      <w:r w:rsidRPr="008527F1">
        <w:rPr>
          <w:rFonts w:ascii="Times New Roman" w:hAnsi="Times New Roman" w:cs="Times New Roman"/>
          <w:b/>
          <w:bCs/>
        </w:rPr>
        <w:t>Due  Preparations  for  the  Plague</w:t>
      </w:r>
      <w:r>
        <w:rPr>
          <w:rFonts w:ascii="Times New Roman" w:hAnsi="Times New Roman" w:cs="Times New Roman"/>
        </w:rPr>
        <w:t xml:space="preserve">. Cited by Slack, P. 2022. </w:t>
      </w:r>
      <w:r w:rsidRPr="00CE451F">
        <w:rPr>
          <w:rFonts w:ascii="Times New Roman" w:hAnsi="Times New Roman" w:cs="Times New Roman"/>
          <w:b/>
          <w:bCs/>
        </w:rPr>
        <w:t>End of a Pandemic? Contemporary Explanations for the End of Plague in</w:t>
      </w:r>
      <w:r>
        <w:rPr>
          <w:rFonts w:ascii="Times New Roman" w:hAnsi="Times New Roman" w:cs="Times New Roman"/>
          <w:b/>
          <w:bCs/>
        </w:rPr>
        <w:t xml:space="preserve"> </w:t>
      </w:r>
      <w:r w:rsidRPr="00CE451F">
        <w:rPr>
          <w:rFonts w:ascii="Times New Roman" w:hAnsi="Times New Roman" w:cs="Times New Roman"/>
          <w:b/>
          <w:bCs/>
        </w:rPr>
        <w:t>18th</w:t>
      </w:r>
      <w:r w:rsidRPr="00CE451F">
        <w:rPr>
          <w:rFonts w:ascii="Times New Roman" w:hAnsi="Times New Roman" w:cs="Times New Roman"/>
          <w:b/>
          <w:bCs/>
        </w:rPr>
        <w:noBreakHyphen/>
        <w:t>Century England</w:t>
      </w:r>
      <w:r>
        <w:rPr>
          <w:rFonts w:ascii="Times New Roman" w:hAnsi="Times New Roman" w:cs="Times New Roman"/>
          <w:b/>
          <w:bCs/>
        </w:rPr>
        <w:t xml:space="preserve"> </w:t>
      </w:r>
      <w:r w:rsidRPr="00B217C1">
        <w:rPr>
          <w:rFonts w:ascii="Times New Roman" w:hAnsi="Times New Roman" w:cs="Times New Roman"/>
        </w:rPr>
        <w:t>DOI: 10.1484/J.CNT.5.129440</w:t>
      </w:r>
    </w:p>
    <w:p w14:paraId="3F6CAB30" w14:textId="77777777" w:rsidR="00AF006F" w:rsidRDefault="00AF006F" w:rsidP="00AF006F">
      <w:pPr>
        <w:spacing w:line="480" w:lineRule="auto"/>
        <w:rPr>
          <w:rFonts w:ascii="Times New Roman" w:hAnsi="Times New Roman" w:cs="Times New Roman"/>
        </w:rPr>
      </w:pPr>
      <w:r>
        <w:rPr>
          <w:rFonts w:ascii="Times New Roman" w:hAnsi="Times New Roman" w:cs="Times New Roman"/>
        </w:rPr>
        <w:t xml:space="preserve">Dawson, W R., 1899. </w:t>
      </w:r>
      <w:r>
        <w:rPr>
          <w:rFonts w:ascii="Times New Roman" w:hAnsi="Times New Roman" w:cs="Times New Roman"/>
          <w:b/>
          <w:bCs/>
        </w:rPr>
        <w:t xml:space="preserve">The minute changes in the cerebral cortex to experimental mutilations of the cerebellum. </w:t>
      </w:r>
      <w:r>
        <w:rPr>
          <w:rFonts w:ascii="Times New Roman" w:hAnsi="Times New Roman" w:cs="Times New Roman"/>
        </w:rPr>
        <w:t xml:space="preserve">Abstract from </w:t>
      </w:r>
      <w:r w:rsidRPr="006229A6">
        <w:rPr>
          <w:rFonts w:ascii="Times New Roman" w:hAnsi="Times New Roman" w:cs="Times New Roman"/>
          <w:b/>
          <w:bCs/>
        </w:rPr>
        <w:t>Observations on the Chemistry of Nerve Degeneration.</w:t>
      </w:r>
      <w:r>
        <w:rPr>
          <w:rFonts w:ascii="Times New Roman" w:hAnsi="Times New Roman" w:cs="Times New Roman"/>
          <w:b/>
          <w:bCs/>
        </w:rPr>
        <w:t xml:space="preserve"> </w:t>
      </w:r>
      <w:r w:rsidRPr="006229A6">
        <w:rPr>
          <w:rFonts w:ascii="Times New Roman" w:hAnsi="Times New Roman" w:cs="Times New Roman"/>
        </w:rPr>
        <w:t>Published online by Cambridge University Press</w:t>
      </w:r>
      <w:r>
        <w:rPr>
          <w:rFonts w:ascii="Times New Roman" w:hAnsi="Times New Roman" w:cs="Times New Roman"/>
        </w:rPr>
        <w:t xml:space="preserve"> in </w:t>
      </w:r>
      <w:r w:rsidRPr="006229A6">
        <w:rPr>
          <w:rFonts w:ascii="Times New Roman" w:hAnsi="Times New Roman" w:cs="Times New Roman"/>
        </w:rPr>
        <w:t>February 2018</w:t>
      </w:r>
      <w:r>
        <w:rPr>
          <w:rFonts w:ascii="Times New Roman" w:hAnsi="Times New Roman" w:cs="Times New Roman"/>
        </w:rPr>
        <w:t xml:space="preserve">. </w:t>
      </w:r>
    </w:p>
    <w:p w14:paraId="46F024F5" w14:textId="77777777" w:rsidR="00AF006F" w:rsidRPr="00AF006F" w:rsidRDefault="00AF006F" w:rsidP="00AF006F">
      <w:pPr>
        <w:spacing w:line="480" w:lineRule="auto"/>
        <w:rPr>
          <w:rFonts w:ascii="Times New Roman" w:hAnsi="Times New Roman" w:cs="Times New Roman"/>
        </w:rPr>
      </w:pPr>
      <w:r>
        <w:rPr>
          <w:rFonts w:ascii="Times New Roman" w:hAnsi="Times New Roman" w:cs="Times New Roman"/>
        </w:rPr>
        <w:t xml:space="preserve">Hitchcock, T., 2017. Chapter 7 </w:t>
      </w:r>
      <w:r w:rsidRPr="0081449A">
        <w:rPr>
          <w:rFonts w:ascii="Times New Roman" w:hAnsi="Times New Roman" w:cs="Times New Roman"/>
          <w:b/>
          <w:bCs/>
        </w:rPr>
        <w:t>The Body in the Workhouse: Death, Burial, and Belonging in Early Eighteenth-Century St Giles in the Fields</w:t>
      </w:r>
      <w:r>
        <w:rPr>
          <w:rFonts w:ascii="Times New Roman" w:hAnsi="Times New Roman" w:cs="Times New Roman"/>
        </w:rPr>
        <w:t xml:space="preserve">. In </w:t>
      </w:r>
      <w:r w:rsidRPr="00696D23">
        <w:rPr>
          <w:rFonts w:ascii="Times New Roman" w:hAnsi="Times New Roman" w:cs="Times New Roman"/>
          <w:b/>
          <w:bCs/>
        </w:rPr>
        <w:t>Suffering and Happiness in England 1550-1850: Narratives and Representations: A collection to honour Paul Slack</w:t>
      </w:r>
      <w:r>
        <w:rPr>
          <w:rFonts w:ascii="Times New Roman" w:hAnsi="Times New Roman" w:cs="Times New Roman"/>
          <w:b/>
          <w:bCs/>
        </w:rPr>
        <w:t xml:space="preserve">. </w:t>
      </w:r>
      <w:hyperlink r:id="rId6" w:history="1">
        <w:r w:rsidRPr="00AF006F">
          <w:rPr>
            <w:rStyle w:val="Hyperlink"/>
            <w:rFonts w:ascii="Times New Roman" w:hAnsi="Times New Roman" w:cs="Times New Roman"/>
            <w:color w:val="auto"/>
          </w:rPr>
          <w:t>https://doi.org/10.1093/oso/9780198748267.001.0001</w:t>
        </w:r>
      </w:hyperlink>
    </w:p>
    <w:p w14:paraId="05C6A0A7" w14:textId="77777777" w:rsidR="00AF006F" w:rsidRPr="00BB2A7F" w:rsidRDefault="00AF006F" w:rsidP="00AF006F">
      <w:pPr>
        <w:spacing w:line="480" w:lineRule="auto"/>
        <w:rPr>
          <w:rFonts w:ascii="Times New Roman" w:hAnsi="Times New Roman" w:cs="Times New Roman"/>
          <w:b/>
          <w:bCs/>
        </w:rPr>
      </w:pPr>
      <w:r>
        <w:rPr>
          <w:rFonts w:ascii="Times New Roman" w:hAnsi="Times New Roman" w:cs="Times New Roman"/>
        </w:rPr>
        <w:t xml:space="preserve">Jackson, S. 1983. </w:t>
      </w:r>
      <w:hyperlink r:id="rId7" w:history="1">
        <w:r w:rsidRPr="00AF006F">
          <w:rPr>
            <w:rStyle w:val="Hyperlink"/>
            <w:rFonts w:ascii="Times New Roman" w:hAnsi="Times New Roman" w:cs="Times New Roman"/>
            <w:b/>
            <w:bCs/>
            <w:color w:val="auto"/>
          </w:rPr>
          <w:t>Melancholia and Mechanical Explanation in Eighteenth-Century Medicine</w:t>
        </w:r>
      </w:hyperlink>
      <w:r w:rsidRPr="00AF006F">
        <w:rPr>
          <w:rFonts w:ascii="Times New Roman" w:hAnsi="Times New Roman" w:cs="Times New Roman"/>
        </w:rPr>
        <w:t>.</w:t>
      </w:r>
      <w:r>
        <w:rPr>
          <w:rFonts w:ascii="Times New Roman" w:hAnsi="Times New Roman" w:cs="Times New Roman"/>
        </w:rPr>
        <w:t xml:space="preserve"> Pg 299 &amp; 304.</w:t>
      </w:r>
    </w:p>
    <w:p w14:paraId="300DCB62" w14:textId="77777777" w:rsidR="00AF006F" w:rsidRPr="002D5FB3" w:rsidRDefault="00AF006F" w:rsidP="00AF006F">
      <w:pPr>
        <w:spacing w:line="480" w:lineRule="auto"/>
        <w:rPr>
          <w:rFonts w:ascii="Times New Roman" w:hAnsi="Times New Roman" w:cs="Times New Roman"/>
        </w:rPr>
      </w:pPr>
      <w:r>
        <w:rPr>
          <w:rFonts w:ascii="Times New Roman" w:hAnsi="Times New Roman" w:cs="Times New Roman"/>
        </w:rPr>
        <w:t xml:space="preserve">Kibria, A </w:t>
      </w:r>
      <w:proofErr w:type="spellStart"/>
      <w:r>
        <w:rPr>
          <w:rFonts w:ascii="Times New Roman" w:hAnsi="Times New Roman" w:cs="Times New Roman"/>
        </w:rPr>
        <w:t>A</w:t>
      </w:r>
      <w:proofErr w:type="spellEnd"/>
      <w:r>
        <w:rPr>
          <w:rFonts w:ascii="Times New Roman" w:hAnsi="Times New Roman" w:cs="Times New Roman"/>
        </w:rPr>
        <w:t xml:space="preserve"> and Metcalfe, N., 2014. </w:t>
      </w:r>
      <w:r w:rsidRPr="00F007C3">
        <w:rPr>
          <w:rFonts w:ascii="Times New Roman" w:hAnsi="Times New Roman" w:cs="Times New Roman"/>
          <w:b/>
          <w:bCs/>
        </w:rPr>
        <w:t>A biography of William Tuke (1732–1822): Founder of the modern mental asylum</w:t>
      </w:r>
      <w:r>
        <w:rPr>
          <w:rFonts w:ascii="Times New Roman" w:hAnsi="Times New Roman" w:cs="Times New Roman"/>
          <w:b/>
          <w:bCs/>
        </w:rPr>
        <w:t xml:space="preserve">. </w:t>
      </w:r>
      <w:r w:rsidRPr="00F428C6">
        <w:rPr>
          <w:rFonts w:ascii="Times New Roman" w:hAnsi="Times New Roman" w:cs="Times New Roman"/>
        </w:rPr>
        <w:t>DOI: 10.1177/0967772014533059</w:t>
      </w:r>
    </w:p>
    <w:p w14:paraId="1C404898" w14:textId="77777777" w:rsidR="00AF006F" w:rsidRDefault="00AF006F" w:rsidP="00AF006F">
      <w:pPr>
        <w:spacing w:line="480" w:lineRule="auto"/>
        <w:rPr>
          <w:rFonts w:ascii="Times New Roman" w:hAnsi="Times New Roman" w:cs="Times New Roman"/>
        </w:rPr>
      </w:pPr>
      <w:r>
        <w:rPr>
          <w:rFonts w:ascii="Times New Roman" w:hAnsi="Times New Roman" w:cs="Times New Roman"/>
        </w:rPr>
        <w:t xml:space="preserve">Mortlock, S. 2017. </w:t>
      </w:r>
      <w:r w:rsidRPr="008527F1">
        <w:rPr>
          <w:rFonts w:ascii="Times New Roman" w:hAnsi="Times New Roman" w:cs="Times New Roman"/>
          <w:b/>
          <w:bCs/>
        </w:rPr>
        <w:t>Death and Disease in the England Civil War.</w:t>
      </w:r>
      <w:r>
        <w:rPr>
          <w:rFonts w:ascii="Times New Roman" w:hAnsi="Times New Roman" w:cs="Times New Roman"/>
        </w:rPr>
        <w:t xml:space="preserve"> </w:t>
      </w:r>
      <w:hyperlink r:id="rId8" w:history="1">
        <w:r w:rsidRPr="00AF006F">
          <w:rPr>
            <w:rStyle w:val="Hyperlink"/>
            <w:rFonts w:ascii="Times New Roman" w:hAnsi="Times New Roman" w:cs="Times New Roman"/>
            <w:color w:val="auto"/>
          </w:rPr>
          <w:t>https://thebiomedicalscientist.net/2017/06/01/death-and-disease-english-civil-war</w:t>
        </w:r>
      </w:hyperlink>
    </w:p>
    <w:p w14:paraId="692DA876" w14:textId="77777777" w:rsidR="00AF006F" w:rsidRDefault="00AF006F" w:rsidP="00AF006F">
      <w:pPr>
        <w:spacing w:line="480" w:lineRule="auto"/>
        <w:rPr>
          <w:rFonts w:ascii="Times New Roman" w:hAnsi="Times New Roman" w:cs="Times New Roman"/>
        </w:rPr>
      </w:pPr>
      <w:r>
        <w:rPr>
          <w:rFonts w:ascii="Times New Roman" w:hAnsi="Times New Roman" w:cs="Times New Roman"/>
        </w:rPr>
        <w:t>Natali, I. 2016.</w:t>
      </w:r>
      <w:r w:rsidRPr="007E710F">
        <w:rPr>
          <w:rFonts w:ascii="Times New Roman" w:hAnsi="Times New Roman" w:cs="Times New Roman"/>
          <w:b/>
          <w:bCs/>
        </w:rPr>
        <w:t xml:space="preserve"> </w:t>
      </w:r>
      <w:proofErr w:type="spellStart"/>
      <w:r w:rsidRPr="00AF006F">
        <w:rPr>
          <w:rFonts w:ascii="Times New Roman" w:hAnsi="Times New Roman" w:cs="Times New Roman"/>
          <w:b/>
          <w:bCs/>
        </w:rPr>
        <w:t>R</w:t>
      </w:r>
      <w:hyperlink r:id="rId9" w:history="1">
        <w:r w:rsidRPr="00AF006F">
          <w:rPr>
            <w:rStyle w:val="Hyperlink"/>
            <w:rFonts w:ascii="Times New Roman" w:hAnsi="Times New Roman" w:cs="Times New Roman"/>
            <w:b/>
            <w:bCs/>
            <w:color w:val="auto"/>
          </w:rPr>
          <w:t>emov'd</w:t>
        </w:r>
        <w:proofErr w:type="spellEnd"/>
        <w:r w:rsidRPr="00AF006F">
          <w:rPr>
            <w:rStyle w:val="Hyperlink"/>
            <w:rFonts w:ascii="Times New Roman" w:hAnsi="Times New Roman" w:cs="Times New Roman"/>
            <w:b/>
            <w:bCs/>
            <w:color w:val="auto"/>
          </w:rPr>
          <w:t xml:space="preserve"> from human eyes»: Madness and Poetry 1676-1774</w:t>
        </w:r>
      </w:hyperlink>
      <w:r>
        <w:rPr>
          <w:rFonts w:ascii="Times New Roman" w:hAnsi="Times New Roman" w:cs="Times New Roman"/>
          <w:b/>
          <w:bCs/>
        </w:rPr>
        <w:t xml:space="preserve">. </w:t>
      </w:r>
      <w:r w:rsidRPr="00EF5CF0">
        <w:rPr>
          <w:rFonts w:ascii="Times New Roman" w:hAnsi="Times New Roman" w:cs="Times New Roman"/>
        </w:rPr>
        <w:t xml:space="preserve">Pg 11 and </w:t>
      </w:r>
      <w:r w:rsidRPr="007E710F">
        <w:rPr>
          <w:rFonts w:ascii="Times New Roman" w:hAnsi="Times New Roman" w:cs="Times New Roman"/>
        </w:rPr>
        <w:t>Pg31</w:t>
      </w:r>
    </w:p>
    <w:p w14:paraId="17A4AE61" w14:textId="77777777" w:rsidR="00AF006F" w:rsidRPr="007E710F" w:rsidRDefault="00AF006F" w:rsidP="00AF006F">
      <w:pPr>
        <w:spacing w:line="480" w:lineRule="auto"/>
        <w:rPr>
          <w:rFonts w:ascii="Times New Roman" w:hAnsi="Times New Roman" w:cs="Times New Roman"/>
          <w:b/>
          <w:bCs/>
        </w:rPr>
      </w:pPr>
      <w:r>
        <w:rPr>
          <w:rFonts w:ascii="Times New Roman" w:hAnsi="Times New Roman" w:cs="Times New Roman"/>
        </w:rPr>
        <w:lastRenderedPageBreak/>
        <w:t xml:space="preserve">Rovang, D. 2006. </w:t>
      </w:r>
      <w:hyperlink r:id="rId10" w:history="1">
        <w:r w:rsidRPr="00AF006F">
          <w:rPr>
            <w:rStyle w:val="Hyperlink"/>
            <w:rFonts w:ascii="Times New Roman" w:hAnsi="Times New Roman" w:cs="Times New Roman"/>
            <w:b/>
            <w:bCs/>
            <w:color w:val="auto"/>
          </w:rPr>
          <w:t>When reason reigns: madness, passion and sovereignty in late 18th-century England</w:t>
        </w:r>
      </w:hyperlink>
      <w:r w:rsidRPr="00AF006F">
        <w:rPr>
          <w:rFonts w:ascii="Times New Roman" w:hAnsi="Times New Roman" w:cs="Times New Roman"/>
        </w:rPr>
        <w:t>.</w:t>
      </w:r>
      <w:r>
        <w:rPr>
          <w:rFonts w:ascii="Times New Roman" w:hAnsi="Times New Roman" w:cs="Times New Roman"/>
        </w:rPr>
        <w:t xml:space="preserve"> Pg 24.</w:t>
      </w:r>
      <w:r w:rsidRPr="00DD2B81">
        <w:rPr>
          <w:rFonts w:ascii="Source Sans Pro" w:hAnsi="Source Sans Pro"/>
          <w:color w:val="3A3A3A"/>
          <w:sz w:val="23"/>
          <w:szCs w:val="23"/>
          <w:shd w:val="clear" w:color="auto" w:fill="FFFFFF"/>
        </w:rPr>
        <w:t xml:space="preserve"> </w:t>
      </w:r>
      <w:r>
        <w:rPr>
          <w:rFonts w:ascii="Source Sans Pro" w:hAnsi="Source Sans Pro"/>
          <w:color w:val="3A3A3A"/>
          <w:sz w:val="23"/>
          <w:szCs w:val="23"/>
          <w:shd w:val="clear" w:color="auto" w:fill="FFFFFF"/>
        </w:rPr>
        <w:t xml:space="preserve"> </w:t>
      </w:r>
      <w:r w:rsidRPr="00DD2B81">
        <w:rPr>
          <w:rFonts w:ascii="Times New Roman" w:hAnsi="Times New Roman" w:cs="Times New Roman"/>
        </w:rPr>
        <w:t>DOI: 10.1177/0957154X06058594</w:t>
      </w:r>
    </w:p>
    <w:p w14:paraId="23C28E37" w14:textId="77777777" w:rsidR="00AF006F" w:rsidRPr="00E63FF9" w:rsidRDefault="00AF006F" w:rsidP="00AF006F">
      <w:pPr>
        <w:spacing w:line="480" w:lineRule="auto"/>
        <w:rPr>
          <w:rFonts w:ascii="Times New Roman" w:hAnsi="Times New Roman" w:cs="Times New Roman"/>
        </w:rPr>
      </w:pPr>
      <w:r>
        <w:rPr>
          <w:rFonts w:ascii="Times New Roman" w:hAnsi="Times New Roman" w:cs="Times New Roman"/>
        </w:rPr>
        <w:t xml:space="preserve">Scull, A. 2015. </w:t>
      </w:r>
      <w:r w:rsidRPr="00E63FF9">
        <w:rPr>
          <w:rFonts w:ascii="Times New Roman" w:hAnsi="Times New Roman" w:cs="Times New Roman"/>
          <w:b/>
          <w:bCs/>
        </w:rPr>
        <w:t>Madness in Civilization: A Cultural History of Insanity, from the Bible to Freud, from the Madhouse to Modern Medicine</w:t>
      </w:r>
      <w:r>
        <w:rPr>
          <w:rFonts w:ascii="Times New Roman" w:hAnsi="Times New Roman" w:cs="Times New Roman"/>
          <w:b/>
          <w:bCs/>
        </w:rPr>
        <w:t xml:space="preserve">. </w:t>
      </w:r>
      <w:r w:rsidRPr="00EB128B">
        <w:rPr>
          <w:rFonts w:ascii="Times New Roman" w:hAnsi="Times New Roman" w:cs="Times New Roman"/>
        </w:rPr>
        <w:t>Chapter Five: Madhouses and Mad Doctors.</w:t>
      </w:r>
      <w:r>
        <w:rPr>
          <w:rFonts w:ascii="Times New Roman" w:hAnsi="Times New Roman" w:cs="Times New Roman"/>
          <w:b/>
          <w:bCs/>
        </w:rPr>
        <w:t xml:space="preserve"> </w:t>
      </w:r>
      <w:r w:rsidRPr="00E021D4">
        <w:rPr>
          <w:rFonts w:ascii="Times New Roman" w:hAnsi="Times New Roman" w:cs="Times New Roman"/>
        </w:rPr>
        <w:t>Pg 156 - 158</w:t>
      </w:r>
      <w:r>
        <w:rPr>
          <w:rFonts w:ascii="Times New Roman" w:hAnsi="Times New Roman" w:cs="Times New Roman"/>
          <w:b/>
          <w:bCs/>
        </w:rPr>
        <w:t xml:space="preserve"> </w:t>
      </w:r>
      <w:r>
        <w:rPr>
          <w:rFonts w:ascii="Times New Roman" w:hAnsi="Times New Roman" w:cs="Times New Roman"/>
        </w:rPr>
        <w:t xml:space="preserve">Chapter Seven: The Great Confinement. Pg 191-192. </w:t>
      </w:r>
    </w:p>
    <w:p w14:paraId="651C3001" w14:textId="77777777" w:rsidR="00AF006F" w:rsidRDefault="00AF006F"/>
    <w:sectPr w:rsidR="00AF006F">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A390B4" w14:textId="77777777" w:rsidR="00AF006F" w:rsidRDefault="00AF006F" w:rsidP="00AF006F">
      <w:pPr>
        <w:spacing w:after="0" w:line="240" w:lineRule="auto"/>
      </w:pPr>
      <w:r>
        <w:separator/>
      </w:r>
    </w:p>
  </w:endnote>
  <w:endnote w:type="continuationSeparator" w:id="0">
    <w:p w14:paraId="231FFB25" w14:textId="77777777" w:rsidR="00AF006F" w:rsidRDefault="00AF006F" w:rsidP="00AF00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5C81CCC" w14:textId="77777777" w:rsidR="00AF006F" w:rsidRDefault="00AF006F" w:rsidP="00AF006F">
      <w:pPr>
        <w:spacing w:after="0" w:line="240" w:lineRule="auto"/>
      </w:pPr>
      <w:r>
        <w:separator/>
      </w:r>
    </w:p>
  </w:footnote>
  <w:footnote w:type="continuationSeparator" w:id="0">
    <w:p w14:paraId="0447A652" w14:textId="77777777" w:rsidR="00AF006F" w:rsidRDefault="00AF006F" w:rsidP="00AF00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58454080"/>
      <w:docPartObj>
        <w:docPartGallery w:val="Page Numbers (Top of Page)"/>
        <w:docPartUnique/>
      </w:docPartObj>
    </w:sdtPr>
    <w:sdtEndPr>
      <w:rPr>
        <w:noProof/>
      </w:rPr>
    </w:sdtEndPr>
    <w:sdtContent>
      <w:p w14:paraId="1B1BEC39" w14:textId="12B1EB0E" w:rsidR="00AF006F" w:rsidRDefault="00AF006F">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4587BA9D" w14:textId="77777777" w:rsidR="00AF006F" w:rsidRDefault="00AF006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006F"/>
    <w:rsid w:val="00064F94"/>
    <w:rsid w:val="000B05E7"/>
    <w:rsid w:val="00322F90"/>
    <w:rsid w:val="00AF006F"/>
    <w:rsid w:val="00B372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A983DF"/>
  <w15:chartTrackingRefBased/>
  <w15:docId w15:val="{FBBB9635-C87B-43F3-8651-D1E5AB0EC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06F"/>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F006F"/>
    <w:rPr>
      <w:color w:val="467886" w:themeColor="hyperlink"/>
      <w:u w:val="single"/>
    </w:rPr>
  </w:style>
  <w:style w:type="paragraph" w:styleId="Header">
    <w:name w:val="header"/>
    <w:basedOn w:val="Normal"/>
    <w:link w:val="HeaderChar"/>
    <w:uiPriority w:val="99"/>
    <w:unhideWhenUsed/>
    <w:rsid w:val="00AF00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006F"/>
    <w:rPr>
      <w:kern w:val="0"/>
      <w14:ligatures w14:val="none"/>
    </w:rPr>
  </w:style>
  <w:style w:type="paragraph" w:styleId="Footer">
    <w:name w:val="footer"/>
    <w:basedOn w:val="Normal"/>
    <w:link w:val="FooterChar"/>
    <w:uiPriority w:val="99"/>
    <w:unhideWhenUsed/>
    <w:rsid w:val="00AF00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006F"/>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ebiomedicalscientist.net/2017/06/01/death-and-disease-english-civil-war"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librarysearch.uwtsd.ac.uk/discovery/fulldisplay?docid=cdi_proquest_miscellaneous_80621460&amp;context=PC&amp;vid=44WHELF_UWTSD:44WHELF_UWTSD_VU1&amp;lang=en&amp;search_scope=Search_ELEC&amp;adaptor=Primo%20Central&amp;tab=Everything&amp;query=any%2Ccontains%2CMelancholia%20and%20Mechanical%20Explanation&amp;offset=0"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093/oso/9780198748267.001.0001" TargetMode="External"/><Relationship Id="rId11"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hyperlink" Target="https://librarysearch.uwtsd.ac.uk/discovery/fulldisplay?docid=cdi_hal_primary_oai_HAL_hal_00570840v1&amp;context=PC&amp;vid=44WHELF_UWTSD:44WHELF_UWTSD_VU1&amp;lang=en&amp;search_scope=Search_ELEC&amp;adaptor=Primo%20Central&amp;tab=Everything&amp;query=any%2Ccontains%2Cking%20george%20asylum&amp;offset=0" TargetMode="External"/><Relationship Id="rId4" Type="http://schemas.openxmlformats.org/officeDocument/2006/relationships/footnotes" Target="footnotes.xml"/><Relationship Id="rId9" Type="http://schemas.openxmlformats.org/officeDocument/2006/relationships/hyperlink" Target="https://librarysearch.uwtsd.ac.uk/discovery/fulldisplay?docid=cdi_oapen_doabooks_82235&amp;context=PC&amp;vid=44WHELF_UWTSD:44WHELF_UWTSD_VU1&amp;lang=en&amp;search_scope=Search_ELEC&amp;adaptor=Primo%20Central&amp;tab=Everyth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10</Pages>
  <Words>1849</Words>
  <Characters>10542</Characters>
  <Application>Microsoft Office Word</Application>
  <DocSecurity>0</DocSecurity>
  <Lines>87</Lines>
  <Paragraphs>24</Paragraphs>
  <ScaleCrop>false</ScaleCrop>
  <Company/>
  <LinksUpToDate>false</LinksUpToDate>
  <CharactersWithSpaces>12367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Harry Foster</dc:creator>
  <cp:keywords/>
  <dc:description/>
  <cp:lastModifiedBy>Harry Foster</cp:lastModifiedBy>
  <cp:revision>1</cp:revision>
  <dcterms:created xsi:type="dcterms:W3CDTF">2024-11-25T13:50:00Z</dcterms:created>
  <dcterms:modified xsi:type="dcterms:W3CDTF">2024-11-25T14:01:00Z</dcterms:modified>
</cp:coreProperties>
</file>