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19388" w14:textId="77777777" w:rsidR="00940089" w:rsidRDefault="00940089" w:rsidP="00940089">
      <w:pPr>
        <w:pStyle w:val="Heading1"/>
      </w:pPr>
      <w:r>
        <w:t>MBA Marketing Management</w:t>
      </w:r>
    </w:p>
    <w:p w14:paraId="70F57E6D" w14:textId="6F94E16E" w:rsidR="00940089" w:rsidRDefault="00940089" w:rsidP="00940089">
      <w:r>
        <w:t>Case Study: Tesla</w:t>
      </w:r>
      <w:r w:rsidRPr="00940089">
        <w:rPr>
          <w:lang w:val="en-US"/>
        </w:rPr>
        <w:t xml:space="preserve"> and Volkswagen</w:t>
      </w:r>
    </w:p>
    <w:p w14:paraId="15001A61" w14:textId="77777777" w:rsidR="00940089" w:rsidRDefault="00940089" w:rsidP="00940089">
      <w:r>
        <w:t>University: University of Wales Trinity Saint David (UWTSD)</w:t>
      </w:r>
    </w:p>
    <w:p w14:paraId="4000BB9A" w14:textId="77777777" w:rsidR="00940089" w:rsidRDefault="00940089" w:rsidP="00940089">
      <w:r>
        <w:t xml:space="preserve">Student Name: </w:t>
      </w:r>
      <w:proofErr w:type="spellStart"/>
      <w:r>
        <w:t>Vrenicu</w:t>
      </w:r>
      <w:proofErr w:type="spellEnd"/>
      <w:r>
        <w:t xml:space="preserve"> Beatrice Daniela_______________________</w:t>
      </w:r>
    </w:p>
    <w:p w14:paraId="7729DDE8" w14:textId="77777777" w:rsidR="00940089" w:rsidRDefault="00940089" w:rsidP="00940089">
      <w:r>
        <w:t>Student ID: __2225538_____________________</w:t>
      </w:r>
    </w:p>
    <w:p w14:paraId="1C32FAC1" w14:textId="77777777" w:rsidR="00940089" w:rsidRDefault="00940089" w:rsidP="00940089">
      <w:r>
        <w:t>Word Count: Approximately 2500 words</w:t>
      </w:r>
    </w:p>
    <w:p w14:paraId="5106A8C0" w14:textId="09CC6ABB" w:rsidR="00950367" w:rsidRDefault="00950367" w:rsidP="00940089">
      <w:r>
        <w:t>Lecturer: Taonga Kaonga</w:t>
      </w:r>
    </w:p>
    <w:p w14:paraId="059A7185" w14:textId="1382F24D" w:rsidR="00950367" w:rsidRDefault="00950367" w:rsidP="00940089">
      <w:r>
        <w:t>Date submitted:27.02.2026</w:t>
      </w:r>
    </w:p>
    <w:p w14:paraId="27C7364A" w14:textId="77777777" w:rsidR="00940089" w:rsidRPr="00940089" w:rsidRDefault="00940089" w:rsidP="00940089">
      <w:pPr>
        <w:rPr>
          <w:lang w:val="en-US"/>
        </w:rPr>
      </w:pPr>
    </w:p>
    <w:p w14:paraId="207A86DB" w14:textId="2760878F" w:rsidR="00940089" w:rsidRPr="00940089" w:rsidRDefault="001D16E9" w:rsidP="00940089">
      <w:pPr>
        <w:rPr>
          <w:lang w:val="en-US"/>
        </w:rPr>
      </w:pPr>
      <w:r>
        <w:rPr>
          <w:noProof/>
          <w:lang w:val="en-US"/>
        </w:rPr>
        <w:drawing>
          <wp:inline distT="0" distB="0" distL="0" distR="0" wp14:anchorId="50C5B107" wp14:editId="4A231253">
            <wp:extent cx="1333500" cy="1714500"/>
            <wp:effectExtent l="0" t="0" r="0" b="0"/>
            <wp:docPr id="12363341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0" cy="1714500"/>
                    </a:xfrm>
                    <a:prstGeom prst="rect">
                      <a:avLst/>
                    </a:prstGeom>
                    <a:noFill/>
                  </pic:spPr>
                </pic:pic>
              </a:graphicData>
            </a:graphic>
          </wp:inline>
        </w:drawing>
      </w:r>
      <w:r w:rsidR="00940089" w:rsidRPr="00940089">
        <w:rPr>
          <w:lang w:val="en-US"/>
        </w:rPr>
        <w:br w:type="page"/>
      </w:r>
    </w:p>
    <w:p w14:paraId="17944E76" w14:textId="74E54574" w:rsidR="00940089" w:rsidRPr="00CE3A79" w:rsidRDefault="00940089" w:rsidP="00CE3A79">
      <w:pPr>
        <w:pStyle w:val="ListParagraph"/>
        <w:numPr>
          <w:ilvl w:val="0"/>
          <w:numId w:val="1"/>
        </w:numPr>
        <w:rPr>
          <w:b/>
          <w:bCs/>
          <w:lang w:val="en-US"/>
        </w:rPr>
      </w:pPr>
      <w:r w:rsidRPr="00CE3A79">
        <w:rPr>
          <w:b/>
          <w:bCs/>
          <w:lang w:val="en-US"/>
        </w:rPr>
        <w:lastRenderedPageBreak/>
        <w:t>Introduction</w:t>
      </w:r>
    </w:p>
    <w:p w14:paraId="70EE9BCD" w14:textId="77777777" w:rsidR="00CE3A79" w:rsidRPr="00CE3A79" w:rsidRDefault="00CE3A79" w:rsidP="00CE3A79">
      <w:pPr>
        <w:pStyle w:val="ListParagraph"/>
        <w:spacing w:after="0" w:line="240" w:lineRule="auto"/>
        <w:rPr>
          <w:rFonts w:ascii="Times New Roman" w:eastAsia="Times New Roman" w:hAnsi="Times New Roman" w:cs="Times New Roman"/>
          <w:kern w:val="0"/>
          <w:lang w:eastAsia="en-GB"/>
          <w14:ligatures w14:val="none"/>
        </w:rPr>
      </w:pPr>
      <w:r w:rsidRPr="00CE3A79">
        <w:rPr>
          <w:rFonts w:ascii="Times New Roman" w:eastAsia="Times New Roman" w:hAnsi="Times New Roman" w:cs="Times New Roman"/>
          <w:kern w:val="0"/>
          <w:lang w:eastAsia="en-GB"/>
          <w14:ligatures w14:val="none"/>
        </w:rPr>
        <w:t xml:space="preserve">One of the biggest industrial shifts of the twenty-first century is the global electric vehicle (EV) market. The automotive industry is undergoing a structural shift from internal combustion engine vehicles to electrified mobility systems, driven by decarbonisation legislation, worries about climate change, rapid technology innovation, and changing customer attitudes. </w:t>
      </w:r>
      <w:r w:rsidRPr="00CE3A79">
        <w:rPr>
          <w:rFonts w:ascii="Times New Roman" w:eastAsia="Times New Roman" w:hAnsi="Times New Roman" w:cs="Times New Roman"/>
          <w:kern w:val="0"/>
          <w:lang w:eastAsia="en-GB"/>
          <w14:ligatures w14:val="none"/>
        </w:rPr>
        <w:br/>
      </w:r>
      <w:r w:rsidRPr="00CE3A79">
        <w:rPr>
          <w:rFonts w:ascii="Times New Roman" w:eastAsia="Times New Roman" w:hAnsi="Times New Roman" w:cs="Times New Roman"/>
          <w:kern w:val="0"/>
          <w:lang w:eastAsia="en-GB"/>
          <w14:ligatures w14:val="none"/>
        </w:rPr>
        <w:br/>
        <w:t>Businesses take on many competing responsibilities in this dynamic market. While some come as following using scale and institutional strength, others take the lead in establishing technology standards and market expectations. Within the EV industry, this research critically examines Volkswagen as a strategic follower and Tesla as a market pioneer. Porter's Generic Strategies and Ansoff's Growth Matrix are used to assess strategic responses to the macroenvironmental elements of politics and technology.</w:t>
      </w:r>
    </w:p>
    <w:p w14:paraId="4580AFCE" w14:textId="424C292A" w:rsidR="00CE3A79" w:rsidRPr="00CE3A79" w:rsidRDefault="00C3343D" w:rsidP="00C3343D">
      <w:pPr>
        <w:rPr>
          <w:lang w:val="en-US"/>
        </w:rPr>
      </w:pPr>
      <w:r w:rsidRPr="00C3343D">
        <w:t>Whittington, 2017). Macro-environmental forces play a critical role in shaping strategic marketing decisions (Kotler and Keller, 2016).</w:t>
      </w:r>
    </w:p>
    <w:p w14:paraId="2C40A7ED" w14:textId="77777777" w:rsidR="00940089" w:rsidRPr="00940089" w:rsidRDefault="00940089" w:rsidP="00940089">
      <w:pPr>
        <w:rPr>
          <w:b/>
          <w:bCs/>
          <w:lang w:val="en-US"/>
        </w:rPr>
      </w:pPr>
      <w:r w:rsidRPr="00940089">
        <w:rPr>
          <w:b/>
          <w:bCs/>
          <w:lang w:val="en-US"/>
        </w:rPr>
        <w:t>2. Political Macro-Environmental Factor</w:t>
      </w:r>
    </w:p>
    <w:p w14:paraId="7061D072" w14:textId="77777777" w:rsidR="00130147" w:rsidRPr="00130147" w:rsidRDefault="00130147" w:rsidP="00130147">
      <w:r w:rsidRPr="00130147">
        <w:t xml:space="preserve">Government policy has a big impact on the EV business. Competitive conditions are directly shaped by trade tariffs, industrial strategy, emissions restrictions, purchase subsidies, and carbon reduction targets. </w:t>
      </w:r>
      <w:r w:rsidRPr="00130147">
        <w:br/>
      </w:r>
      <w:r w:rsidRPr="00130147">
        <w:br/>
        <w:t>Early-stage EV incentives in the US and Europe were quite beneficial to Tesla. These incentives bolstered Tesla's first-mover advantage while lowering consumer risk. However, Tesla's relative advantage waned as industry-wide subsidies increased. Strategic risk is also created by regulatory ambiguity surrounding autonomous driving.</w:t>
      </w:r>
    </w:p>
    <w:p w14:paraId="02B7E59D" w14:textId="147012F0" w:rsidR="00130147" w:rsidRPr="00130147" w:rsidRDefault="00940089" w:rsidP="00130147">
      <w:r w:rsidRPr="00940089">
        <w:rPr>
          <w:lang w:val="en-US"/>
        </w:rPr>
        <w:br/>
      </w:r>
      <w:r w:rsidR="00130147" w:rsidRPr="00130147">
        <w:t xml:space="preserve">The political exposure of Volkswagen is different. Its electrification drive was expedited by regulatory pressure after the diesel emissions disaster. Volkswagen gains from involvement in battery alliances, access to industrial funds, and robust institutional integration inside the EU. As the EV market develops, this embeddedness might offer long-term structural stability. </w:t>
      </w:r>
      <w:r w:rsidR="00130147" w:rsidRPr="00130147">
        <w:br/>
      </w:r>
      <w:r w:rsidR="00130147" w:rsidRPr="00130147">
        <w:br/>
        <w:t>In contrast, Tesla benefited from early opportunity-based advantages, while Volkswagen might gain from industrial integration and long-term regulatory alignment.</w:t>
      </w:r>
      <w:r w:rsidR="00C3343D" w:rsidRPr="00C3343D">
        <w:t xml:space="preserve"> Government intervention and regulatory frameworks significantly influence competitive dynamics within emerging industries (Grant, 2019).</w:t>
      </w:r>
      <w:r w:rsidR="00C3343D" w:rsidRPr="00C3343D">
        <w:br/>
      </w:r>
    </w:p>
    <w:p w14:paraId="4776ECFD" w14:textId="63F05C26" w:rsidR="00940089" w:rsidRPr="00940089" w:rsidRDefault="00940089" w:rsidP="00940089">
      <w:pPr>
        <w:rPr>
          <w:lang w:val="en-US"/>
        </w:rPr>
      </w:pPr>
    </w:p>
    <w:p w14:paraId="386E8119" w14:textId="77777777" w:rsidR="00940089" w:rsidRPr="00940089" w:rsidRDefault="00940089" w:rsidP="00940089">
      <w:pPr>
        <w:rPr>
          <w:b/>
          <w:bCs/>
          <w:lang w:val="en-US"/>
        </w:rPr>
      </w:pPr>
      <w:r w:rsidRPr="00940089">
        <w:rPr>
          <w:b/>
          <w:bCs/>
          <w:lang w:val="en-US"/>
        </w:rPr>
        <w:t>3. Technological Macro-Environmental Factor</w:t>
      </w:r>
    </w:p>
    <w:p w14:paraId="5FA89F80" w14:textId="77777777" w:rsidR="00701DA4" w:rsidRPr="00701DA4" w:rsidRDefault="00701DA4" w:rsidP="00701DA4">
      <w:r w:rsidRPr="00701DA4">
        <w:lastRenderedPageBreak/>
        <w:t>In the EV business, technology is the primary source of competition. Firm performance is influenced by autonomous systems, software integration, battery efficiency, and industrial automation.</w:t>
      </w:r>
    </w:p>
    <w:p w14:paraId="4633B2E3" w14:textId="4D8E8A1B" w:rsidR="00701DA4" w:rsidRPr="00701DA4" w:rsidRDefault="00940089" w:rsidP="00701DA4">
      <w:r w:rsidRPr="00940089">
        <w:rPr>
          <w:lang w:val="en-US"/>
        </w:rPr>
        <w:br/>
      </w:r>
      <w:r w:rsidR="00701DA4" w:rsidRPr="00701DA4">
        <w:t xml:space="preserve">As a technology-driven company, Tesla makes significant investments in over-the-air software upgrades, artificial intelligence, vertical integration, and battery research. Instead of being solely mechanical, its distinction is based on ecosystems. Technological leadership, however, exposes Tesla to innovation risk and necessitates ongoing R&amp;D expenditure. </w:t>
      </w:r>
      <w:r w:rsidR="00701DA4" w:rsidRPr="00701DA4">
        <w:br/>
      </w:r>
      <w:r w:rsidR="00701DA4" w:rsidRPr="00701DA4">
        <w:br/>
        <w:t xml:space="preserve">Volkswagen uses modular platforms like MEB to implement a fast-follower strategy. Volkswagen lowers uncertainty and attains cost reductions by utilising size and manufacturing knowledge. This improves mass-market scalability but may restrict radical differentiation. </w:t>
      </w:r>
      <w:r w:rsidR="00701DA4" w:rsidRPr="00701DA4">
        <w:br/>
      </w:r>
      <w:r w:rsidR="00701DA4" w:rsidRPr="00701DA4">
        <w:br/>
        <w:t>As EV technologies advance, operational effectiveness might take precedence over ground-breaking innovation, which might give scale-oriented businesses a competitive edge.</w:t>
      </w:r>
      <w:r w:rsidR="00C3343D" w:rsidRPr="00C3343D">
        <w:t xml:space="preserve"> Technological innovation is a primary driver of competitive advantage in high-technology industries (Porter, 1985).</w:t>
      </w:r>
      <w:r w:rsidR="00C3343D" w:rsidRPr="00C3343D">
        <w:br/>
        <w:t>Rapid technological change increases uncertainty but also creates opportunities for differentiation (Johnson, Scholes and Whittington, 2017).</w:t>
      </w:r>
    </w:p>
    <w:p w14:paraId="025B7819" w14:textId="48629BA3" w:rsidR="00940089" w:rsidRPr="00940089" w:rsidRDefault="00940089" w:rsidP="00701DA4">
      <w:pPr>
        <w:rPr>
          <w:lang w:val="en-US"/>
        </w:rPr>
      </w:pPr>
    </w:p>
    <w:p w14:paraId="0A1B0CA9" w14:textId="77777777" w:rsidR="00940089" w:rsidRDefault="00940089" w:rsidP="00940089">
      <w:pPr>
        <w:rPr>
          <w:b/>
          <w:bCs/>
          <w:lang w:val="en-US"/>
        </w:rPr>
      </w:pPr>
      <w:r w:rsidRPr="00940089">
        <w:rPr>
          <w:b/>
          <w:bCs/>
          <w:lang w:val="en-US"/>
        </w:rPr>
        <w:t>4. Porter’s Generic Strategies</w:t>
      </w:r>
    </w:p>
    <w:p w14:paraId="15E46932" w14:textId="77777777" w:rsidR="00705E80" w:rsidRDefault="00705E80" w:rsidP="00940089">
      <w:pPr>
        <w:rPr>
          <w:b/>
          <w:bCs/>
          <w:lang w:val="en-US"/>
        </w:rPr>
      </w:pPr>
    </w:p>
    <w:p w14:paraId="7DAB6AAF" w14:textId="7D8A7408" w:rsidR="00C3343D" w:rsidRPr="00C3343D" w:rsidRDefault="00705E80" w:rsidP="00C3343D">
      <w:r w:rsidRPr="00705E80">
        <w:t xml:space="preserve">Tesla competes by using luxury branding, sustainability positioning, technological supremacy, and direct-to-consumer sales as part of their differentiation strategy. Higher margins are supported by this, but maintaining an advantage calls for constant innovation. </w:t>
      </w:r>
      <w:r w:rsidRPr="00705E80">
        <w:br/>
      </w:r>
      <w:r w:rsidRPr="00705E80">
        <w:br/>
        <w:t xml:space="preserve">Volkswagen has a hybrid strategy that combines broad diversity across its range of brands with cost effectiveness. While preserving sector diversity, cost competitiveness is made possible by economies of scale and platform sharing. </w:t>
      </w:r>
      <w:r w:rsidRPr="00705E80">
        <w:br/>
      </w:r>
      <w:r w:rsidRPr="00705E80">
        <w:br/>
        <w:t>Differentiation offers a significant edge in early-stage industries. Operational excellence and cost control are frequently dominant in developed markets. The progress of the industry determines each strategy's viability.</w:t>
      </w:r>
      <w:r w:rsidR="00C3343D" w:rsidRPr="00C3343D">
        <w:rPr>
          <w:rFonts w:ascii="Times New Roman" w:eastAsia="Times New Roman" w:hAnsi="Times New Roman" w:cs="Times New Roman"/>
          <w:kern w:val="0"/>
          <w:lang w:eastAsia="en-GB"/>
          <w14:ligatures w14:val="none"/>
        </w:rPr>
        <w:t xml:space="preserve"> </w:t>
      </w:r>
      <w:r w:rsidR="00C3343D" w:rsidRPr="00C3343D">
        <w:t>According to Porter (1985), firms achieve competitive advantage through cost leadership, differentiation or focus strategies.</w:t>
      </w:r>
    </w:p>
    <w:p w14:paraId="17A7AAD7" w14:textId="77777777" w:rsidR="00C3343D" w:rsidRPr="00C3343D" w:rsidRDefault="00C3343D" w:rsidP="00C3343D">
      <w:r w:rsidRPr="00C3343D">
        <w:lastRenderedPageBreak/>
        <w:t>Differentiation allows firms to command premium prices by offering unique value (Porter, 1985).</w:t>
      </w:r>
    </w:p>
    <w:p w14:paraId="561E2311" w14:textId="77777777" w:rsidR="00C3343D" w:rsidRPr="00C3343D" w:rsidRDefault="00C3343D" w:rsidP="00C3343D">
      <w:r w:rsidRPr="00C3343D">
        <w:t>Economies of scale are central to cost leadership strategies in mature industries (Porter, 1985).</w:t>
      </w:r>
    </w:p>
    <w:p w14:paraId="6A1D2B1D" w14:textId="5D343178" w:rsidR="00705E80" w:rsidRPr="00705E80" w:rsidRDefault="00705E80" w:rsidP="00705E80"/>
    <w:p w14:paraId="1A463B9F" w14:textId="77777777" w:rsidR="00705E80" w:rsidRDefault="00705E80" w:rsidP="00940089">
      <w:pPr>
        <w:rPr>
          <w:b/>
          <w:bCs/>
          <w:lang w:val="en-US"/>
        </w:rPr>
      </w:pPr>
    </w:p>
    <w:p w14:paraId="53511122" w14:textId="77777777" w:rsidR="00705E80" w:rsidRPr="00705E80" w:rsidRDefault="00705E80" w:rsidP="00940089">
      <w:pPr>
        <w:rPr>
          <w:b/>
          <w:bCs/>
          <w:sz w:val="18"/>
          <w:szCs w:val="18"/>
          <w:lang w:val="en-US"/>
        </w:rPr>
      </w:pPr>
    </w:p>
    <w:p w14:paraId="77401615" w14:textId="77777777" w:rsidR="00940089" w:rsidRDefault="00940089" w:rsidP="00940089">
      <w:pPr>
        <w:rPr>
          <w:b/>
          <w:bCs/>
          <w:lang w:val="en-US"/>
        </w:rPr>
      </w:pPr>
      <w:r w:rsidRPr="00940089">
        <w:rPr>
          <w:b/>
          <w:bCs/>
          <w:lang w:val="en-US"/>
        </w:rPr>
        <w:t>5. Ansoff Growth Matrix</w:t>
      </w:r>
    </w:p>
    <w:p w14:paraId="1D28C858" w14:textId="77777777" w:rsidR="007736C1" w:rsidRDefault="007736C1" w:rsidP="00940089">
      <w:pPr>
        <w:rPr>
          <w:b/>
          <w:bCs/>
          <w:lang w:val="en-US"/>
        </w:rPr>
      </w:pPr>
    </w:p>
    <w:p w14:paraId="531456CA" w14:textId="20050813" w:rsidR="007736C1" w:rsidRPr="007736C1" w:rsidRDefault="007736C1" w:rsidP="007736C1">
      <w:r w:rsidRPr="007736C1">
        <w:t xml:space="preserve">innovation, market development through international expansion, and related diversification into Tesla exemplifies product development through ongoing battery and software energy storage solutions. This is an example of growth driven by innovation and high risk. </w:t>
      </w:r>
      <w:r w:rsidRPr="007736C1">
        <w:br/>
      </w:r>
      <w:r w:rsidRPr="007736C1">
        <w:br/>
        <w:t xml:space="preserve">By electrifying current models and persuading existing consumers to switch to EV alternatives, Volkswagen primarily concentrates on market penetration and product development. This strategy makes use of current resources while lowering strategic risk. </w:t>
      </w:r>
      <w:r w:rsidRPr="007736C1">
        <w:br/>
      </w:r>
      <w:r w:rsidRPr="007736C1">
        <w:br/>
        <w:t>The contrast draws attention to Volkswagen's adaptive transformation approach and Tesla's disruptive growth.</w:t>
      </w:r>
      <w:r w:rsidR="00C3343D" w:rsidRPr="00C3343D">
        <w:t xml:space="preserve"> Ansoff, H.I. (1957) ‘Strategies for Diversification’, </w:t>
      </w:r>
      <w:r w:rsidR="00C3343D" w:rsidRPr="00C3343D">
        <w:rPr>
          <w:i/>
          <w:iCs/>
        </w:rPr>
        <w:t>Harvard Business Review</w:t>
      </w:r>
      <w:r w:rsidR="00C3343D" w:rsidRPr="00C3343D">
        <w:t>, 35(5), pp. 113–124.</w:t>
      </w:r>
    </w:p>
    <w:p w14:paraId="05151862" w14:textId="77777777" w:rsidR="007736C1" w:rsidRPr="00940089" w:rsidRDefault="007736C1" w:rsidP="00940089">
      <w:pPr>
        <w:rPr>
          <w:b/>
          <w:bCs/>
          <w:lang w:val="en-US"/>
        </w:rPr>
      </w:pPr>
    </w:p>
    <w:p w14:paraId="2D462019" w14:textId="77777777" w:rsidR="00940089" w:rsidRDefault="00940089" w:rsidP="00940089">
      <w:pPr>
        <w:rPr>
          <w:b/>
          <w:bCs/>
          <w:lang w:val="en-US"/>
        </w:rPr>
      </w:pPr>
      <w:r w:rsidRPr="00940089">
        <w:rPr>
          <w:b/>
          <w:bCs/>
          <w:lang w:val="en-US"/>
        </w:rPr>
        <w:t>6. Critical Evaluation</w:t>
      </w:r>
    </w:p>
    <w:p w14:paraId="30B6D424" w14:textId="505365FF" w:rsidR="0071429F" w:rsidRPr="0071429F" w:rsidRDefault="0071429F" w:rsidP="0071429F">
      <w:r w:rsidRPr="0071429F">
        <w:t xml:space="preserve">Tesla established the aspirational and technologically sophisticated modern EV category. Software capability, infrastructural leadership, and brand familiarity are some of its first-mover advantages. However, differentiation may be undermined by growing competition and technological commoditisation. </w:t>
      </w:r>
      <w:r w:rsidRPr="0071429F">
        <w:br/>
      </w:r>
      <w:r w:rsidRPr="0071429F">
        <w:br/>
        <w:t xml:space="preserve">Volkswagen is well-positioned for widespread adoption because to its size, institutional integration, and manufacturing know-how. Cost effectiveness and supply chain management may become crucial as EVs go from a niche to a mainstream market. </w:t>
      </w:r>
      <w:r w:rsidRPr="0071429F">
        <w:br/>
      </w:r>
      <w:r w:rsidRPr="0071429F">
        <w:br/>
      </w:r>
      <w:proofErr w:type="gramStart"/>
      <w:r w:rsidRPr="0071429F">
        <w:t>In order to</w:t>
      </w:r>
      <w:proofErr w:type="gramEnd"/>
      <w:r w:rsidRPr="0071429F">
        <w:t xml:space="preserve"> maintain a competitive edge in the EV market, innovation leadership, cost control, and regulatory alignment will probably need to be combined. Since neither company completely controls every aspect, there will always be competition.</w:t>
      </w:r>
      <w:r w:rsidR="00C3343D" w:rsidRPr="00C3343D">
        <w:t xml:space="preserve"> First-</w:t>
      </w:r>
      <w:r w:rsidR="00C3343D" w:rsidRPr="00C3343D">
        <w:lastRenderedPageBreak/>
        <w:t>mover advantages may erode as competitors imitate technology and scale production (Porter, 2008).</w:t>
      </w:r>
    </w:p>
    <w:p w14:paraId="4D47E46E" w14:textId="77777777" w:rsidR="0071429F" w:rsidRPr="00940089" w:rsidRDefault="0071429F" w:rsidP="00940089">
      <w:pPr>
        <w:rPr>
          <w:b/>
          <w:bCs/>
          <w:lang w:val="en-US"/>
        </w:rPr>
      </w:pPr>
    </w:p>
    <w:p w14:paraId="16B61B95" w14:textId="77777777" w:rsidR="00940089" w:rsidRDefault="00940089" w:rsidP="00940089">
      <w:pPr>
        <w:rPr>
          <w:b/>
          <w:bCs/>
          <w:lang w:val="en-US"/>
        </w:rPr>
      </w:pPr>
      <w:r w:rsidRPr="00940089">
        <w:rPr>
          <w:b/>
          <w:bCs/>
          <w:lang w:val="en-US"/>
        </w:rPr>
        <w:t>7. Conclusion</w:t>
      </w:r>
    </w:p>
    <w:p w14:paraId="5955E8F5" w14:textId="12710980" w:rsidR="00C047FD" w:rsidRPr="00C047FD" w:rsidRDefault="00C047FD" w:rsidP="00C047FD">
      <w:r w:rsidRPr="00C047FD">
        <w:t xml:space="preserve">With an emphasis on political and technological macroenvironmental issues, this study examined Tesla as a leader in the EV sector and Volkswagen as a follower. Volkswagen makes use of scale and regulatory embeddedness, while Tesla benefited from early incentives and technological leadership. </w:t>
      </w:r>
      <w:r w:rsidRPr="00C047FD">
        <w:br/>
      </w:r>
      <w:r w:rsidRPr="00C047FD">
        <w:br/>
        <w:t>Volkswagen employs a hybrid scale-based approach and risk-managed expansion, while Tesla exhibits differentiation and diversified growth according to Porter's and Ansoff's frameworks. Whether the industry rewards ongoing technical disruption or operational excellence will determine long-term benefit.</w:t>
      </w:r>
      <w:r w:rsidR="00C3343D" w:rsidRPr="00C3343D">
        <w:t xml:space="preserve"> The long-term sustainability of competitive advantage depends on strategic fit between macro-environmental forces and organisational capabilities (Johnson, Scholes and Whittington, 2017).</w:t>
      </w:r>
      <w:r w:rsidR="00C3343D" w:rsidRPr="00C3343D">
        <w:br/>
        <w:t>Strategic positioning must evolve as industries transition from growth to maturity (Porter, 1985).</w:t>
      </w:r>
    </w:p>
    <w:p w14:paraId="4388DF17" w14:textId="77777777" w:rsidR="00C047FD" w:rsidRPr="00940089" w:rsidRDefault="00C047FD" w:rsidP="00940089">
      <w:pPr>
        <w:rPr>
          <w:b/>
          <w:bCs/>
          <w:lang w:val="en-US"/>
        </w:rPr>
      </w:pPr>
    </w:p>
    <w:p w14:paraId="1A219852" w14:textId="77777777" w:rsidR="00940089" w:rsidRPr="00940089" w:rsidRDefault="00940089" w:rsidP="00940089">
      <w:pPr>
        <w:rPr>
          <w:b/>
          <w:bCs/>
          <w:lang w:val="en-US"/>
        </w:rPr>
      </w:pPr>
      <w:r w:rsidRPr="00940089">
        <w:rPr>
          <w:b/>
          <w:bCs/>
          <w:lang w:val="en-US"/>
        </w:rPr>
        <w:t>References</w:t>
      </w:r>
    </w:p>
    <w:p w14:paraId="15DD5197" w14:textId="77777777" w:rsidR="00940089" w:rsidRPr="00940089" w:rsidRDefault="00940089" w:rsidP="00940089">
      <w:pPr>
        <w:rPr>
          <w:lang w:val="en-US"/>
        </w:rPr>
      </w:pPr>
      <w:r w:rsidRPr="00940089">
        <w:rPr>
          <w:lang w:val="en-US"/>
        </w:rPr>
        <w:t>Ansoff, H.I. (1957) ‘Strategies for Diversification’, Harvard Business Review, 35(5), pp. 113–124.</w:t>
      </w:r>
      <w:r w:rsidRPr="00940089">
        <w:rPr>
          <w:lang w:val="en-US"/>
        </w:rPr>
        <w:br/>
      </w:r>
      <w:r w:rsidRPr="00940089">
        <w:rPr>
          <w:lang w:val="en-US"/>
        </w:rPr>
        <w:br/>
        <w:t xml:space="preserve">Armstrong, G. and Kotler, P. (2020) Principles of Marketing. 18th </w:t>
      </w:r>
      <w:proofErr w:type="spellStart"/>
      <w:proofErr w:type="gramStart"/>
      <w:r w:rsidRPr="00940089">
        <w:rPr>
          <w:lang w:val="en-US"/>
        </w:rPr>
        <w:t>edn</w:t>
      </w:r>
      <w:proofErr w:type="spellEnd"/>
      <w:proofErr w:type="gramEnd"/>
      <w:r w:rsidRPr="00940089">
        <w:rPr>
          <w:lang w:val="en-US"/>
        </w:rPr>
        <w:t>. Pearson.</w:t>
      </w:r>
      <w:r w:rsidRPr="00940089">
        <w:rPr>
          <w:lang w:val="en-US"/>
        </w:rPr>
        <w:br/>
      </w:r>
      <w:r w:rsidRPr="00940089">
        <w:rPr>
          <w:lang w:val="en-US"/>
        </w:rPr>
        <w:br/>
        <w:t xml:space="preserve">Grant, R.M. (2019) Contemporary Strategy Analysis. 10th </w:t>
      </w:r>
      <w:proofErr w:type="spellStart"/>
      <w:r w:rsidRPr="00940089">
        <w:rPr>
          <w:lang w:val="en-US"/>
        </w:rPr>
        <w:t>edn</w:t>
      </w:r>
      <w:proofErr w:type="spellEnd"/>
      <w:r w:rsidRPr="00940089">
        <w:rPr>
          <w:lang w:val="en-US"/>
        </w:rPr>
        <w:t>. Wiley.</w:t>
      </w:r>
      <w:r w:rsidRPr="00940089">
        <w:rPr>
          <w:lang w:val="en-US"/>
        </w:rPr>
        <w:br/>
      </w:r>
      <w:r w:rsidRPr="00940089">
        <w:rPr>
          <w:lang w:val="en-US"/>
        </w:rPr>
        <w:br/>
        <w:t xml:space="preserve">Johnson, G., Scholes, K. and Whittington, R. (2017) Exploring Strategy. 11th </w:t>
      </w:r>
      <w:proofErr w:type="spellStart"/>
      <w:r w:rsidRPr="00940089">
        <w:rPr>
          <w:lang w:val="en-US"/>
        </w:rPr>
        <w:t>edn</w:t>
      </w:r>
      <w:proofErr w:type="spellEnd"/>
      <w:r w:rsidRPr="00940089">
        <w:rPr>
          <w:lang w:val="en-US"/>
        </w:rPr>
        <w:t>. Pearson.</w:t>
      </w:r>
      <w:r w:rsidRPr="00940089">
        <w:rPr>
          <w:lang w:val="en-US"/>
        </w:rPr>
        <w:br/>
      </w:r>
      <w:r w:rsidRPr="00940089">
        <w:rPr>
          <w:lang w:val="en-US"/>
        </w:rPr>
        <w:br/>
        <w:t xml:space="preserve">Kotler, P. and Keller, K.L. (2016) Marketing Management. 15th </w:t>
      </w:r>
      <w:proofErr w:type="spellStart"/>
      <w:r w:rsidRPr="00940089">
        <w:rPr>
          <w:lang w:val="en-US"/>
        </w:rPr>
        <w:t>edn</w:t>
      </w:r>
      <w:proofErr w:type="spellEnd"/>
      <w:r w:rsidRPr="00940089">
        <w:rPr>
          <w:lang w:val="en-US"/>
        </w:rPr>
        <w:t>. Pearson.</w:t>
      </w:r>
      <w:r w:rsidRPr="00940089">
        <w:rPr>
          <w:lang w:val="en-US"/>
        </w:rPr>
        <w:br/>
      </w:r>
      <w:r w:rsidRPr="00940089">
        <w:rPr>
          <w:lang w:val="en-US"/>
        </w:rPr>
        <w:br/>
        <w:t>Porter, M.E. (1985) Competitive Advantage: Creating and Sustaining Superior Performance. New York: Free Press.</w:t>
      </w:r>
      <w:r w:rsidRPr="00940089">
        <w:rPr>
          <w:lang w:val="en-US"/>
        </w:rPr>
        <w:br/>
      </w:r>
      <w:r w:rsidRPr="00940089">
        <w:rPr>
          <w:lang w:val="en-US"/>
        </w:rPr>
        <w:br/>
        <w:t>Porter, M.E. (2008) ‘The Five Competitive Forces That Shape Strategy’, Harvard Business Review, 86(1), pp. 78–93.</w:t>
      </w:r>
      <w:r w:rsidRPr="00940089">
        <w:rPr>
          <w:lang w:val="en-US"/>
        </w:rPr>
        <w:br/>
      </w:r>
      <w:r w:rsidRPr="00940089">
        <w:rPr>
          <w:lang w:val="en-US"/>
        </w:rPr>
        <w:br/>
        <w:t xml:space="preserve">Yin, R.K. (2018) Case Study Research and Applications. 6th </w:t>
      </w:r>
      <w:proofErr w:type="spellStart"/>
      <w:r w:rsidRPr="00940089">
        <w:rPr>
          <w:lang w:val="en-US"/>
        </w:rPr>
        <w:t>edn</w:t>
      </w:r>
      <w:proofErr w:type="spellEnd"/>
      <w:r w:rsidRPr="00940089">
        <w:rPr>
          <w:lang w:val="en-US"/>
        </w:rPr>
        <w:t>. Sage Publications.</w:t>
      </w:r>
    </w:p>
    <w:p w14:paraId="4A7EC4A1" w14:textId="77777777" w:rsidR="00940089" w:rsidRDefault="00940089"/>
    <w:sectPr w:rsidR="009400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F50C08"/>
    <w:multiLevelType w:val="hybridMultilevel"/>
    <w:tmpl w:val="7DE06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1130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089"/>
    <w:rsid w:val="000543A8"/>
    <w:rsid w:val="00130147"/>
    <w:rsid w:val="001D16E9"/>
    <w:rsid w:val="00271E29"/>
    <w:rsid w:val="003E76B5"/>
    <w:rsid w:val="004302A6"/>
    <w:rsid w:val="00701DA4"/>
    <w:rsid w:val="00705E80"/>
    <w:rsid w:val="0071429F"/>
    <w:rsid w:val="007736C1"/>
    <w:rsid w:val="007D7819"/>
    <w:rsid w:val="00940089"/>
    <w:rsid w:val="00950367"/>
    <w:rsid w:val="00C047FD"/>
    <w:rsid w:val="00C3343D"/>
    <w:rsid w:val="00CD7986"/>
    <w:rsid w:val="00CE3A79"/>
    <w:rsid w:val="00DA7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D547E"/>
  <w15:chartTrackingRefBased/>
  <w15:docId w15:val="{8363508E-7CD8-446D-B8F4-FF6FEB187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00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00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00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00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00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00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00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00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00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0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00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00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00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00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00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00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00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0089"/>
    <w:rPr>
      <w:rFonts w:eastAsiaTheme="majorEastAsia" w:cstheme="majorBidi"/>
      <w:color w:val="272727" w:themeColor="text1" w:themeTint="D8"/>
    </w:rPr>
  </w:style>
  <w:style w:type="paragraph" w:styleId="Title">
    <w:name w:val="Title"/>
    <w:basedOn w:val="Normal"/>
    <w:next w:val="Normal"/>
    <w:link w:val="TitleChar"/>
    <w:uiPriority w:val="10"/>
    <w:qFormat/>
    <w:rsid w:val="009400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0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00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00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0089"/>
    <w:pPr>
      <w:spacing w:before="160"/>
      <w:jc w:val="center"/>
    </w:pPr>
    <w:rPr>
      <w:i/>
      <w:iCs/>
      <w:color w:val="404040" w:themeColor="text1" w:themeTint="BF"/>
    </w:rPr>
  </w:style>
  <w:style w:type="character" w:customStyle="1" w:styleId="QuoteChar">
    <w:name w:val="Quote Char"/>
    <w:basedOn w:val="DefaultParagraphFont"/>
    <w:link w:val="Quote"/>
    <w:uiPriority w:val="29"/>
    <w:rsid w:val="00940089"/>
    <w:rPr>
      <w:i/>
      <w:iCs/>
      <w:color w:val="404040" w:themeColor="text1" w:themeTint="BF"/>
    </w:rPr>
  </w:style>
  <w:style w:type="paragraph" w:styleId="ListParagraph">
    <w:name w:val="List Paragraph"/>
    <w:basedOn w:val="Normal"/>
    <w:uiPriority w:val="34"/>
    <w:qFormat/>
    <w:rsid w:val="00940089"/>
    <w:pPr>
      <w:ind w:left="720"/>
      <w:contextualSpacing/>
    </w:pPr>
  </w:style>
  <w:style w:type="character" w:styleId="IntenseEmphasis">
    <w:name w:val="Intense Emphasis"/>
    <w:basedOn w:val="DefaultParagraphFont"/>
    <w:uiPriority w:val="21"/>
    <w:qFormat/>
    <w:rsid w:val="00940089"/>
    <w:rPr>
      <w:i/>
      <w:iCs/>
      <w:color w:val="0F4761" w:themeColor="accent1" w:themeShade="BF"/>
    </w:rPr>
  </w:style>
  <w:style w:type="paragraph" w:styleId="IntenseQuote">
    <w:name w:val="Intense Quote"/>
    <w:basedOn w:val="Normal"/>
    <w:next w:val="Normal"/>
    <w:link w:val="IntenseQuoteChar"/>
    <w:uiPriority w:val="30"/>
    <w:qFormat/>
    <w:rsid w:val="009400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0089"/>
    <w:rPr>
      <w:i/>
      <w:iCs/>
      <w:color w:val="0F4761" w:themeColor="accent1" w:themeShade="BF"/>
    </w:rPr>
  </w:style>
  <w:style w:type="character" w:styleId="IntenseReference">
    <w:name w:val="Intense Reference"/>
    <w:basedOn w:val="DefaultParagraphFont"/>
    <w:uiPriority w:val="32"/>
    <w:qFormat/>
    <w:rsid w:val="00940089"/>
    <w:rPr>
      <w:b/>
      <w:bCs/>
      <w:smallCaps/>
      <w:color w:val="0F4761" w:themeColor="accent1" w:themeShade="BF"/>
      <w:spacing w:val="5"/>
    </w:rPr>
  </w:style>
  <w:style w:type="paragraph" w:styleId="NormalWeb">
    <w:name w:val="Normal (Web)"/>
    <w:basedOn w:val="Normal"/>
    <w:uiPriority w:val="99"/>
    <w:semiHidden/>
    <w:unhideWhenUsed/>
    <w:rsid w:val="00C3343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1238</Words>
  <Characters>7060</Characters>
  <Application>Microsoft Office Word</Application>
  <DocSecurity>0</DocSecurity>
  <Lines>58</Lines>
  <Paragraphs>16</Paragraphs>
  <ScaleCrop>false</ScaleCrop>
  <Company/>
  <LinksUpToDate>false</LinksUpToDate>
  <CharactersWithSpaces>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marius20262026@outlook.com</dc:creator>
  <cp:keywords/>
  <dc:description/>
  <cp:lastModifiedBy>marius20262026@outlook.com</cp:lastModifiedBy>
  <cp:revision>15</cp:revision>
  <dcterms:created xsi:type="dcterms:W3CDTF">2026-02-27T11:35:00Z</dcterms:created>
  <dcterms:modified xsi:type="dcterms:W3CDTF">2026-02-27T12:02:00Z</dcterms:modified>
</cp:coreProperties>
</file>