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360"/>
        <w:ind w:right="0" w:left="0" w:firstLine="0"/>
        <w:jc w:val="both"/>
        <w:rPr>
          <w:rFonts w:ascii="Arial" w:hAnsi="Arial" w:cs="Arial" w:eastAsia="Arial"/>
          <w:color w:val="333333"/>
          <w:spacing w:val="0"/>
          <w:position w:val="0"/>
          <w:sz w:val="32"/>
          <w:shd w:fill="auto" w:val="clear"/>
        </w:rPr>
      </w:pPr>
      <w:r>
        <w:rPr>
          <w:rFonts w:ascii="Arial" w:hAnsi="Arial" w:cs="Arial" w:eastAsia="Arial"/>
          <w:color w:val="333333"/>
          <w:spacing w:val="0"/>
          <w:position w:val="0"/>
          <w:sz w:val="32"/>
          <w:shd w:fill="auto" w:val="clear"/>
        </w:rPr>
        <w:t xml:space="preserve">                                                             </w:t>
      </w:r>
      <w:r>
        <w:object w:dxaOrig="2894" w:dyaOrig="1174">
          <v:rect xmlns:o="urn:schemas-microsoft-com:office:office" xmlns:v="urn:schemas-microsoft-com:vml" id="rectole0000000000" style="width:144.700000pt;height:58.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333333"/>
          <w:spacing w:val="0"/>
          <w:position w:val="0"/>
          <w:sz w:val="32"/>
          <w:shd w:fill="auto" w:val="clear"/>
        </w:rPr>
        <w:t xml:space="preserve">                </w:t>
      </w:r>
    </w:p>
    <w:p>
      <w:pPr>
        <w:keepNext w:val="true"/>
        <w:keepLines w:val="true"/>
        <w:spacing w:before="240" w:after="0" w:line="360"/>
        <w:ind w:right="0" w:left="0" w:firstLine="0"/>
        <w:jc w:val="both"/>
        <w:rPr>
          <w:rFonts w:ascii="Arial" w:hAnsi="Arial" w:cs="Arial" w:eastAsia="Arial"/>
          <w:color w:val="333333"/>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name:Nedelin Hristov Mihalev</w:t>
      </w:r>
    </w:p>
    <w:p>
      <w:pPr>
        <w:spacing w:before="100" w:after="10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Student ID number:2029603</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Programme:BA (Hons) Business Management </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 Skills for the Workplace</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Module:Global Business Environment</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code:LCBB4005_BIRM</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Coordinator:Dr. Eric Osei</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Assignment Title:Individual project report</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200" w:after="280" w:line="360"/>
        <w:ind w:right="936" w:left="936" w:firstLine="0"/>
        <w:jc w:val="center"/>
        <w:rPr>
          <w:rFonts w:ascii="Arial" w:hAnsi="Arial" w:cs="Arial" w:eastAsia="Arial"/>
          <w:b/>
          <w:i/>
          <w:color w:val="4472C4"/>
          <w:spacing w:val="0"/>
          <w:position w:val="0"/>
          <w:sz w:val="24"/>
          <w:shd w:fill="auto" w:val="clear"/>
        </w:rPr>
      </w:pPr>
      <w:r>
        <w:rPr>
          <w:rFonts w:ascii="Arial" w:hAnsi="Arial" w:cs="Arial" w:eastAsia="Arial"/>
          <w:b/>
          <w:color w:val="4472C4"/>
          <w:spacing w:val="0"/>
          <w:position w:val="0"/>
          <w:sz w:val="40"/>
          <w:shd w:fill="auto" w:val="clear"/>
        </w:rPr>
        <w:t xml:space="preserve">Global Business Environment</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an entrepreneurship operates in the local markets within a country, it is called local market and when operates in the international area, it is defined as international markets where business firms operate outside of a country and offering products and services to customers in the foreign countries. When a business demonstrates to take decision to expand its market and enter the global market, it must explore what it is going on in the international market (Doole et al 2012). In response to this, a company must consider external factors known as macro environmental factors that influence a business firms while entering and operating in the foreign markets (Jafari-Sadeghi et al 2021). In regards to the global market, here is going to present a report that covers critical global factors belonging to macro business environment based on a case study in which a local company named “TENZING natural energy drink belonging to food industry of the United Kingdom” has been selected to assert how macro factors influence the business’s operation while entering into the mainland of China. The report also covers comparative advantage of China using two factors of Porter Diamond. </w:t>
      </w:r>
    </w:p>
    <w:p>
      <w:pPr>
        <w:keepNext w:val="true"/>
        <w:keepLines w:val="true"/>
        <w:spacing w:before="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Exploring at least five critical global factors of the macro business environment while TENZING natural energy drink takes decision to enter the mainland of China</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TENZING natural energy drink is the UK based company providing customers with beverage and drinks in London. Internally the company operates its business. When this food company claims to enter the global market, it has to take global factors of business environment. Global factors of macro business environment include political situation, international trade state, economic factors, technological and legal factors (Lofgren, 2014). For example, the covid-19 and its emergence, climate change, political issue like Brexit and trade war between the USA and China. Here is going to explore how global factors belonging to macro business environment while TENZING natural energy drink enters the mainland of China on the basis of at least five global factors in the following. </w:t>
      </w:r>
    </w:p>
    <w:p>
      <w:pPr>
        <w:spacing w:before="0" w:after="160" w:line="360"/>
        <w:ind w:right="0" w:left="0" w:firstLine="0"/>
        <w:jc w:val="both"/>
        <w:rPr>
          <w:rFonts w:ascii="Arial" w:hAnsi="Arial" w:cs="Arial" w:eastAsia="Arial"/>
          <w:color w:val="FF0000"/>
          <w:spacing w:val="0"/>
          <w:position w:val="0"/>
          <w:sz w:val="24"/>
          <w:shd w:fill="auto" w:val="clear"/>
        </w:rPr>
      </w:pPr>
      <w:r>
        <w:rPr>
          <w:rFonts w:ascii="Arial" w:hAnsi="Arial" w:cs="Arial" w:eastAsia="Arial"/>
          <w:b/>
          <w:color w:val="4472C4"/>
          <w:spacing w:val="0"/>
          <w:position w:val="0"/>
          <w:sz w:val="24"/>
          <w:shd w:fill="auto" w:val="clear"/>
        </w:rPr>
        <w:t xml:space="preserve">Political factors:</w:t>
      </w:r>
      <w:r>
        <w:rPr>
          <w:rFonts w:ascii="Arial" w:hAnsi="Arial" w:cs="Arial" w:eastAsia="Arial"/>
          <w:color w:val="auto"/>
          <w:spacing w:val="0"/>
          <w:position w:val="0"/>
          <w:sz w:val="24"/>
          <w:shd w:fill="auto" w:val="clear"/>
        </w:rPr>
        <w:t xml:space="preserve"> Political factors are regarded external factors/ macro business environment, which include political instability, regime change, system of government, instant political decisions and new laws and other political issues (Schenmaker, 2017). Where a business operates in terms of the external environment. A kind of external constraint that works on a business. For example, the departure of the UK from European Union known as Brexit is a political factor. Besides, in response to the emergence of the covid-19, governments worldwide took different new laws for regulating business firms during the pandemic situation. Here the host country is communist based government system in which the selected company Tenzing natural energy limited cannot be able to get opportunities what the company can get while operating in the United Kingdom. During the Trump administration, the Chinese government took part in trade war with the United State and since then the Chinese market has been difficult to operate in the mainland of China. Moreover, they are related to the government and the political situation in the place where the business will be conducted.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4472C4"/>
          <w:spacing w:val="0"/>
          <w:position w:val="0"/>
          <w:sz w:val="24"/>
          <w:shd w:fill="auto" w:val="clear"/>
        </w:rPr>
        <w:t xml:space="preserve">Economic factors:</w:t>
      </w:r>
      <w:r>
        <w:rPr>
          <w:rFonts w:ascii="Arial" w:hAnsi="Arial" w:cs="Arial" w:eastAsia="Arial"/>
          <w:color w:val="auto"/>
          <w:spacing w:val="0"/>
          <w:position w:val="0"/>
          <w:sz w:val="24"/>
          <w:shd w:fill="auto" w:val="clear"/>
        </w:rPr>
        <w:t xml:space="preserve"> Economic factors includes inflation, economic recession, evaluation of currency, devaluation of international exchange, national income, gross national income, economic situation of the host country and other economy related issues and international trading factors (Botterill et al 2019). Which affects the economy along with tax rates, interest rates, laws, wages, policies and government activities. These are more economic factors. There are many examples of economic factors but here are some given such as Tax Rate, Exchange Rate, Inflation, Labor, Demand / Supply, Wages. Law and policies, Governmental Activity, Recession etc. The host country China is an amazing economy state whose economic state is the second largest in the world. Although the emergence of the Covid-19 has come a range of greater challenges for business operations in the United Kingdom for about 12 months but the Chinese government had strongly handled the whole situation. For this, economic situation of the host country is definitely good and international trading is going on post the covid-19 and still doing best economic performance.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4472C4"/>
          <w:spacing w:val="0"/>
          <w:position w:val="0"/>
          <w:sz w:val="24"/>
          <w:shd w:fill="auto" w:val="clear"/>
        </w:rPr>
        <w:t xml:space="preserve">Environmental factors:</w:t>
      </w:r>
      <w:r>
        <w:rPr>
          <w:rFonts w:ascii="Arial" w:hAnsi="Arial" w:cs="Arial" w:eastAsia="Arial"/>
          <w:color w:val="auto"/>
          <w:spacing w:val="0"/>
          <w:position w:val="0"/>
          <w:sz w:val="24"/>
          <w:shd w:fill="auto" w:val="clear"/>
        </w:rPr>
        <w:t xml:space="preserve"> Environmental factors refer to natural inconsistencies taking place worldwide due to inhuman activities. Fossil fuels, running out natural resources, severe draught, heavy rains and other natural disasters belong to environmental factors. Maintaining a healthy environment is much more important than any other, it makes people live longer, improves their quality of life. It notes that 23% of all deaths and 26% of deaths in children 5 years and under are entirely due to health problems. Consider a wonderful statistic to healthy people. Many countries have been responding and imposing new act to reduce the level of carbon dioxide in the air. Like the government of the United Kingdom, China has taken many environmental initiatives and imposed acts to response to climate change in the whole world (Zuber et al 2020). When the energy drink company named TENZING will go to enter the midland of China, the company must need to analyse the existing environmental issues influencing business operations.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4472C4"/>
          <w:spacing w:val="0"/>
          <w:position w:val="0"/>
          <w:sz w:val="24"/>
          <w:shd w:fill="auto" w:val="clear"/>
        </w:rPr>
        <w:t xml:space="preserve">Socio-economic factors:</w:t>
      </w:r>
      <w:r>
        <w:rPr>
          <w:rFonts w:ascii="Arial" w:hAnsi="Arial" w:cs="Arial" w:eastAsia="Arial"/>
          <w:color w:val="auto"/>
          <w:spacing w:val="0"/>
          <w:position w:val="0"/>
          <w:sz w:val="24"/>
          <w:shd w:fill="auto" w:val="clear"/>
        </w:rPr>
        <w:t xml:space="preserve"> Socio-economic factors include life style of people, standard life of living, human development index, demography, crime rate, terrorist attack, income status, behaviours and local cultures (Nakat et al 2021). The host country China has cultures that are different what cultures are practiced in the United Kingdom. China has a greater number of populations in the world. Crime rate in China is definitely lower but standard life of living is middle. The Chinese government is much more concerned about crime and corruption and terrorist attack. The selected company has a greater possibility to get a good number of customers in the mainland of China while operating its business in the market.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4472C4"/>
          <w:spacing w:val="0"/>
          <w:position w:val="0"/>
          <w:sz w:val="24"/>
          <w:shd w:fill="auto" w:val="clear"/>
        </w:rPr>
        <w:t xml:space="preserve">Legal Factors:</w:t>
      </w:r>
      <w:r>
        <w:rPr>
          <w:rFonts w:ascii="Arial" w:hAnsi="Arial" w:cs="Arial" w:eastAsia="Arial"/>
          <w:color w:val="auto"/>
          <w:spacing w:val="0"/>
          <w:position w:val="0"/>
          <w:sz w:val="24"/>
          <w:shd w:fill="auto" w:val="clear"/>
        </w:rPr>
        <w:t xml:space="preserve"> Legal factors refer to creating and imposing laws and new acts on business operations and international trading. Influences customer behavior and the way business is conducted indicates that there are external factors. These are the legal reasons. Examples of everything that can be affected by legal factors such as the effectiveness of a particular market, profit margins and transportation of goods. Common examples of legal factors affecting business such as consumer law, discrimination law, copyright law, health and safety law, employee, fraud law, pyramid project legitimacy, import / export law, etc. Every country creates law related to business operations and international trading. Based on local and imposed business laws, the selected company TENZING natural energy drink will have to maintain its business operations in the markets of China. China has made employment laws, business contract law and registry law and other laws and at the same time, the Chinese government has made Covid-19 related rules and regulations while operating in the Chinese market. For this reason, it is urgent to have consciousness for the selected company that it will have to maintain it in the market of China. </w:t>
      </w:r>
    </w:p>
    <w:p>
      <w:pPr>
        <w:keepNext w:val="true"/>
        <w:keepLines w:val="true"/>
        <w:spacing w:before="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Highlighting the comparative advantage of China using two factors of Porter’s Diamond Model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mentioned that the country China has the second largest economy in the world and she has a greater number of populations about 1.5 billion. For this reason, the company TENZING natural energy drink will have comparative advantage. The company will have opportunity to recruit staff belonging to China at low rate and even China has experienced employees to work in the industry (Dusonchet et al 2015). Based on the mentioned concepts, here is going to explore comparative advantage of China. It is known to all that China has a big population and most of them are experienced and hard work. Comparative advantage is called an economy’s ability to produce a particular good at lower price. When the company TENZING energy drink will go to enter the market of China, it will have this comparative advantage in comparison to the UK market. When the company will be able to sell its products and services at lower rate and it gets ability to recruit employees at lower rate, comparative advantage belongs to the company when it is going to enter the mainland of the United Kingdom. Influence of the government plays an influential role is accessibility and operation of a business in the market. Based on this comparative advantage, here is going to explore two factors of Porter’s Diamond models in the following:-</w:t>
      </w:r>
    </w:p>
    <w:p>
      <w:pPr>
        <w:spacing w:before="0" w:after="160" w:line="360"/>
        <w:ind w:right="0" w:left="720" w:firstLine="0"/>
        <w:jc w:val="both"/>
        <w:rPr>
          <w:rFonts w:ascii="Arial" w:hAnsi="Arial" w:cs="Arial" w:eastAsia="Arial"/>
          <w:b/>
          <w:color w:val="auto"/>
          <w:spacing w:val="0"/>
          <w:position w:val="0"/>
          <w:sz w:val="24"/>
          <w:shd w:fill="auto" w:val="clear"/>
        </w:rPr>
      </w:pPr>
      <w:r>
        <w:rPr>
          <w:rFonts w:ascii="Arial" w:hAnsi="Arial" w:cs="Arial" w:eastAsia="Arial"/>
          <w:b/>
          <w:color w:val="4472C4"/>
          <w:spacing w:val="0"/>
          <w:position w:val="0"/>
          <w:sz w:val="24"/>
          <w:shd w:fill="auto" w:val="clear"/>
        </w:rPr>
        <w:t xml:space="preserve">Factor conditions:</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This is an urgent point in the Porter’s Diamond mode that whether all the resources of the business are available where the company is going to operate or enter. Demand conditions include physical resources, available resources, infrastructure, human resource and other conditions (Kang et al 2014). The mentioned conditions can help the selected business to ensure advantage. It is mentioned that China has a good number of efficient employees who are interested to work at low rate. In the context of economy, China is an emerging country which has a good economy. The host country can make conditions and influence on taxes and taxes on trade and international businesses. Government legislation, technology, laws and taxes and change belong to the hands of a government of country (Kharub et al 2017). It is mentioned that government system of the host country is not democratic; rather the country is communist based and the Chinese government under Xi Jing Ping administration increase taxes on international companies and products in the contemporary market since the trade war started. In the context of Technology, China has much more technological development where any business firms can do their business over both online and offline. Porter argues that factors in determining a country's competitive advantage are naturally inherited. Because, it is considered more important than natural resources or land. He added that the primary role of government is a factor in driving a country's economy. To achieve this, the government needs to find a way to achieve its goals. That is the establishment of anti-trust law. Applying it to stimulate competition among domestic companies, for example, Japan has built a competitive global economic presence. The idea is that Japan has produced a very large number of engineers. Moreover, it has helped the technological innovation of Japanese industry.</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b/>
          <w:color w:val="4472C4"/>
          <w:spacing w:val="0"/>
          <w:position w:val="0"/>
          <w:sz w:val="24"/>
          <w:shd w:fill="auto" w:val="clear"/>
        </w:rPr>
        <w:t xml:space="preserve">Demand conditions: </w:t>
      </w:r>
      <w:r>
        <w:rPr>
          <w:rFonts w:ascii="Arial" w:hAnsi="Arial" w:cs="Arial" w:eastAsia="Arial"/>
          <w:color w:val="auto"/>
          <w:spacing w:val="0"/>
          <w:position w:val="0"/>
          <w:sz w:val="24"/>
          <w:shd w:fill="auto" w:val="clear"/>
        </w:rPr>
        <w:t xml:space="preserve">Demand conditions include size and nature of customers’ base, innovation, product type, improvement, technological development, skilled labor, innovation and good economy (Bakan et al 2012). The nature and size of the domestic claim services and industrial products in a populous country. Sophistication and strength of domestic customer demand are the main features. It is mentioned that markets of China will comparative hub for the selected company as China is a technologically developed country and it has a vast number of skilled labours. Based on these concepts, it could be said that TENZING natural energy drink will be able to perform well while operating in the markets of China. The customer who is closest to the company is the most sensitive to the customer and the needs of the customer. Which Porter argues (1990b, pp. 79-80). Thus, the demand of the home market is of special importance in shaping the quality of the company's products. The more pressure is created, the more sophisticated they are to upgrade their local innovation, customer demand, product quality and efficiency.</w:t>
      </w: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report demonstrates that a business firm including SME or large or medium must take macro business environment into account while operating in the market. In the context of market expansion in the international area, a business firm must explore business environmental factors/ macro business environment factors. Market extension of TENZING natural energy drink into the mainland of Chain must need to take some global factors into account.  In terms of chance, the mentioned company TENZING energy drink will have a good chance as it has a vast population and standard living of life and at the same time, it has a good economy after all. As China has an excellent economy, greater number of population, and available employees, TENZING natural drinking company will have good chance to operate indeed although the Chinese government is not friendly about foreign business operation after all.</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Bakan, I. and Do</w:t>
      </w:r>
      <w:r>
        <w:rPr>
          <w:rFonts w:ascii="Arial" w:hAnsi="Arial" w:cs="Arial" w:eastAsia="Arial"/>
          <w:color w:val="auto"/>
          <w:spacing w:val="0"/>
          <w:position w:val="0"/>
          <w:sz w:val="24"/>
          <w:shd w:fill="FFFFFF" w:val="clear"/>
        </w:rPr>
        <w:t xml:space="preserve">ğan, İ.F., 2012. Competitiveness of the industries based on the Porter’s diamond model: An empirical study. </w:t>
      </w:r>
      <w:r>
        <w:rPr>
          <w:rFonts w:ascii="Arial" w:hAnsi="Arial" w:cs="Arial" w:eastAsia="Arial"/>
          <w:i/>
          <w:color w:val="auto"/>
          <w:spacing w:val="0"/>
          <w:position w:val="0"/>
          <w:sz w:val="24"/>
          <w:shd w:fill="FFFFFF" w:val="clear"/>
        </w:rPr>
        <w:t xml:space="preserve">International Journal of Research and Reviews in Applied Sciences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11</w:t>
      </w:r>
      <w:r>
        <w:rPr>
          <w:rFonts w:ascii="Arial" w:hAnsi="Arial" w:cs="Arial" w:eastAsia="Arial"/>
          <w:color w:val="auto"/>
          <w:spacing w:val="0"/>
          <w:position w:val="0"/>
          <w:sz w:val="24"/>
          <w:shd w:fill="FFFFFF" w:val="clear"/>
        </w:rPr>
        <w:t xml:space="preserve">(3), pp.441-455.</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Botterill, K., McCollum, D. and Tyrrell, N., 2019. Negotiating Brexit: migrant spatialities and identities in a changing Europe [Introduction to special issue]. </w:t>
      </w:r>
      <w:r>
        <w:rPr>
          <w:rFonts w:ascii="Arial" w:hAnsi="Arial" w:cs="Arial" w:eastAsia="Arial"/>
          <w:i/>
          <w:color w:val="auto"/>
          <w:spacing w:val="0"/>
          <w:position w:val="0"/>
          <w:sz w:val="24"/>
          <w:shd w:fill="FFFFFF" w:val="clear"/>
        </w:rPr>
        <w:t xml:space="preserve">Population, Space and Place</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25</w:t>
      </w:r>
      <w:r>
        <w:rPr>
          <w:rFonts w:ascii="Arial" w:hAnsi="Arial" w:cs="Arial" w:eastAsia="Arial"/>
          <w:color w:val="auto"/>
          <w:spacing w:val="0"/>
          <w:position w:val="0"/>
          <w:sz w:val="24"/>
          <w:shd w:fill="FFFFFF" w:val="clear"/>
        </w:rPr>
        <w:t xml:space="preserve">(1).</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Do, Q.T., Levchenko, A.A. and Raddatz, C., 2016. Comparative advantage, international trade, and fertility. </w:t>
      </w:r>
      <w:r>
        <w:rPr>
          <w:rFonts w:ascii="Arial" w:hAnsi="Arial" w:cs="Arial" w:eastAsia="Arial"/>
          <w:i/>
          <w:color w:val="auto"/>
          <w:spacing w:val="0"/>
          <w:position w:val="0"/>
          <w:sz w:val="24"/>
          <w:shd w:fill="FFFFFF" w:val="clear"/>
        </w:rPr>
        <w:t xml:space="preserve">Journal of Development Economics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119</w:t>
      </w:r>
      <w:r>
        <w:rPr>
          <w:rFonts w:ascii="Arial" w:hAnsi="Arial" w:cs="Arial" w:eastAsia="Arial"/>
          <w:color w:val="auto"/>
          <w:spacing w:val="0"/>
          <w:position w:val="0"/>
          <w:sz w:val="24"/>
          <w:shd w:fill="FFFFFF" w:val="clear"/>
        </w:rPr>
        <w:t xml:space="preserve">, pp.48-66.</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Donthu, N. and Gustafsson, A., 2020. Effects of COVID-19 on business and research.</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Doole, I. and Lowe, R., 2012. </w:t>
      </w:r>
      <w:r>
        <w:rPr>
          <w:rFonts w:ascii="Arial" w:hAnsi="Arial" w:cs="Arial" w:eastAsia="Arial"/>
          <w:i/>
          <w:color w:val="auto"/>
          <w:spacing w:val="0"/>
          <w:position w:val="0"/>
          <w:sz w:val="24"/>
          <w:shd w:fill="FFFFFF" w:val="clear"/>
        </w:rPr>
        <w:t xml:space="preserve">International marketing strategy</w:t>
      </w:r>
      <w:r>
        <w:rPr>
          <w:rFonts w:ascii="Arial" w:hAnsi="Arial" w:cs="Arial" w:eastAsia="Arial"/>
          <w:color w:val="auto"/>
          <w:spacing w:val="0"/>
          <w:position w:val="0"/>
          <w:sz w:val="24"/>
          <w:shd w:fill="FFFFFF" w:val="clear"/>
        </w:rPr>
        <w:t xml:space="preserve">. Cengage Learning.</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Dusonchet, L. and Telaretti, E., 2015. Comparative economic analysis of support policies for solar PV in the most representative EU countries. </w:t>
      </w:r>
      <w:r>
        <w:rPr>
          <w:rFonts w:ascii="Arial" w:hAnsi="Arial" w:cs="Arial" w:eastAsia="Arial"/>
          <w:i/>
          <w:color w:val="auto"/>
          <w:spacing w:val="0"/>
          <w:position w:val="0"/>
          <w:sz w:val="24"/>
          <w:shd w:fill="FFFFFF" w:val="clear"/>
        </w:rPr>
        <w:t xml:space="preserve">Renewable and Sustainable Energy Reviews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42</w:t>
      </w:r>
      <w:r>
        <w:rPr>
          <w:rFonts w:ascii="Arial" w:hAnsi="Arial" w:cs="Arial" w:eastAsia="Arial"/>
          <w:color w:val="auto"/>
          <w:spacing w:val="0"/>
          <w:position w:val="0"/>
          <w:sz w:val="24"/>
          <w:shd w:fill="FFFFFF" w:val="clear"/>
        </w:rPr>
        <w:t xml:space="preserve">, pp.986-998.</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Jafari-Sadeghi, V., Garcia-Perez, A., Candelo, E. and Couturier, J., 2021. Exploring the impact of digital transformation on technology entrepreneurship and technological market expansion: The role of technology readiness, exploration and exploitation. </w:t>
      </w:r>
      <w:r>
        <w:rPr>
          <w:rFonts w:ascii="Arial" w:hAnsi="Arial" w:cs="Arial" w:eastAsia="Arial"/>
          <w:i/>
          <w:color w:val="auto"/>
          <w:spacing w:val="0"/>
          <w:position w:val="0"/>
          <w:sz w:val="24"/>
          <w:shd w:fill="FFFFFF" w:val="clear"/>
        </w:rPr>
        <w:t xml:space="preserve">Journal of Business Research</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124</w:t>
      </w:r>
      <w:r>
        <w:rPr>
          <w:rFonts w:ascii="Arial" w:hAnsi="Arial" w:cs="Arial" w:eastAsia="Arial"/>
          <w:color w:val="auto"/>
          <w:spacing w:val="0"/>
          <w:position w:val="0"/>
          <w:sz w:val="24"/>
          <w:shd w:fill="FFFFFF" w:val="clear"/>
        </w:rPr>
        <w:t xml:space="preserve">, pp.100-111.</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Kang, J.Y., Kim, T.S. and Hur, K.B., 2014. Comparative economic analysis of gas turbine-based power generation and combined heat and power systems using biogas fuel. </w:t>
      </w:r>
      <w:r>
        <w:rPr>
          <w:rFonts w:ascii="Arial" w:hAnsi="Arial" w:cs="Arial" w:eastAsia="Arial"/>
          <w:i/>
          <w:color w:val="auto"/>
          <w:spacing w:val="0"/>
          <w:position w:val="0"/>
          <w:sz w:val="24"/>
          <w:shd w:fill="FFFFFF" w:val="clear"/>
        </w:rPr>
        <w:t xml:space="preserve">Energy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67</w:t>
      </w:r>
      <w:r>
        <w:rPr>
          <w:rFonts w:ascii="Arial" w:hAnsi="Arial" w:cs="Arial" w:eastAsia="Arial"/>
          <w:color w:val="auto"/>
          <w:spacing w:val="0"/>
          <w:position w:val="0"/>
          <w:sz w:val="24"/>
          <w:shd w:fill="FFFFFF" w:val="clear"/>
        </w:rPr>
        <w:t xml:space="preserve">, pp.309-318.</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Kharub, M. and Sharma, R., 2017. Comparative analyses of competitive advantage using Porter diamond model (the case of MSMEs in Himachal Pradesh). </w:t>
      </w:r>
      <w:r>
        <w:rPr>
          <w:rFonts w:ascii="Arial" w:hAnsi="Arial" w:cs="Arial" w:eastAsia="Arial"/>
          <w:i/>
          <w:color w:val="auto"/>
          <w:spacing w:val="0"/>
          <w:position w:val="0"/>
          <w:sz w:val="24"/>
          <w:shd w:fill="FFFFFF" w:val="clear"/>
        </w:rPr>
        <w:t xml:space="preserve">Competitiveness Review: An International Business Journal</w:t>
      </w:r>
      <w:r>
        <w:rPr>
          <w:rFonts w:ascii="Arial" w:hAnsi="Arial" w:cs="Arial" w:eastAsia="Arial"/>
          <w:color w:val="auto"/>
          <w:spacing w:val="0"/>
          <w:position w:val="0"/>
          <w:sz w:val="24"/>
          <w:shd w:fill="FFFFFF" w:val="clear"/>
        </w:rPr>
        <w:t xml:space="preserve">.</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Löfgren, A., 2014. International network management for the purpose of host market expansion: The mediating effect of co-innovation in the networks of SMEs. </w:t>
      </w:r>
      <w:r>
        <w:rPr>
          <w:rFonts w:ascii="Arial" w:hAnsi="Arial" w:cs="Arial" w:eastAsia="Arial"/>
          <w:i/>
          <w:color w:val="auto"/>
          <w:spacing w:val="0"/>
          <w:position w:val="0"/>
          <w:sz w:val="24"/>
          <w:shd w:fill="FFFFFF" w:val="clear"/>
        </w:rPr>
        <w:t xml:space="preserve">Journal of International Entrepreneurship</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w:t>
      </w:r>
      <w:r>
        <w:rPr>
          <w:rFonts w:ascii="Arial" w:hAnsi="Arial" w:cs="Arial" w:eastAsia="Arial"/>
          <w:color w:val="auto"/>
          <w:spacing w:val="0"/>
          <w:position w:val="0"/>
          <w:sz w:val="24"/>
          <w:shd w:fill="FFFFFF" w:val="clear"/>
        </w:rPr>
        <w:t xml:space="preserve">(2), pp.162-182.</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Meyer, B.H., Prescott, B. and Sheng, X.S., 2021. The impact of the COVID-19 pandemic on business expectations. </w:t>
      </w:r>
      <w:r>
        <w:rPr>
          <w:rFonts w:ascii="Arial" w:hAnsi="Arial" w:cs="Arial" w:eastAsia="Arial"/>
          <w:i/>
          <w:color w:val="auto"/>
          <w:spacing w:val="0"/>
          <w:position w:val="0"/>
          <w:sz w:val="24"/>
          <w:shd w:fill="FFFFFF" w:val="clear"/>
        </w:rPr>
        <w:t xml:space="preserve">International Journal of Forecasting</w:t>
      </w:r>
      <w:r>
        <w:rPr>
          <w:rFonts w:ascii="Arial" w:hAnsi="Arial" w:cs="Arial" w:eastAsia="Arial"/>
          <w:color w:val="auto"/>
          <w:spacing w:val="0"/>
          <w:position w:val="0"/>
          <w:sz w:val="24"/>
          <w:shd w:fill="FFFFFF" w:val="clear"/>
        </w:rPr>
        <w:t xml:space="preserve">.</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Nakat, Z. and Bou-Mitri, C., 2021. COVID-19 and the food industry: Readiness assessment. </w:t>
      </w:r>
      <w:r>
        <w:rPr>
          <w:rFonts w:ascii="Arial" w:hAnsi="Arial" w:cs="Arial" w:eastAsia="Arial"/>
          <w:i/>
          <w:color w:val="auto"/>
          <w:spacing w:val="0"/>
          <w:position w:val="0"/>
          <w:sz w:val="24"/>
          <w:shd w:fill="FFFFFF" w:val="clear"/>
        </w:rPr>
        <w:t xml:space="preserve">Food control</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121</w:t>
      </w:r>
      <w:r>
        <w:rPr>
          <w:rFonts w:ascii="Arial" w:hAnsi="Arial" w:cs="Arial" w:eastAsia="Arial"/>
          <w:color w:val="auto"/>
          <w:spacing w:val="0"/>
          <w:position w:val="0"/>
          <w:sz w:val="24"/>
          <w:shd w:fill="FFFFFF" w:val="clear"/>
        </w:rPr>
        <w:t xml:space="preserve">, p.107661.</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Schoenmaker, D., 2017. The UK financial sector and EU Integration after Brexit: The issue of passporting. In </w:t>
      </w:r>
      <w:r>
        <w:rPr>
          <w:rFonts w:ascii="Arial" w:hAnsi="Arial" w:cs="Arial" w:eastAsia="Arial"/>
          <w:i/>
          <w:color w:val="auto"/>
          <w:spacing w:val="0"/>
          <w:position w:val="0"/>
          <w:sz w:val="24"/>
          <w:shd w:fill="FFFFFF" w:val="clear"/>
        </w:rPr>
        <w:t xml:space="preserve">The Economics of UK-EU Relations</w:t>
      </w:r>
      <w:r>
        <w:rPr>
          <w:rFonts w:ascii="Arial" w:hAnsi="Arial" w:cs="Arial" w:eastAsia="Arial"/>
          <w:color w:val="auto"/>
          <w:spacing w:val="0"/>
          <w:position w:val="0"/>
          <w:sz w:val="24"/>
          <w:shd w:fill="FFFFFF" w:val="clear"/>
        </w:rPr>
        <w:t xml:space="preserve"> (pp. 119-138). Palgrave Macmillan, Cham.</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Tsiligiris, V., 2018. An adapted Porter Diamond Model for the evaluation of transnational education host countries. </w:t>
      </w:r>
      <w:r>
        <w:rPr>
          <w:rFonts w:ascii="Arial" w:hAnsi="Arial" w:cs="Arial" w:eastAsia="Arial"/>
          <w:i/>
          <w:color w:val="auto"/>
          <w:spacing w:val="0"/>
          <w:position w:val="0"/>
          <w:sz w:val="24"/>
          <w:shd w:fill="FFFFFF" w:val="clear"/>
        </w:rPr>
        <w:t xml:space="preserve">International Journal of Educational Management</w:t>
      </w:r>
      <w:r>
        <w:rPr>
          <w:rFonts w:ascii="Arial" w:hAnsi="Arial" w:cs="Arial" w:eastAsia="Arial"/>
          <w:color w:val="auto"/>
          <w:spacing w:val="0"/>
          <w:position w:val="0"/>
          <w:sz w:val="24"/>
          <w:shd w:fill="FFFFFF" w:val="clear"/>
        </w:rPr>
        <w:t xml:space="preserve">.</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Volodin, Y.V. and Podkovyrov, P.A., 2018. International Market Expansion. </w:t>
      </w:r>
      <w:r>
        <w:rPr>
          <w:rFonts w:ascii="Arial" w:hAnsi="Arial" w:cs="Arial" w:eastAsia="Arial"/>
          <w:i/>
          <w:color w:val="auto"/>
          <w:spacing w:val="0"/>
          <w:position w:val="0"/>
          <w:sz w:val="24"/>
          <w:shd w:fill="FFFFFF" w:val="clear"/>
        </w:rPr>
        <w:t xml:space="preserve">Strategic decisions and risk management</w:t>
      </w:r>
      <w:r>
        <w:rPr>
          <w:rFonts w:ascii="Arial" w:hAnsi="Arial" w:cs="Arial" w:eastAsia="Arial"/>
          <w:color w:val="auto"/>
          <w:spacing w:val="0"/>
          <w:position w:val="0"/>
          <w:sz w:val="24"/>
          <w:shd w:fill="FFFFFF" w:val="clear"/>
        </w:rPr>
        <w:t xml:space="preserve">.</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Yang, L., Liu, S., Liu, J., Zhang, Z., Wan, X., Huang, B., Chen, Y. and Zhang, Y., 2020. COVID-19: immunopathogenesis and Immunotherapeutics. </w:t>
      </w:r>
      <w:r>
        <w:rPr>
          <w:rFonts w:ascii="Arial" w:hAnsi="Arial" w:cs="Arial" w:eastAsia="Arial"/>
          <w:i/>
          <w:color w:val="auto"/>
          <w:spacing w:val="0"/>
          <w:position w:val="0"/>
          <w:sz w:val="24"/>
          <w:shd w:fill="FFFFFF" w:val="clear"/>
        </w:rPr>
        <w:t xml:space="preserve">Signal transduction and targeted therapy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5</w:t>
      </w:r>
      <w:r>
        <w:rPr>
          <w:rFonts w:ascii="Arial" w:hAnsi="Arial" w:cs="Arial" w:eastAsia="Arial"/>
          <w:color w:val="auto"/>
          <w:spacing w:val="0"/>
          <w:position w:val="0"/>
          <w:sz w:val="24"/>
          <w:shd w:fill="FFFFFF" w:val="clear"/>
        </w:rPr>
        <w:t xml:space="preserve">(1), pp.1-8.</w:t>
      </w:r>
    </w:p>
    <w:p>
      <w:pPr>
        <w:spacing w:before="0" w:after="160" w:line="360"/>
        <w:ind w:right="0" w:left="720" w:hanging="72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Zuber, S. and Brüssow, H., 2020. COVID 19: Challenges for virologists in the food industry. </w:t>
      </w:r>
      <w:r>
        <w:rPr>
          <w:rFonts w:ascii="Arial" w:hAnsi="Arial" w:cs="Arial" w:eastAsia="Arial"/>
          <w:i/>
          <w:color w:val="auto"/>
          <w:spacing w:val="0"/>
          <w:position w:val="0"/>
          <w:sz w:val="24"/>
          <w:shd w:fill="FFFFFF" w:val="clear"/>
        </w:rPr>
        <w:t xml:space="preserve">Microbial Biotechnology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13</w:t>
      </w:r>
      <w:r>
        <w:rPr>
          <w:rFonts w:ascii="Arial" w:hAnsi="Arial" w:cs="Arial" w:eastAsia="Arial"/>
          <w:color w:val="auto"/>
          <w:spacing w:val="0"/>
          <w:position w:val="0"/>
          <w:sz w:val="24"/>
          <w:shd w:fill="FFFFFF" w:val="clear"/>
        </w:rPr>
        <w:t xml:space="preserve">(6), pp.1689-1701.</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