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272CD80AC924FB8BDA21DE1EDB27DC3"/>
            </w:placeholder>
            <w:dataBinding w:prefixMappings="xmlns:ns0='http://purl.org/dc/elements/1.1/' xmlns:ns1='http://schemas.openxmlformats.org/package/2006/metadata/core-properties' " w:xpath="/ns1:coreProperties[1]/ns0:title[1]" w:storeItemID="{6C3C8BC8-F283-45AE-878A-BAB7291924A1}"/>
            <w:text/>
          </w:sdtPr>
          <w:sdtContent>
            <w:p w14:paraId="55C556CB" w14:textId="2C1FF4A3" w:rsidR="006F7EAB" w:rsidRDefault="006F7EAB" w:rsidP="006F7EA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sidRPr="00B21CF0">
                <w:rPr>
                  <w:rFonts w:asciiTheme="majorHAnsi" w:eastAsiaTheme="majorEastAsia" w:hAnsiTheme="majorHAnsi" w:cstheme="majorBidi"/>
                  <w:caps/>
                  <w:color w:val="5B9BD5" w:themeColor="accent1"/>
                  <w:sz w:val="72"/>
                  <w:szCs w:val="72"/>
                </w:rPr>
                <w:t>MANAGEMENT, INNOVATION AND SUSTAINABILITY</w:t>
              </w:r>
            </w:p>
          </w:sdtContent>
        </w:sdt>
        <w:p w14:paraId="46DB7603" w14:textId="77777777" w:rsidR="006F7EAB" w:rsidRDefault="006F7EAB" w:rsidP="006F7EAB">
          <w:pPr>
            <w:pStyle w:val="NoSpacing"/>
            <w:jc w:val="center"/>
            <w:rPr>
              <w:rFonts w:eastAsiaTheme="minorHAnsi"/>
              <w:color w:val="5B9BD5" w:themeColor="accent1"/>
              <w:sz w:val="28"/>
              <w:szCs w:val="28"/>
              <w:lang w:val="en-GB"/>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28"/>
                  <w:szCs w:val="28"/>
                </w:rPr>
                <w:t>Approaches to Innovation and Organisational Change</w:t>
              </w:r>
            </w:sdtContent>
          </w:sdt>
        </w:p>
        <w:p w14:paraId="16016371" w14:textId="77777777" w:rsidR="006F7EAB" w:rsidRDefault="006F7EAB" w:rsidP="006F7EAB">
          <w:pPr>
            <w:pStyle w:val="NoSpacing"/>
            <w:jc w:val="center"/>
            <w:rPr>
              <w:color w:val="5B9BD5" w:themeColor="accent1"/>
              <w:sz w:val="28"/>
              <w:szCs w:val="28"/>
            </w:rPr>
          </w:pPr>
        </w:p>
        <w:p w14:paraId="61B62FF3" w14:textId="4E50A6CA" w:rsidR="006F7EAB" w:rsidRPr="006F7EAB" w:rsidRDefault="006F7EAB" w:rsidP="006F7EAB">
          <w:pPr>
            <w:pStyle w:val="NoSpacing"/>
            <w:jc w:val="center"/>
            <w:rPr>
              <w:rFonts w:eastAsiaTheme="minorHAnsi"/>
              <w:b/>
              <w:bCs/>
              <w:color w:val="5B9BD5" w:themeColor="accent1"/>
              <w:sz w:val="28"/>
              <w:szCs w:val="28"/>
              <w:lang w:val="en-GB"/>
            </w:rPr>
          </w:pPr>
          <w:r w:rsidRPr="006F7EAB">
            <w:rPr>
              <w:b/>
              <w:bCs/>
              <w:color w:val="5B9BD5" w:themeColor="accent1"/>
              <w:sz w:val="28"/>
              <w:szCs w:val="28"/>
            </w:rPr>
            <w:t>Thomas Evans</w:t>
          </w:r>
        </w:p>
        <w:p w14:paraId="1ADC1124" w14:textId="637384B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384DAC77" w:rsidR="007D1947" w:rsidRDefault="002B251F">
                                    <w:pPr>
                                      <w:pStyle w:val="NoSpacing"/>
                                      <w:spacing w:after="40"/>
                                      <w:jc w:val="center"/>
                                      <w:rPr>
                                        <w:caps/>
                                        <w:color w:val="5B9BD5" w:themeColor="accent1"/>
                                        <w:sz w:val="28"/>
                                        <w:szCs w:val="28"/>
                                      </w:rPr>
                                    </w:pPr>
                                    <w:r>
                                      <w:rPr>
                                        <w:caps/>
                                        <w:color w:val="5B9BD5" w:themeColor="accent1"/>
                                        <w:sz w:val="28"/>
                                        <w:szCs w:val="28"/>
                                      </w:rPr>
                                      <w:t>April 20,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Content>
                            <w:p w14:paraId="52BAF8D9" w14:textId="384DAC77" w:rsidR="007D1947" w:rsidRDefault="002B251F">
                              <w:pPr>
                                <w:pStyle w:val="NoSpacing"/>
                                <w:spacing w:after="40"/>
                                <w:jc w:val="center"/>
                                <w:rPr>
                                  <w:caps/>
                                  <w:color w:val="5B9BD5" w:themeColor="accent1"/>
                                  <w:sz w:val="28"/>
                                  <w:szCs w:val="28"/>
                                </w:rPr>
                              </w:pPr>
                              <w:r>
                                <w:rPr>
                                  <w:caps/>
                                  <w:color w:val="5B9BD5" w:themeColor="accent1"/>
                                  <w:sz w:val="28"/>
                                  <w:szCs w:val="28"/>
                                </w:rPr>
                                <w:t>April 20,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403F73" w14:textId="2E48A031" w:rsidR="006F7EAB" w:rsidRPr="006F7EAB" w:rsidRDefault="006F7EAB" w:rsidP="006F7EAB">
          <w:pPr>
            <w:pStyle w:val="NoSpacing"/>
            <w:spacing w:before="480"/>
            <w:jc w:val="center"/>
            <w:rPr>
              <w:b/>
              <w:bCs/>
              <w:color w:val="5B9BD5" w:themeColor="accent1"/>
              <w:sz w:val="28"/>
              <w:szCs w:val="28"/>
            </w:rPr>
          </w:pPr>
          <w:r w:rsidRPr="006F7EAB">
            <w:rPr>
              <w:b/>
              <w:bCs/>
              <w:color w:val="5B9BD5" w:themeColor="accent1"/>
              <w:sz w:val="28"/>
              <w:szCs w:val="28"/>
            </w:rPr>
            <w:t>2</w:t>
          </w:r>
          <w:r w:rsidR="002B251F">
            <w:rPr>
              <w:b/>
              <w:bCs/>
              <w:color w:val="5B9BD5" w:themeColor="accent1"/>
              <w:sz w:val="28"/>
              <w:szCs w:val="28"/>
            </w:rPr>
            <w:t>741</w:t>
          </w:r>
          <w:r w:rsidRPr="006F7EAB">
            <w:rPr>
              <w:b/>
              <w:bCs/>
              <w:color w:val="5B9BD5" w:themeColor="accent1"/>
              <w:sz w:val="28"/>
              <w:szCs w:val="28"/>
            </w:rPr>
            <w:t xml:space="preserve"> Words  </w:t>
          </w:r>
        </w:p>
        <w:p w14:paraId="16279307" w14:textId="77777777" w:rsidR="006F7EAB" w:rsidRDefault="006F7EAB">
          <w:pPr>
            <w:pStyle w:val="NoSpacing"/>
            <w:spacing w:before="480"/>
            <w:jc w:val="center"/>
            <w:rPr>
              <w:color w:val="5B9BD5" w:themeColor="accent1"/>
            </w:rPr>
          </w:pPr>
        </w:p>
        <w:p w14:paraId="27596F13" w14:textId="77777777" w:rsidR="006F7EAB" w:rsidRDefault="006F7EAB">
          <w:pPr>
            <w:pStyle w:val="NoSpacing"/>
            <w:spacing w:before="480"/>
            <w:jc w:val="center"/>
            <w:rPr>
              <w:color w:val="5B9BD5" w:themeColor="accent1"/>
            </w:rPr>
          </w:pPr>
        </w:p>
        <w:p w14:paraId="5A15F22B" w14:textId="77777777" w:rsidR="006F7EAB" w:rsidRDefault="006F7EAB">
          <w:pPr>
            <w:pStyle w:val="NoSpacing"/>
            <w:spacing w:before="480"/>
            <w:jc w:val="center"/>
            <w:rPr>
              <w:color w:val="5B9BD5" w:themeColor="accent1"/>
            </w:rPr>
          </w:pPr>
        </w:p>
        <w:p w14:paraId="4BEE189D" w14:textId="77777777" w:rsidR="006F7EAB" w:rsidRDefault="006F7EAB">
          <w:pPr>
            <w:pStyle w:val="NoSpacing"/>
            <w:spacing w:before="480"/>
            <w:jc w:val="center"/>
            <w:rPr>
              <w:color w:val="5B9BD5" w:themeColor="accent1"/>
            </w:rPr>
          </w:pPr>
        </w:p>
        <w:p w14:paraId="2E9E14E6" w14:textId="77777777" w:rsidR="006F7EAB" w:rsidRDefault="006F7EAB">
          <w:pPr>
            <w:pStyle w:val="NoSpacing"/>
            <w:spacing w:before="480"/>
            <w:jc w:val="center"/>
            <w:rPr>
              <w:color w:val="5B9BD5" w:themeColor="accent1"/>
            </w:rPr>
          </w:pPr>
        </w:p>
        <w:p w14:paraId="078A531F" w14:textId="77777777" w:rsidR="007D1947" w:rsidRDefault="007D1947" w:rsidP="007D1947">
          <w:pPr>
            <w:pStyle w:val="Heading1"/>
          </w:pPr>
          <w:r>
            <w:br w:type="page"/>
          </w:r>
          <w:bookmarkStart w:id="0" w:name="_Toc227508999"/>
          <w:r>
            <w:lastRenderedPageBreak/>
            <w:t>Executive Summary</w:t>
          </w:r>
          <w:bookmarkEnd w:id="0"/>
        </w:p>
        <w:p w14:paraId="194C9EEF" w14:textId="77777777" w:rsidR="008B74DB" w:rsidRDefault="008B74DB" w:rsidP="008B74DB">
          <w:pPr>
            <w:rPr>
              <w:rFonts w:ascii="Arial" w:hAnsi="Arial" w:cs="Arial"/>
              <w:color w:val="222222"/>
              <w:shd w:val="clear" w:color="auto" w:fill="FFFFFF"/>
            </w:rPr>
          </w:pPr>
        </w:p>
        <w:p w14:paraId="21D35F20" w14:textId="62A2C42B" w:rsidR="008B74DB" w:rsidRPr="00D06B7D" w:rsidRDefault="008B74DB" w:rsidP="008B74DB">
          <w:pPr>
            <w:rPr>
              <w:rFonts w:cstheme="minorHAnsi"/>
              <w:color w:val="222222"/>
              <w:shd w:val="clear" w:color="auto" w:fill="FFFFFF"/>
            </w:rPr>
          </w:pPr>
          <w:r w:rsidRPr="00D06B7D">
            <w:rPr>
              <w:rFonts w:cstheme="minorHAnsi"/>
              <w:color w:val="222222"/>
              <w:shd w:val="clear" w:color="auto" w:fill="FFFFFF"/>
            </w:rPr>
            <w:t>This report looks at the significant organisational change undertaken by TATA Steel at Port Talbot Steel works. It focuses on the shift from the traditional blast furnace operations into the ongoing installation of a new Electric Arc Furnace (EAF). The change will be evaluated with a vary of models and theories, including Lewin’s Forcefield Analysis Model, Lewin’s Three-step Change Model and Mullins Motivation Theory.</w:t>
          </w:r>
        </w:p>
        <w:p w14:paraId="44F51535" w14:textId="4CB802E1" w:rsidR="008B74DB" w:rsidRPr="00D06B7D" w:rsidRDefault="008B74DB" w:rsidP="008B74DB">
          <w:pPr>
            <w:rPr>
              <w:rFonts w:cstheme="minorHAnsi"/>
              <w:color w:val="222222"/>
              <w:shd w:val="clear" w:color="auto" w:fill="FFFFFF"/>
            </w:rPr>
          </w:pPr>
          <w:r w:rsidRPr="00D06B7D">
            <w:rPr>
              <w:rFonts w:cstheme="minorHAnsi"/>
              <w:color w:val="222222"/>
              <w:shd w:val="clear" w:color="auto" w:fill="FFFFFF"/>
            </w:rPr>
            <w:t xml:space="preserve">The major transition represented a massive restructure in the UK Steel sector. The choice was driven by environmental pressures, operational costs and strategic priorities for decarbonisation. The closure of Blast furnace 4 in 2024 marked the end of over a century of Steelmaking in Port Talbot and brought with it,  a substantial amount of workforce reduction. Despite government funding, community initiatives and support mechanisms, </w:t>
          </w:r>
          <w:r w:rsidR="002B7132" w:rsidRPr="00D06B7D">
            <w:rPr>
              <w:rFonts w:cstheme="minorHAnsi"/>
              <w:color w:val="222222"/>
              <w:shd w:val="clear" w:color="auto" w:fill="FFFFFF"/>
            </w:rPr>
            <w:t>several</w:t>
          </w:r>
          <w:r w:rsidRPr="00D06B7D">
            <w:rPr>
              <w:rFonts w:cstheme="minorHAnsi"/>
              <w:color w:val="222222"/>
              <w:shd w:val="clear" w:color="auto" w:fill="FFFFFF"/>
            </w:rPr>
            <w:t xml:space="preserve"> challenges still emerged in the process. The challenges include Inconsistent communication, uncertainty, skill mismatch and low engagement with retraining programmes. </w:t>
          </w:r>
        </w:p>
        <w:p w14:paraId="093B7025" w14:textId="77777777" w:rsidR="008B74DB" w:rsidRPr="00D06B7D" w:rsidRDefault="008B74DB" w:rsidP="008B74DB">
          <w:pPr>
            <w:rPr>
              <w:rFonts w:cstheme="minorHAnsi"/>
            </w:rPr>
          </w:pPr>
          <w:r w:rsidRPr="00D06B7D">
            <w:rPr>
              <w:rFonts w:cstheme="minorHAnsi"/>
              <w:color w:val="222222"/>
              <w:shd w:val="clear" w:color="auto" w:fill="FFFFFF"/>
            </w:rPr>
            <w:t xml:space="preserve">Although some good practise was applied such as enhanced redundancy packages and government industry collaboration, there were clear short comings in communications strategies, employee motivations and change management planning. This report will show that although TATA steel’s transformation supports long term sustainability, more effective communication and workforce planning would have improved the transition. </w:t>
          </w:r>
        </w:p>
        <w:p w14:paraId="1ADAB42E" w14:textId="58F749B4" w:rsidR="00A4233F" w:rsidRPr="00D06B7D" w:rsidRDefault="00A4233F">
          <w:pPr>
            <w:rPr>
              <w:rFonts w:cstheme="minorHAnsi"/>
            </w:rPr>
          </w:pPr>
        </w:p>
        <w:p w14:paraId="62AB7F7D" w14:textId="77777777" w:rsidR="007D1947" w:rsidRPr="00D06B7D" w:rsidRDefault="007D1947">
          <w:pPr>
            <w:rPr>
              <w:rFonts w:cstheme="minorHAnsi"/>
            </w:rPr>
          </w:pPr>
        </w:p>
        <w:p w14:paraId="6846CF66" w14:textId="77777777" w:rsidR="007D1947" w:rsidRPr="00D06B7D" w:rsidRDefault="007D1947">
          <w:pPr>
            <w:rPr>
              <w:rFonts w:cstheme="minorHAnsi"/>
            </w:rPr>
          </w:pPr>
        </w:p>
        <w:p w14:paraId="7F8F78F5" w14:textId="77777777" w:rsidR="007D1947" w:rsidRPr="00D06B7D" w:rsidRDefault="007D1947">
          <w:pPr>
            <w:rPr>
              <w:rFonts w:cstheme="minorHAnsi"/>
            </w:rPr>
          </w:pPr>
        </w:p>
        <w:p w14:paraId="3E204757" w14:textId="77777777" w:rsidR="007D1947" w:rsidRPr="00D06B7D" w:rsidRDefault="007D1947">
          <w:pPr>
            <w:rPr>
              <w:rFonts w:cstheme="minorHAnsi"/>
            </w:rPr>
          </w:pPr>
        </w:p>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2584F54" w14:textId="4EB15666" w:rsidR="00226810" w:rsidRDefault="007D1947" w:rsidP="00226810">
              <w:pPr>
                <w:pStyle w:val="TOC1"/>
                <w:rPr>
                  <w:rFonts w:eastAsiaTheme="minorEastAsia"/>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27508999" w:history="1">
                <w:r w:rsidR="00226810" w:rsidRPr="00A0236D">
                  <w:rPr>
                    <w:rStyle w:val="Hyperlink"/>
                  </w:rPr>
                  <w:t>Executive Summary</w:t>
                </w:r>
                <w:r w:rsidR="00226810">
                  <w:rPr>
                    <w:webHidden/>
                  </w:rPr>
                  <w:tab/>
                </w:r>
                <w:r w:rsidR="00226810">
                  <w:rPr>
                    <w:webHidden/>
                  </w:rPr>
                  <w:fldChar w:fldCharType="begin"/>
                </w:r>
                <w:r w:rsidR="00226810">
                  <w:rPr>
                    <w:webHidden/>
                  </w:rPr>
                  <w:instrText xml:space="preserve"> PAGEREF _Toc227508999 \h </w:instrText>
                </w:r>
                <w:r w:rsidR="00226810">
                  <w:rPr>
                    <w:webHidden/>
                  </w:rPr>
                </w:r>
                <w:r w:rsidR="00226810">
                  <w:rPr>
                    <w:webHidden/>
                  </w:rPr>
                  <w:fldChar w:fldCharType="separate"/>
                </w:r>
                <w:r w:rsidR="00226810">
                  <w:rPr>
                    <w:webHidden/>
                  </w:rPr>
                  <w:t>1</w:t>
                </w:r>
                <w:r w:rsidR="00226810">
                  <w:rPr>
                    <w:webHidden/>
                  </w:rPr>
                  <w:fldChar w:fldCharType="end"/>
                </w:r>
              </w:hyperlink>
            </w:p>
            <w:p w14:paraId="20E82980" w14:textId="016D4006" w:rsidR="00226810" w:rsidRDefault="00226810" w:rsidP="00226810">
              <w:pPr>
                <w:pStyle w:val="TOC1"/>
                <w:rPr>
                  <w:rFonts w:eastAsiaTheme="minorEastAsia"/>
                  <w:kern w:val="2"/>
                  <w:sz w:val="24"/>
                  <w:szCs w:val="24"/>
                  <w:lang w:eastAsia="en-GB"/>
                  <w14:ligatures w14:val="standardContextual"/>
                </w:rPr>
              </w:pPr>
              <w:hyperlink w:anchor="_Toc227509000" w:history="1">
                <w:r w:rsidRPr="00A0236D">
                  <w:rPr>
                    <w:rStyle w:val="Hyperlink"/>
                    <w:b/>
                    <w:bCs/>
                  </w:rPr>
                  <w:t>1     Introduction</w:t>
                </w:r>
                <w:r>
                  <w:rPr>
                    <w:webHidden/>
                  </w:rPr>
                  <w:tab/>
                </w:r>
                <w:r>
                  <w:rPr>
                    <w:webHidden/>
                  </w:rPr>
                  <w:fldChar w:fldCharType="begin"/>
                </w:r>
                <w:r>
                  <w:rPr>
                    <w:webHidden/>
                  </w:rPr>
                  <w:instrText xml:space="preserve"> PAGEREF _Toc227509000 \h </w:instrText>
                </w:r>
                <w:r>
                  <w:rPr>
                    <w:webHidden/>
                  </w:rPr>
                </w:r>
                <w:r>
                  <w:rPr>
                    <w:webHidden/>
                  </w:rPr>
                  <w:fldChar w:fldCharType="separate"/>
                </w:r>
                <w:r>
                  <w:rPr>
                    <w:webHidden/>
                  </w:rPr>
                  <w:t>2</w:t>
                </w:r>
                <w:r>
                  <w:rPr>
                    <w:webHidden/>
                  </w:rPr>
                  <w:fldChar w:fldCharType="end"/>
                </w:r>
              </w:hyperlink>
            </w:p>
            <w:p w14:paraId="058CE121" w14:textId="78ABEC88" w:rsidR="00226810" w:rsidRDefault="00226810" w:rsidP="00226810">
              <w:pPr>
                <w:pStyle w:val="TOC1"/>
                <w:rPr>
                  <w:rFonts w:eastAsiaTheme="minorEastAsia"/>
                  <w:kern w:val="2"/>
                  <w:sz w:val="24"/>
                  <w:szCs w:val="24"/>
                  <w:lang w:eastAsia="en-GB"/>
                  <w14:ligatures w14:val="standardContextual"/>
                </w:rPr>
              </w:pPr>
              <w:hyperlink w:anchor="_Toc227509001" w:history="1">
                <w:r w:rsidRPr="00A0236D">
                  <w:rPr>
                    <w:rStyle w:val="Hyperlink"/>
                    <w:b/>
                    <w:bCs/>
                  </w:rPr>
                  <w:t>2     Main Findings</w:t>
                </w:r>
                <w:r>
                  <w:rPr>
                    <w:webHidden/>
                  </w:rPr>
                  <w:tab/>
                </w:r>
                <w:r>
                  <w:rPr>
                    <w:webHidden/>
                  </w:rPr>
                  <w:fldChar w:fldCharType="begin"/>
                </w:r>
                <w:r>
                  <w:rPr>
                    <w:webHidden/>
                  </w:rPr>
                  <w:instrText xml:space="preserve"> PAGEREF _Toc227509001 \h </w:instrText>
                </w:r>
                <w:r>
                  <w:rPr>
                    <w:webHidden/>
                  </w:rPr>
                </w:r>
                <w:r>
                  <w:rPr>
                    <w:webHidden/>
                  </w:rPr>
                  <w:fldChar w:fldCharType="separate"/>
                </w:r>
                <w:r>
                  <w:rPr>
                    <w:webHidden/>
                  </w:rPr>
                  <w:t>3</w:t>
                </w:r>
                <w:r>
                  <w:rPr>
                    <w:webHidden/>
                  </w:rPr>
                  <w:fldChar w:fldCharType="end"/>
                </w:r>
              </w:hyperlink>
            </w:p>
            <w:p w14:paraId="08A5695C" w14:textId="2A616151" w:rsidR="00226810" w:rsidRDefault="00226810" w:rsidP="00226810">
              <w:pPr>
                <w:pStyle w:val="TOC1"/>
                <w:rPr>
                  <w:rFonts w:eastAsiaTheme="minorEastAsia"/>
                  <w:kern w:val="2"/>
                  <w:sz w:val="24"/>
                  <w:szCs w:val="24"/>
                  <w:lang w:eastAsia="en-GB"/>
                  <w14:ligatures w14:val="standardContextual"/>
                </w:rPr>
              </w:pPr>
              <w:hyperlink w:anchor="_Toc227509002" w:history="1">
                <w:r w:rsidRPr="00A0236D">
                  <w:rPr>
                    <w:rStyle w:val="Hyperlink"/>
                  </w:rPr>
                  <w:t>2.1     Background: TATA Steel Port Talbot Transition</w:t>
                </w:r>
                <w:r>
                  <w:rPr>
                    <w:webHidden/>
                  </w:rPr>
                  <w:tab/>
                </w:r>
                <w:r>
                  <w:rPr>
                    <w:webHidden/>
                  </w:rPr>
                  <w:fldChar w:fldCharType="begin"/>
                </w:r>
                <w:r>
                  <w:rPr>
                    <w:webHidden/>
                  </w:rPr>
                  <w:instrText xml:space="preserve"> PAGEREF _Toc227509002 \h </w:instrText>
                </w:r>
                <w:r>
                  <w:rPr>
                    <w:webHidden/>
                  </w:rPr>
                </w:r>
                <w:r>
                  <w:rPr>
                    <w:webHidden/>
                  </w:rPr>
                  <w:fldChar w:fldCharType="separate"/>
                </w:r>
                <w:r>
                  <w:rPr>
                    <w:webHidden/>
                  </w:rPr>
                  <w:t>3</w:t>
                </w:r>
                <w:r>
                  <w:rPr>
                    <w:webHidden/>
                  </w:rPr>
                  <w:fldChar w:fldCharType="end"/>
                </w:r>
              </w:hyperlink>
            </w:p>
            <w:p w14:paraId="4CC7B501" w14:textId="2E1F4A2D" w:rsidR="00226810" w:rsidRDefault="00226810" w:rsidP="00226810">
              <w:pPr>
                <w:pStyle w:val="TOC1"/>
                <w:rPr>
                  <w:rFonts w:eastAsiaTheme="minorEastAsia"/>
                  <w:kern w:val="2"/>
                  <w:sz w:val="24"/>
                  <w:szCs w:val="24"/>
                  <w:lang w:eastAsia="en-GB"/>
                  <w14:ligatures w14:val="standardContextual"/>
                </w:rPr>
              </w:pPr>
              <w:hyperlink w:anchor="_Toc227509003" w:history="1">
                <w:r w:rsidRPr="00A0236D">
                  <w:rPr>
                    <w:rStyle w:val="Hyperlink"/>
                  </w:rPr>
                  <w:t>2.3     Lewin’s Forcefield Analysis</w:t>
                </w:r>
                <w:r>
                  <w:rPr>
                    <w:webHidden/>
                  </w:rPr>
                  <w:tab/>
                </w:r>
                <w:r>
                  <w:rPr>
                    <w:webHidden/>
                  </w:rPr>
                  <w:fldChar w:fldCharType="begin"/>
                </w:r>
                <w:r>
                  <w:rPr>
                    <w:webHidden/>
                  </w:rPr>
                  <w:instrText xml:space="preserve"> PAGEREF _Toc227509003 \h </w:instrText>
                </w:r>
                <w:r>
                  <w:rPr>
                    <w:webHidden/>
                  </w:rPr>
                </w:r>
                <w:r>
                  <w:rPr>
                    <w:webHidden/>
                  </w:rPr>
                  <w:fldChar w:fldCharType="separate"/>
                </w:r>
                <w:r>
                  <w:rPr>
                    <w:webHidden/>
                  </w:rPr>
                  <w:t>4</w:t>
                </w:r>
                <w:r>
                  <w:rPr>
                    <w:webHidden/>
                  </w:rPr>
                  <w:fldChar w:fldCharType="end"/>
                </w:r>
              </w:hyperlink>
            </w:p>
            <w:p w14:paraId="2477C540" w14:textId="5E1DEA51" w:rsidR="00226810" w:rsidRDefault="00226810" w:rsidP="00226810">
              <w:pPr>
                <w:pStyle w:val="TOC1"/>
                <w:rPr>
                  <w:rFonts w:eastAsiaTheme="minorEastAsia"/>
                  <w:kern w:val="2"/>
                  <w:sz w:val="24"/>
                  <w:szCs w:val="24"/>
                  <w:lang w:eastAsia="en-GB"/>
                  <w14:ligatures w14:val="standardContextual"/>
                </w:rPr>
              </w:pPr>
              <w:hyperlink w:anchor="_Toc227509004" w:history="1">
                <w:r w:rsidRPr="00A0236D">
                  <w:rPr>
                    <w:rStyle w:val="Hyperlink"/>
                  </w:rPr>
                  <w:t>2.4     Lewin’s Three-Step Change Model</w:t>
                </w:r>
                <w:r>
                  <w:rPr>
                    <w:webHidden/>
                  </w:rPr>
                  <w:tab/>
                </w:r>
                <w:r>
                  <w:rPr>
                    <w:webHidden/>
                  </w:rPr>
                  <w:fldChar w:fldCharType="begin"/>
                </w:r>
                <w:r>
                  <w:rPr>
                    <w:webHidden/>
                  </w:rPr>
                  <w:instrText xml:space="preserve"> PAGEREF _Toc227509004 \h </w:instrText>
                </w:r>
                <w:r>
                  <w:rPr>
                    <w:webHidden/>
                  </w:rPr>
                </w:r>
                <w:r>
                  <w:rPr>
                    <w:webHidden/>
                  </w:rPr>
                  <w:fldChar w:fldCharType="separate"/>
                </w:r>
                <w:r>
                  <w:rPr>
                    <w:webHidden/>
                  </w:rPr>
                  <w:t>6</w:t>
                </w:r>
                <w:r>
                  <w:rPr>
                    <w:webHidden/>
                  </w:rPr>
                  <w:fldChar w:fldCharType="end"/>
                </w:r>
              </w:hyperlink>
            </w:p>
            <w:p w14:paraId="21D6F295" w14:textId="3D72C8C0" w:rsidR="00226810" w:rsidRDefault="00226810" w:rsidP="00226810">
              <w:pPr>
                <w:pStyle w:val="TOC1"/>
                <w:rPr>
                  <w:rFonts w:eastAsiaTheme="minorEastAsia"/>
                  <w:kern w:val="2"/>
                  <w:sz w:val="24"/>
                  <w:szCs w:val="24"/>
                  <w:lang w:eastAsia="en-GB"/>
                  <w14:ligatures w14:val="standardContextual"/>
                </w:rPr>
              </w:pPr>
              <w:hyperlink w:anchor="_Toc227509005" w:history="1">
                <w:r w:rsidRPr="00A0236D">
                  <w:rPr>
                    <w:rStyle w:val="Hyperlink"/>
                  </w:rPr>
                  <w:t>2.5     Motivation and workforce impact</w:t>
                </w:r>
                <w:r>
                  <w:rPr>
                    <w:webHidden/>
                  </w:rPr>
                  <w:tab/>
                </w:r>
                <w:r>
                  <w:rPr>
                    <w:webHidden/>
                  </w:rPr>
                  <w:fldChar w:fldCharType="begin"/>
                </w:r>
                <w:r>
                  <w:rPr>
                    <w:webHidden/>
                  </w:rPr>
                  <w:instrText xml:space="preserve"> PAGEREF _Toc227509005 \h </w:instrText>
                </w:r>
                <w:r>
                  <w:rPr>
                    <w:webHidden/>
                  </w:rPr>
                </w:r>
                <w:r>
                  <w:rPr>
                    <w:webHidden/>
                  </w:rPr>
                  <w:fldChar w:fldCharType="separate"/>
                </w:r>
                <w:r>
                  <w:rPr>
                    <w:webHidden/>
                  </w:rPr>
                  <w:t>7</w:t>
                </w:r>
                <w:r>
                  <w:rPr>
                    <w:webHidden/>
                  </w:rPr>
                  <w:fldChar w:fldCharType="end"/>
                </w:r>
              </w:hyperlink>
            </w:p>
            <w:p w14:paraId="4E24F8CC" w14:textId="58A3C00E" w:rsidR="00226810" w:rsidRDefault="00226810" w:rsidP="00226810">
              <w:pPr>
                <w:pStyle w:val="TOC1"/>
                <w:rPr>
                  <w:rFonts w:eastAsiaTheme="minorEastAsia"/>
                  <w:kern w:val="2"/>
                  <w:sz w:val="24"/>
                  <w:szCs w:val="24"/>
                  <w:lang w:eastAsia="en-GB"/>
                  <w14:ligatures w14:val="standardContextual"/>
                </w:rPr>
              </w:pPr>
              <w:hyperlink w:anchor="_Toc227509006" w:history="1">
                <w:r w:rsidRPr="00A0236D">
                  <w:rPr>
                    <w:rStyle w:val="Hyperlink"/>
                    <w:rFonts w:asciiTheme="majorHAnsi" w:eastAsiaTheme="majorEastAsia" w:hAnsiTheme="majorHAnsi" w:cstheme="majorBidi"/>
                  </w:rPr>
                  <w:t>2.6     Good Practise Identified</w:t>
                </w:r>
                <w:r>
                  <w:rPr>
                    <w:webHidden/>
                  </w:rPr>
                  <w:tab/>
                </w:r>
                <w:r>
                  <w:rPr>
                    <w:webHidden/>
                  </w:rPr>
                  <w:fldChar w:fldCharType="begin"/>
                </w:r>
                <w:r>
                  <w:rPr>
                    <w:webHidden/>
                  </w:rPr>
                  <w:instrText xml:space="preserve"> PAGEREF _Toc227509006 \h </w:instrText>
                </w:r>
                <w:r>
                  <w:rPr>
                    <w:webHidden/>
                  </w:rPr>
                </w:r>
                <w:r>
                  <w:rPr>
                    <w:webHidden/>
                  </w:rPr>
                  <w:fldChar w:fldCharType="separate"/>
                </w:r>
                <w:r>
                  <w:rPr>
                    <w:webHidden/>
                  </w:rPr>
                  <w:t>7</w:t>
                </w:r>
                <w:r>
                  <w:rPr>
                    <w:webHidden/>
                  </w:rPr>
                  <w:fldChar w:fldCharType="end"/>
                </w:r>
              </w:hyperlink>
            </w:p>
            <w:p w14:paraId="7B698C90" w14:textId="68B8D347" w:rsidR="00226810" w:rsidRDefault="00226810" w:rsidP="00226810">
              <w:pPr>
                <w:pStyle w:val="TOC1"/>
                <w:rPr>
                  <w:rFonts w:eastAsiaTheme="minorEastAsia"/>
                  <w:kern w:val="2"/>
                  <w:sz w:val="24"/>
                  <w:szCs w:val="24"/>
                  <w:lang w:eastAsia="en-GB"/>
                  <w14:ligatures w14:val="standardContextual"/>
                </w:rPr>
              </w:pPr>
              <w:hyperlink w:anchor="_Toc227509007" w:history="1">
                <w:r w:rsidRPr="00A0236D">
                  <w:rPr>
                    <w:rStyle w:val="Hyperlink"/>
                    <w:rFonts w:asciiTheme="majorHAnsi" w:eastAsiaTheme="majorEastAsia" w:hAnsiTheme="majorHAnsi" w:cstheme="majorBidi"/>
                  </w:rPr>
                  <w:t>2.7     Areas for Improvement</w:t>
                </w:r>
                <w:r>
                  <w:rPr>
                    <w:webHidden/>
                  </w:rPr>
                  <w:tab/>
                </w:r>
                <w:r>
                  <w:rPr>
                    <w:webHidden/>
                  </w:rPr>
                  <w:fldChar w:fldCharType="begin"/>
                </w:r>
                <w:r>
                  <w:rPr>
                    <w:webHidden/>
                  </w:rPr>
                  <w:instrText xml:space="preserve"> PAGEREF _Toc227509007 \h </w:instrText>
                </w:r>
                <w:r>
                  <w:rPr>
                    <w:webHidden/>
                  </w:rPr>
                </w:r>
                <w:r>
                  <w:rPr>
                    <w:webHidden/>
                  </w:rPr>
                  <w:fldChar w:fldCharType="separate"/>
                </w:r>
                <w:r>
                  <w:rPr>
                    <w:webHidden/>
                  </w:rPr>
                  <w:t>8</w:t>
                </w:r>
                <w:r>
                  <w:rPr>
                    <w:webHidden/>
                  </w:rPr>
                  <w:fldChar w:fldCharType="end"/>
                </w:r>
              </w:hyperlink>
            </w:p>
            <w:p w14:paraId="1B426414" w14:textId="0F13A7FC" w:rsidR="00226810" w:rsidRPr="00226810" w:rsidRDefault="00226810" w:rsidP="00226810">
              <w:pPr>
                <w:pStyle w:val="TOC1"/>
                <w:rPr>
                  <w:rFonts w:eastAsiaTheme="minorEastAsia"/>
                  <w:kern w:val="2"/>
                  <w:sz w:val="24"/>
                  <w:szCs w:val="24"/>
                  <w:lang w:eastAsia="en-GB"/>
                  <w14:ligatures w14:val="standardContextual"/>
                </w:rPr>
              </w:pPr>
              <w:hyperlink w:anchor="_Toc227509008" w:history="1">
                <w:r w:rsidRPr="00226810">
                  <w:rPr>
                    <w:rStyle w:val="Hyperlink"/>
                  </w:rPr>
                  <w:t xml:space="preserve">3     </w:t>
                </w:r>
                <w:r w:rsidRPr="00226810">
                  <w:rPr>
                    <w:rStyle w:val="Hyperlink"/>
                    <w:b/>
                    <w:bCs/>
                  </w:rPr>
                  <w:t>Conclusion</w:t>
                </w:r>
                <w:r w:rsidRPr="00226810">
                  <w:rPr>
                    <w:webHidden/>
                  </w:rPr>
                  <w:tab/>
                </w:r>
                <w:r w:rsidRPr="00226810">
                  <w:rPr>
                    <w:webHidden/>
                  </w:rPr>
                  <w:fldChar w:fldCharType="begin"/>
                </w:r>
                <w:r w:rsidRPr="00226810">
                  <w:rPr>
                    <w:webHidden/>
                  </w:rPr>
                  <w:instrText xml:space="preserve"> PAGEREF _Toc227509008 \h </w:instrText>
                </w:r>
                <w:r w:rsidRPr="00226810">
                  <w:rPr>
                    <w:webHidden/>
                  </w:rPr>
                </w:r>
                <w:r w:rsidRPr="00226810">
                  <w:rPr>
                    <w:webHidden/>
                  </w:rPr>
                  <w:fldChar w:fldCharType="separate"/>
                </w:r>
                <w:r w:rsidRPr="00226810">
                  <w:rPr>
                    <w:webHidden/>
                  </w:rPr>
                  <w:t>9</w:t>
                </w:r>
                <w:r w:rsidRPr="00226810">
                  <w:rPr>
                    <w:webHidden/>
                  </w:rPr>
                  <w:fldChar w:fldCharType="end"/>
                </w:r>
              </w:hyperlink>
            </w:p>
            <w:p w14:paraId="5D061F2B" w14:textId="05A1ED32" w:rsidR="00226810" w:rsidRDefault="00226810" w:rsidP="00226810">
              <w:pPr>
                <w:pStyle w:val="TOC1"/>
                <w:rPr>
                  <w:rFonts w:eastAsiaTheme="minorEastAsia"/>
                  <w:kern w:val="2"/>
                  <w:sz w:val="24"/>
                  <w:szCs w:val="24"/>
                  <w:lang w:eastAsia="en-GB"/>
                  <w14:ligatures w14:val="standardContextual"/>
                </w:rPr>
              </w:pPr>
              <w:hyperlink w:anchor="_Toc227509009" w:history="1">
                <w:r w:rsidRPr="00A0236D">
                  <w:rPr>
                    <w:rStyle w:val="Hyperlink"/>
                  </w:rPr>
                  <w:t xml:space="preserve">4    </w:t>
                </w:r>
                <w:r w:rsidRPr="00226810">
                  <w:rPr>
                    <w:rStyle w:val="Hyperlink"/>
                    <w:b/>
                    <w:bCs/>
                  </w:rPr>
                  <w:t>References</w:t>
                </w:r>
                <w:r>
                  <w:rPr>
                    <w:webHidden/>
                  </w:rPr>
                  <w:tab/>
                </w:r>
                <w:r>
                  <w:rPr>
                    <w:webHidden/>
                  </w:rPr>
                  <w:fldChar w:fldCharType="begin"/>
                </w:r>
                <w:r>
                  <w:rPr>
                    <w:webHidden/>
                  </w:rPr>
                  <w:instrText xml:space="preserve"> PAGEREF _Toc227509009 \h </w:instrText>
                </w:r>
                <w:r>
                  <w:rPr>
                    <w:webHidden/>
                  </w:rPr>
                </w:r>
                <w:r>
                  <w:rPr>
                    <w:webHidden/>
                  </w:rPr>
                  <w:fldChar w:fldCharType="separate"/>
                </w:r>
                <w:r>
                  <w:rPr>
                    <w:webHidden/>
                  </w:rPr>
                  <w:t>10</w:t>
                </w:r>
                <w:r>
                  <w:rPr>
                    <w:webHidden/>
                  </w:rPr>
                  <w:fldChar w:fldCharType="end"/>
                </w:r>
              </w:hyperlink>
            </w:p>
            <w:p w14:paraId="4EE68E89" w14:textId="20AD69DC" w:rsidR="00226810" w:rsidRDefault="00226810" w:rsidP="00226810">
              <w:pPr>
                <w:pStyle w:val="TOC1"/>
                <w:rPr>
                  <w:rFonts w:eastAsiaTheme="minorEastAsia"/>
                  <w:kern w:val="2"/>
                  <w:sz w:val="24"/>
                  <w:szCs w:val="24"/>
                  <w:lang w:eastAsia="en-GB"/>
                  <w14:ligatures w14:val="standardContextual"/>
                </w:rPr>
              </w:pPr>
              <w:hyperlink w:anchor="_Toc227509010" w:history="1">
                <w:r w:rsidRPr="00A0236D">
                  <w:rPr>
                    <w:rStyle w:val="Hyperlink"/>
                  </w:rPr>
                  <w:t>Bibliography</w:t>
                </w:r>
                <w:r>
                  <w:rPr>
                    <w:webHidden/>
                  </w:rPr>
                  <w:tab/>
                </w:r>
                <w:r>
                  <w:rPr>
                    <w:webHidden/>
                  </w:rPr>
                  <w:fldChar w:fldCharType="begin"/>
                </w:r>
                <w:r>
                  <w:rPr>
                    <w:webHidden/>
                  </w:rPr>
                  <w:instrText xml:space="preserve"> PAGEREF _Toc227509010 \h </w:instrText>
                </w:r>
                <w:r>
                  <w:rPr>
                    <w:webHidden/>
                  </w:rPr>
                </w:r>
                <w:r>
                  <w:rPr>
                    <w:webHidden/>
                  </w:rPr>
                  <w:fldChar w:fldCharType="separate"/>
                </w:r>
                <w:r>
                  <w:rPr>
                    <w:webHidden/>
                  </w:rPr>
                  <w:t>12</w:t>
                </w:r>
                <w:r>
                  <w:rPr>
                    <w:webHidden/>
                  </w:rPr>
                  <w:fldChar w:fldCharType="end"/>
                </w:r>
              </w:hyperlink>
            </w:p>
            <w:p w14:paraId="21D0F861" w14:textId="02B1EA7E" w:rsidR="007D1947" w:rsidRDefault="007D1947">
              <w:r>
                <w:rPr>
                  <w:b/>
                  <w:bCs/>
                  <w:noProof/>
                </w:rPr>
                <w:fldChar w:fldCharType="end"/>
              </w:r>
            </w:p>
          </w:sdtContent>
        </w:sdt>
        <w:p w14:paraId="655F29CA" w14:textId="77777777" w:rsidR="007D1947" w:rsidRDefault="007D1947"/>
        <w:p w14:paraId="0ED321E6" w14:textId="2F817CF7" w:rsidR="007D1947" w:rsidRPr="00AB2BC8" w:rsidRDefault="00577528" w:rsidP="00A12B58">
          <w:pPr>
            <w:pStyle w:val="Heading1"/>
            <w:rPr>
              <w:b/>
              <w:bCs/>
              <w:sz w:val="36"/>
              <w:szCs w:val="36"/>
            </w:rPr>
          </w:pPr>
          <w:bookmarkStart w:id="1" w:name="_Toc227509000"/>
          <w:r w:rsidRPr="00AB2BC8">
            <w:rPr>
              <w:b/>
              <w:bCs/>
              <w:sz w:val="36"/>
              <w:szCs w:val="36"/>
            </w:rPr>
            <w:t xml:space="preserve">1     </w:t>
          </w:r>
          <w:r w:rsidR="007D1947" w:rsidRPr="00AB2BC8">
            <w:rPr>
              <w:b/>
              <w:bCs/>
              <w:sz w:val="36"/>
              <w:szCs w:val="36"/>
            </w:rPr>
            <w:t>Introduction</w:t>
          </w:r>
          <w:bookmarkEnd w:id="1"/>
          <w:r w:rsidR="00480872" w:rsidRPr="00AB2BC8">
            <w:rPr>
              <w:b/>
              <w:bCs/>
              <w:sz w:val="36"/>
              <w:szCs w:val="36"/>
            </w:rPr>
            <w:t xml:space="preserve"> </w:t>
          </w:r>
          <w:r w:rsidR="00E91208" w:rsidRPr="00AB2BC8">
            <w:rPr>
              <w:b/>
              <w:bCs/>
              <w:sz w:val="36"/>
              <w:szCs w:val="36"/>
            </w:rPr>
            <w:t xml:space="preserve"> </w:t>
          </w:r>
        </w:p>
        <w:p w14:paraId="3DF2766F" w14:textId="77777777" w:rsidR="00AF435C" w:rsidRDefault="00AF435C" w:rsidP="00AF435C"/>
        <w:p w14:paraId="459C35C8" w14:textId="7D10594D" w:rsidR="00AF435C" w:rsidRDefault="00AF435C" w:rsidP="00AF435C">
          <w:r>
            <w:t>Organisational change is a fundamental part of modern heavy industry, especially in sectors that experience economic, technological and environmental pressures. Within heavy industry and manufacturing, these changes can often involve very complex operational shifts and social consequences. This report analyses the major organisational transformation undertaken at Tata Steels Port Talbot steelworks.</w:t>
          </w:r>
        </w:p>
        <w:p w14:paraId="5B9DB56D" w14:textId="1BB80123" w:rsidR="00AF435C" w:rsidRPr="00AF435C" w:rsidRDefault="00AF435C" w:rsidP="00AF435C">
          <w:r>
            <w:t xml:space="preserve">Tata Steel is one of the UK’s largest steel producers, and its Port Talbot site has been the centre of Welsh steel making for over 100 years. In recent years, TATA’s Port Talbot site had been under a period of significant financial and operational pressure with reports that </w:t>
          </w:r>
          <w:r w:rsidR="00497FB8">
            <w:t xml:space="preserve">”The blast furnace operation was incurring losses of £1 million a day”  </w:t>
          </w:r>
          <w:r w:rsidR="00497FB8" w:rsidRPr="00497FB8">
            <w:rPr>
              <w:highlight w:val="lightGray"/>
            </w:rPr>
            <w:t>(Harrington</w:t>
          </w:r>
          <w:r w:rsidR="00C17124">
            <w:rPr>
              <w:highlight w:val="lightGray"/>
            </w:rPr>
            <w:t>, 2024</w:t>
          </w:r>
          <w:r w:rsidR="00497FB8" w:rsidRPr="00497FB8">
            <w:rPr>
              <w:highlight w:val="lightGray"/>
            </w:rPr>
            <w:t>)</w:t>
          </w:r>
          <w:r w:rsidR="00497FB8">
            <w:t xml:space="preserve">. Without restructuring, this would have put the company under risk of </w:t>
          </w:r>
          <w:r w:rsidR="00577528">
            <w:t>long-term</w:t>
          </w:r>
          <w:r w:rsidR="00497FB8">
            <w:t xml:space="preserve"> sustainability. In response to the economic challenges and increasing pressure of environmental obligations, the company announced the closure of Blast furnace 4</w:t>
          </w:r>
          <w:r w:rsidR="00C17124">
            <w:t xml:space="preserve"> and over 2800 jobs to be cut on the 30</w:t>
          </w:r>
          <w:r w:rsidR="00C17124" w:rsidRPr="00C17124">
            <w:rPr>
              <w:vertAlign w:val="superscript"/>
            </w:rPr>
            <w:t>th</w:t>
          </w:r>
          <w:r w:rsidR="00C17124">
            <w:t xml:space="preserve"> of September 2024 </w:t>
          </w:r>
          <w:r w:rsidR="00C17124" w:rsidRPr="00C17124">
            <w:rPr>
              <w:highlight w:val="lightGray"/>
            </w:rPr>
            <w:t>(Thomas and Pigott</w:t>
          </w:r>
          <w:r w:rsidR="00C17124" w:rsidRPr="00C17124">
            <w:rPr>
              <w:highlight w:val="lightGray"/>
            </w:rPr>
            <w:t>, 2024</w:t>
          </w:r>
          <w:r w:rsidR="00C17124" w:rsidRPr="00C17124">
            <w:rPr>
              <w:highlight w:val="lightGray"/>
            </w:rPr>
            <w:t>)</w:t>
          </w:r>
          <w:r w:rsidR="00C17124">
            <w:t>, marking the end of primary steelmaking at the site after more than a century of operation.</w:t>
          </w:r>
        </w:p>
        <w:p w14:paraId="54C81D2A" w14:textId="1F5036B0" w:rsidR="007D1947" w:rsidRPr="00403385" w:rsidRDefault="00C17124" w:rsidP="007D1947">
          <w:r w:rsidRPr="00403385">
            <w:t>The organisational change centres on Tata Steel</w:t>
          </w:r>
          <w:r w:rsidR="00403385" w:rsidRPr="00403385">
            <w:t>’s £1.25 billion investment into</w:t>
          </w:r>
          <w:r w:rsidR="00403385">
            <w:t xml:space="preserve"> a new Electric Arc Furnace (EAF), supported by £500 million in UK Government funding, representing the largest </w:t>
          </w:r>
          <w:r w:rsidR="009E2460">
            <w:t>modernisation</w:t>
          </w:r>
          <w:r w:rsidR="00403385">
            <w:t xml:space="preserve"> of UK steel making in decades. Effective Leadership and management should be essential in large-scale transitions such as this, particularly in communicating the need for change, managing workforce expectations and maintaining motivations. </w:t>
          </w:r>
        </w:p>
        <w:p w14:paraId="7C657C89" w14:textId="77777777" w:rsidR="00AA2A91" w:rsidRPr="00403385" w:rsidRDefault="00AA2A91" w:rsidP="004D519C"/>
        <w:p w14:paraId="2E293EB9" w14:textId="694CFDB0" w:rsidR="00480872" w:rsidRPr="00AB2BC8" w:rsidRDefault="00577528" w:rsidP="008D4C45">
          <w:pPr>
            <w:pStyle w:val="Heading1"/>
            <w:rPr>
              <w:b/>
              <w:bCs/>
              <w:sz w:val="36"/>
              <w:szCs w:val="36"/>
            </w:rPr>
          </w:pPr>
          <w:bookmarkStart w:id="2" w:name="_Toc227509001"/>
          <w:r w:rsidRPr="00AB2BC8">
            <w:rPr>
              <w:b/>
              <w:bCs/>
              <w:sz w:val="36"/>
              <w:szCs w:val="36"/>
            </w:rPr>
            <w:lastRenderedPageBreak/>
            <w:t xml:space="preserve">2     </w:t>
          </w:r>
          <w:r w:rsidR="00480872" w:rsidRPr="00AB2BC8">
            <w:rPr>
              <w:b/>
              <w:bCs/>
              <w:sz w:val="36"/>
              <w:szCs w:val="36"/>
            </w:rPr>
            <w:t>Main Findings</w:t>
          </w:r>
          <w:bookmarkEnd w:id="2"/>
        </w:p>
        <w:p w14:paraId="7A155DF2" w14:textId="3E2864FD" w:rsidR="008D4C45" w:rsidRDefault="008D4C45" w:rsidP="005014C5"/>
        <w:p w14:paraId="46602C65" w14:textId="0DD6BD98" w:rsidR="00577528" w:rsidRPr="00577528" w:rsidRDefault="00577528" w:rsidP="005014C5">
          <w:pPr>
            <w:rPr>
              <w:b/>
              <w:bCs/>
            </w:rPr>
          </w:pPr>
          <w:r w:rsidRPr="00577528">
            <w:rPr>
              <w:b/>
              <w:bCs/>
            </w:rPr>
            <w:t>What is organisational change?</w:t>
          </w:r>
        </w:p>
        <w:p w14:paraId="1BA63037" w14:textId="70177AF3" w:rsidR="00593DEE" w:rsidRDefault="00577528" w:rsidP="00593DEE">
          <w:r>
            <w:t>Organisational change is the process in which a company would alter their structures, strategies, technologies or workforce arrangements in response to an internal/external pressure.</w:t>
          </w:r>
          <w:r w:rsidR="00593DEE">
            <w:t xml:space="preserve"> There are many different factors that can make an organisation change their systems and procedures. Some of these include: </w:t>
          </w:r>
        </w:p>
        <w:p w14:paraId="2D7B0170" w14:textId="5E9F54C0" w:rsidR="00593DEE" w:rsidRDefault="00593DEE" w:rsidP="00593DEE">
          <w:pPr>
            <w:pStyle w:val="ListParagraph"/>
            <w:numPr>
              <w:ilvl w:val="0"/>
              <w:numId w:val="2"/>
            </w:numPr>
          </w:pPr>
          <w:r>
            <w:t>New leadership at the head of a company</w:t>
          </w:r>
        </w:p>
        <w:p w14:paraId="40BBF9CB" w14:textId="4A430B4E" w:rsidR="00593DEE" w:rsidRDefault="00593DEE" w:rsidP="00593DEE">
          <w:pPr>
            <w:pStyle w:val="ListParagraph"/>
            <w:numPr>
              <w:ilvl w:val="0"/>
              <w:numId w:val="2"/>
            </w:numPr>
          </w:pPr>
          <w:r>
            <w:t>Shifts in organisational team structure</w:t>
          </w:r>
        </w:p>
        <w:p w14:paraId="1ADA6DE9" w14:textId="2BC64197" w:rsidR="00593DEE" w:rsidRDefault="00593DEE" w:rsidP="00593DEE">
          <w:pPr>
            <w:pStyle w:val="ListParagraph"/>
            <w:numPr>
              <w:ilvl w:val="0"/>
              <w:numId w:val="2"/>
            </w:numPr>
          </w:pPr>
          <w:r>
            <w:t>Implementation of new Technology</w:t>
          </w:r>
        </w:p>
        <w:p w14:paraId="4E2EF8A7" w14:textId="5DB02D8A" w:rsidR="00593DEE" w:rsidRPr="00593DEE" w:rsidRDefault="00593DEE" w:rsidP="00593DEE">
          <w:pPr>
            <w:pStyle w:val="ListParagraph"/>
            <w:numPr>
              <w:ilvl w:val="0"/>
              <w:numId w:val="2"/>
            </w:numPr>
          </w:pPr>
          <w:r>
            <w:t xml:space="preserve">Adoption of new business models </w:t>
          </w:r>
          <w:r w:rsidRPr="00593DEE">
            <w:rPr>
              <w:highlight w:val="lightGray"/>
            </w:rPr>
            <w:t>(Stobierski</w:t>
          </w:r>
          <w:r w:rsidRPr="00593DEE">
            <w:rPr>
              <w:highlight w:val="lightGray"/>
            </w:rPr>
            <w:t>, 2020</w:t>
          </w:r>
          <w:r w:rsidRPr="00593DEE">
            <w:rPr>
              <w:highlight w:val="lightGray"/>
            </w:rPr>
            <w:t>)</w:t>
          </w:r>
        </w:p>
        <w:p w14:paraId="6B8E5B2E" w14:textId="7B05FB93" w:rsidR="00593DEE" w:rsidRDefault="00593DEE" w:rsidP="00593DEE">
          <w:pPr>
            <w:pStyle w:val="ListParagraph"/>
          </w:pPr>
        </w:p>
        <w:p w14:paraId="4F78068C" w14:textId="13F170A3" w:rsidR="00577528" w:rsidRDefault="00577528" w:rsidP="00577528">
          <w:r>
            <w:t xml:space="preserve"> In the </w:t>
          </w:r>
          <w:r w:rsidR="00593DEE">
            <w:t xml:space="preserve">case of TATA Steel, </w:t>
          </w:r>
          <w:r w:rsidR="00905B02">
            <w:t>t</w:t>
          </w:r>
          <w:r w:rsidR="00593DEE">
            <w:t xml:space="preserve">he </w:t>
          </w:r>
          <w:r w:rsidR="00905B02">
            <w:t>transformation</w:t>
          </w:r>
          <w:r w:rsidR="00593DEE">
            <w:t xml:space="preserve"> was due to implementation of new technology</w:t>
          </w:r>
          <w:r w:rsidR="00905B02">
            <w:t>.</w:t>
          </w:r>
        </w:p>
        <w:p w14:paraId="4D17BD17" w14:textId="7E7D9752" w:rsidR="00593DEE" w:rsidRDefault="00577528" w:rsidP="00577528">
          <w:r>
            <w:t xml:space="preserve">Lewins models of change is influential in </w:t>
          </w:r>
          <w:r w:rsidR="00AB2BC8">
            <w:t>analysing</w:t>
          </w:r>
          <w:r>
            <w:t xml:space="preserve"> </w:t>
          </w:r>
          <w:r w:rsidR="00AB2BC8">
            <w:t>these transformations. His forcefield analysis identifies the forces that can drive or resist change, while the Three-step model (Unfreeze – Change – Refreeze) describes the stages organisations must navigate to successfully integrate new processes</w:t>
          </w:r>
        </w:p>
        <w:p w14:paraId="4043C38E" w14:textId="77777777" w:rsidR="00226810" w:rsidRDefault="00226810" w:rsidP="00577528"/>
        <w:p w14:paraId="0BB3E2D6" w14:textId="6D911F8B" w:rsidR="00AB2BC8" w:rsidRDefault="00AB2BC8" w:rsidP="00226810">
          <w:pPr>
            <w:pStyle w:val="Heading1"/>
          </w:pPr>
          <w:bookmarkStart w:id="3" w:name="_Toc227509002"/>
          <w:r w:rsidRPr="00AB2BC8">
            <w:t>2.1     Background: TATA Steel Port Talbot Transition</w:t>
          </w:r>
          <w:bookmarkEnd w:id="3"/>
        </w:p>
        <w:p w14:paraId="62EC8864" w14:textId="77777777" w:rsidR="00AB2BC8" w:rsidRDefault="00AB2BC8" w:rsidP="00577528">
          <w:pPr>
            <w:rPr>
              <w:rFonts w:asciiTheme="majorHAnsi" w:hAnsiTheme="majorHAnsi" w:cstheme="majorHAnsi"/>
              <w:color w:val="2E74B5" w:themeColor="accent1" w:themeShade="BF"/>
              <w:sz w:val="28"/>
              <w:szCs w:val="28"/>
            </w:rPr>
          </w:pPr>
        </w:p>
        <w:p w14:paraId="5B7CF8FF" w14:textId="7C49FC1D" w:rsidR="00AB2BC8" w:rsidRPr="00226810" w:rsidRDefault="00AB2BC8" w:rsidP="00226810">
          <w:pPr>
            <w:rPr>
              <w:b/>
              <w:bCs/>
            </w:rPr>
          </w:pPr>
          <w:r w:rsidRPr="00226810">
            <w:rPr>
              <w:b/>
              <w:bCs/>
            </w:rPr>
            <w:t>Closure of Blast furnace 4</w:t>
          </w:r>
        </w:p>
        <w:p w14:paraId="137723E7" w14:textId="5F600A94" w:rsidR="00071017" w:rsidRPr="00071017" w:rsidRDefault="00F16E8A" w:rsidP="00226810">
          <w:r w:rsidRPr="00F16E8A">
            <w:t>On the 30</w:t>
          </w:r>
          <w:r w:rsidRPr="00F16E8A">
            <w:rPr>
              <w:vertAlign w:val="superscript"/>
            </w:rPr>
            <w:t>th</w:t>
          </w:r>
          <w:r w:rsidRPr="00F16E8A">
            <w:t xml:space="preserve"> of September 2024</w:t>
          </w:r>
          <w:r>
            <w:t>, Blast Furnace 4 at Port Talbot was permanently closed, Ending over a century of primary Steelmaking at the site. This closure symbolised a major turning point for the Welsh steel industry and represented the final step in phasing out traditional steelmaking methods at the site.</w:t>
          </w:r>
          <w:r w:rsidR="00071017">
            <w:t xml:space="preserve"> </w:t>
          </w:r>
          <w:r w:rsidR="00071017" w:rsidRPr="00071017">
            <w:rPr>
              <w:highlight w:val="lightGray"/>
            </w:rPr>
            <w:t>(Frampton</w:t>
          </w:r>
          <w:r w:rsidR="00071017" w:rsidRPr="00071017">
            <w:rPr>
              <w:highlight w:val="lightGray"/>
            </w:rPr>
            <w:t>, 2024</w:t>
          </w:r>
          <w:r w:rsidR="00071017" w:rsidRPr="00071017">
            <w:rPr>
              <w:highlight w:val="lightGray"/>
            </w:rPr>
            <w:t>)</w:t>
          </w:r>
        </w:p>
        <w:p w14:paraId="5990AF13" w14:textId="5CA922C4" w:rsidR="00AB2BC8" w:rsidRDefault="00AB2BC8" w:rsidP="00577528">
          <w:pPr>
            <w:rPr>
              <w:rFonts w:ascii="Calibri" w:hAnsi="Calibri" w:cs="Calibri"/>
              <w:color w:val="000000" w:themeColor="text1"/>
            </w:rPr>
          </w:pPr>
        </w:p>
        <w:p w14:paraId="460DEE39" w14:textId="5710B4D3" w:rsidR="00F16E8A" w:rsidRPr="00226810" w:rsidRDefault="00F16E8A" w:rsidP="00226810">
          <w:pPr>
            <w:rPr>
              <w:b/>
              <w:bCs/>
            </w:rPr>
          </w:pPr>
          <w:r w:rsidRPr="00226810">
            <w:rPr>
              <w:b/>
              <w:bCs/>
            </w:rPr>
            <w:t>Investment in Electric Arc Furnace Technology</w:t>
          </w:r>
        </w:p>
        <w:p w14:paraId="25A99837" w14:textId="30971EED" w:rsidR="00071017" w:rsidRPr="00226810" w:rsidRDefault="00F16E8A" w:rsidP="00577528">
          <w:r w:rsidRPr="00F16E8A">
            <w:t>The Company then announced a £1.25 billion investment into a new Electric Arc Furnace (EAF), which was supported by £500 million in UK government funding making it one of the largest UK steel industry investments in history. According to TATA Steel, the EAF is expected to reduce emissions by up to 5 million tonnes per year. This is equivalent to a 90% reduction compared to the Blast furnace Process.</w:t>
          </w:r>
          <w:r w:rsidR="00071017">
            <w:t xml:space="preserve"> </w:t>
          </w:r>
          <w:r w:rsidR="00071017" w:rsidRPr="00071017">
            <w:rPr>
              <w:highlight w:val="lightGray"/>
            </w:rPr>
            <w:t>(</w:t>
          </w:r>
          <w:r w:rsidR="00071017" w:rsidRPr="00071017">
            <w:rPr>
              <w:highlight w:val="lightGray"/>
            </w:rPr>
            <w:t>Tata Steel, 2024</w:t>
          </w:r>
          <w:r w:rsidR="00071017" w:rsidRPr="00071017">
            <w:t>)</w:t>
          </w:r>
        </w:p>
        <w:p w14:paraId="3DF152E4" w14:textId="77777777" w:rsidR="00071017" w:rsidRDefault="00071017" w:rsidP="00577528">
          <w:pPr>
            <w:rPr>
              <w:rFonts w:ascii="Calibri" w:hAnsi="Calibri" w:cs="Calibri"/>
              <w:color w:val="000000" w:themeColor="text1"/>
            </w:rPr>
          </w:pPr>
        </w:p>
        <w:p w14:paraId="113D4E28" w14:textId="2BE0EB6A" w:rsidR="00F16E8A" w:rsidRPr="00226810" w:rsidRDefault="00F16E8A" w:rsidP="00226810">
          <w:pPr>
            <w:rPr>
              <w:b/>
              <w:bCs/>
            </w:rPr>
          </w:pPr>
          <w:r w:rsidRPr="00226810">
            <w:rPr>
              <w:b/>
              <w:bCs/>
            </w:rPr>
            <w:t>Workforce reductions</w:t>
          </w:r>
        </w:p>
        <w:p w14:paraId="0CC6AB50" w14:textId="332323CC" w:rsidR="00F16E8A" w:rsidRPr="00226810" w:rsidRDefault="00F16E8A" w:rsidP="00226810">
          <w:r w:rsidRPr="00226810">
            <w:t xml:space="preserve">Between September 2024 and July 2025, </w:t>
          </w:r>
          <w:proofErr w:type="gramStart"/>
          <w:r w:rsidRPr="00226810">
            <w:t>2162</w:t>
          </w:r>
          <w:proofErr w:type="gramEnd"/>
          <w:r w:rsidRPr="00226810">
            <w:t xml:space="preserve"> employees left the business after an announcement of 2800 job losses were announced as at risk across TATA Steel UK. These departures included 1332 voluntary redundancies, 120 </w:t>
          </w:r>
          <w:r w:rsidR="00496435" w:rsidRPr="00226810">
            <w:t>compulsory</w:t>
          </w:r>
          <w:r w:rsidRPr="00226810">
            <w:t xml:space="preserve"> redundancies and 709 attrition cases. The scale of job losses had significant implications not only for the employees but the local community </w:t>
          </w:r>
          <w:r w:rsidR="00496435" w:rsidRPr="00226810">
            <w:t xml:space="preserve">as well, contributing to uncertainty, anxiety and challenges around skill transitions. </w:t>
          </w:r>
          <w:r w:rsidR="00071017" w:rsidRPr="00226810">
            <w:rPr>
              <w:highlight w:val="lightGray"/>
            </w:rPr>
            <w:t>(Thomas</w:t>
          </w:r>
          <w:r w:rsidR="00071017" w:rsidRPr="00226810">
            <w:rPr>
              <w:highlight w:val="lightGray"/>
            </w:rPr>
            <w:t>, 2024</w:t>
          </w:r>
          <w:r w:rsidR="00071017" w:rsidRPr="00226810">
            <w:rPr>
              <w:highlight w:val="lightGray"/>
            </w:rPr>
            <w:t>)</w:t>
          </w:r>
        </w:p>
        <w:p w14:paraId="452938D6" w14:textId="3B1209FD" w:rsidR="00496435" w:rsidRPr="00226810" w:rsidRDefault="00496435" w:rsidP="00226810">
          <w:pPr>
            <w:rPr>
              <w:b/>
              <w:bCs/>
            </w:rPr>
          </w:pPr>
          <w:r w:rsidRPr="00226810">
            <w:rPr>
              <w:b/>
              <w:bCs/>
            </w:rPr>
            <w:lastRenderedPageBreak/>
            <w:t>Retr</w:t>
          </w:r>
          <w:r w:rsidR="00551F8D" w:rsidRPr="00226810">
            <w:rPr>
              <w:b/>
              <w:bCs/>
            </w:rPr>
            <w:t>aining and Community support</w:t>
          </w:r>
        </w:p>
        <w:p w14:paraId="6F3215B8" w14:textId="5860ED72" w:rsidR="00551F8D" w:rsidRPr="00226810" w:rsidRDefault="00551F8D" w:rsidP="00226810">
          <w:r w:rsidRPr="00226810">
            <w:t xml:space="preserve">Tata Steel and the UK Government funded retraining initiatives to support redundant workers transitioning into new careers, however the uptake was extremely low. For wider social impacts, the Port Talbot transition board was given £80 million in funding from UK Government and £20 million from TATA Steel to support mental health, job-seeking services and economic diversification. </w:t>
          </w:r>
        </w:p>
        <w:p w14:paraId="7D4FC40A" w14:textId="787208CD" w:rsidR="00480872" w:rsidRDefault="00551F8D" w:rsidP="00AA2A91">
          <w:pPr>
            <w:pStyle w:val="Heading1"/>
          </w:pPr>
          <w:bookmarkStart w:id="4" w:name="_Toc227509003"/>
          <w:r>
            <w:t>2.3     Lewin’s Forcefield Analysis</w:t>
          </w:r>
          <w:bookmarkEnd w:id="4"/>
        </w:p>
        <w:p w14:paraId="44E5F759" w14:textId="77777777" w:rsidR="00340B1E" w:rsidRPr="00340B1E" w:rsidRDefault="00340B1E" w:rsidP="00226810">
          <w:r>
            <w:t xml:space="preserve">Lewins force field Analysis is a Tool used to analyse a situation and identify the forces for and against a change. By being able to visualise the forces, Companies like Tata Steel can determine how to shift the balance which can help them to achieve their desired goal effectively. </w:t>
          </w:r>
          <w:r w:rsidRPr="00340B1E">
            <w:rPr>
              <w:highlight w:val="lightGray"/>
            </w:rPr>
            <w:t>(Tahir)</w:t>
          </w:r>
        </w:p>
        <w:p w14:paraId="2F225950" w14:textId="341FAE80" w:rsidR="00340B1E" w:rsidRDefault="00FD57F4" w:rsidP="00C4349D">
          <w:r>
            <w:rPr>
              <w:noProof/>
            </w:rPr>
            <w:drawing>
              <wp:anchor distT="0" distB="0" distL="114300" distR="114300" simplePos="0" relativeHeight="251660288" behindDoc="1" locked="0" layoutInCell="1" allowOverlap="1" wp14:anchorId="07497769" wp14:editId="0762607C">
                <wp:simplePos x="0" y="0"/>
                <wp:positionH relativeFrom="margin">
                  <wp:align>center</wp:align>
                </wp:positionH>
                <wp:positionV relativeFrom="paragraph">
                  <wp:posOffset>148210</wp:posOffset>
                </wp:positionV>
                <wp:extent cx="3586944" cy="2690407"/>
                <wp:effectExtent l="0" t="0" r="0" b="0"/>
                <wp:wrapNone/>
                <wp:docPr id="1266525483" name="Picture 3" descr="force fiel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ce field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6944" cy="2690407"/>
                        </a:xfrm>
                        <a:prstGeom prst="rect">
                          <a:avLst/>
                        </a:prstGeom>
                        <a:noFill/>
                        <a:ln>
                          <a:noFill/>
                        </a:ln>
                      </pic:spPr>
                    </pic:pic>
                  </a:graphicData>
                </a:graphic>
              </wp:anchor>
            </w:drawing>
          </w:r>
        </w:p>
        <w:p w14:paraId="080169BB" w14:textId="67C2B827" w:rsidR="00340B1E" w:rsidRDefault="00340B1E" w:rsidP="00FD57F4">
          <w:pPr>
            <w:jc w:val="center"/>
          </w:pPr>
        </w:p>
        <w:p w14:paraId="18A01614" w14:textId="445081AC" w:rsidR="00480872" w:rsidRDefault="00C4349D" w:rsidP="00C4349D">
          <w:pPr>
            <w:pStyle w:val="Heading1"/>
            <w:tabs>
              <w:tab w:val="left" w:pos="2938"/>
            </w:tabs>
          </w:pPr>
          <w:r>
            <w:tab/>
          </w:r>
        </w:p>
        <w:p w14:paraId="507BAD72" w14:textId="2BAA585D" w:rsidR="00480872" w:rsidRDefault="00480872" w:rsidP="00AA2A91">
          <w:pPr>
            <w:pStyle w:val="Heading1"/>
          </w:pPr>
        </w:p>
        <w:p w14:paraId="33B9C063" w14:textId="30C5974B" w:rsidR="00480872" w:rsidRDefault="00480872" w:rsidP="00AA2A91">
          <w:pPr>
            <w:pStyle w:val="Heading1"/>
          </w:pPr>
        </w:p>
        <w:p w14:paraId="781664DC" w14:textId="77777777" w:rsidR="00480872" w:rsidRDefault="00480872" w:rsidP="00AA2A91">
          <w:pPr>
            <w:pStyle w:val="Heading1"/>
          </w:pPr>
        </w:p>
        <w:p w14:paraId="3C870794" w14:textId="741ADAF9" w:rsidR="00480872" w:rsidRDefault="00480872" w:rsidP="00AA2A91">
          <w:pPr>
            <w:pStyle w:val="Heading1"/>
          </w:pPr>
        </w:p>
        <w:p w14:paraId="2CA2A639" w14:textId="77777777" w:rsidR="00340B1E" w:rsidRPr="00340B1E" w:rsidRDefault="00340B1E" w:rsidP="00340B1E"/>
        <w:p w14:paraId="54C12340" w14:textId="7EBC39A2" w:rsidR="00FD57F4" w:rsidRPr="00FD57F4" w:rsidRDefault="00FD57F4" w:rsidP="00226810">
          <w:pPr>
            <w:jc w:val="center"/>
            <w:rPr>
              <w:rFonts w:eastAsiaTheme="majorEastAsia"/>
            </w:rPr>
          </w:pPr>
          <w:r w:rsidRPr="00FD57F4">
            <w:rPr>
              <w:highlight w:val="lightGray"/>
            </w:rPr>
            <w:t>(Steele</w:t>
          </w:r>
          <w:r>
            <w:rPr>
              <w:highlight w:val="lightGray"/>
            </w:rPr>
            <w:t>, 2025</w:t>
          </w:r>
          <w:r w:rsidRPr="00FD57F4">
            <w:rPr>
              <w:highlight w:val="lightGray"/>
            </w:rPr>
            <w:t>)</w:t>
          </w:r>
        </w:p>
        <w:p w14:paraId="0369C018" w14:textId="77777777" w:rsidR="00226810" w:rsidRDefault="00226810" w:rsidP="00226810">
          <w:pPr>
            <w:rPr>
              <w:b/>
              <w:bCs/>
            </w:rPr>
          </w:pPr>
        </w:p>
        <w:p w14:paraId="788FD24D" w14:textId="77777777" w:rsidR="00226810" w:rsidRDefault="00226810" w:rsidP="00226810">
          <w:pPr>
            <w:rPr>
              <w:b/>
              <w:bCs/>
            </w:rPr>
          </w:pPr>
        </w:p>
        <w:p w14:paraId="74488ACF" w14:textId="4652FBB9" w:rsidR="00C4349D" w:rsidRPr="00226810" w:rsidRDefault="00C4349D" w:rsidP="00226810">
          <w:pPr>
            <w:rPr>
              <w:b/>
              <w:bCs/>
            </w:rPr>
          </w:pPr>
          <w:r w:rsidRPr="00226810">
            <w:rPr>
              <w:b/>
              <w:bCs/>
            </w:rPr>
            <w:t>Driving Forces</w:t>
          </w:r>
        </w:p>
        <w:p w14:paraId="30E30B49" w14:textId="699458E6" w:rsidR="00DA15A1" w:rsidRPr="00DA15A1" w:rsidRDefault="00DA15A1" w:rsidP="00226810">
          <w:r>
            <w:t xml:space="preserve">One of the strongest driving forces for TATA Steel was the financial instability within the company. Multiple reports confirmed that the company were experiencing substantial losses in the leadup to the closure of the Blast furnace 4, with the Guardian report that losses “ballooned to £1.12 billion” </w:t>
          </w:r>
          <w:r w:rsidRPr="00DA15A1">
            <w:rPr>
              <w:highlight w:val="lightGray"/>
            </w:rPr>
            <w:t>(Guardian staff reporter</w:t>
          </w:r>
          <w:r w:rsidRPr="00DA15A1">
            <w:rPr>
              <w:highlight w:val="lightGray"/>
            </w:rPr>
            <w:t>, 2024</w:t>
          </w:r>
          <w:r w:rsidRPr="00DA15A1">
            <w:rPr>
              <w:highlight w:val="lightGray"/>
            </w:rPr>
            <w:t>)</w:t>
          </w:r>
          <w:r w:rsidR="003600BF">
            <w:t xml:space="preserve">. There were also reports from the </w:t>
          </w:r>
          <w:r w:rsidR="009E2460">
            <w:t>independent</w:t>
          </w:r>
          <w:r w:rsidR="003600BF">
            <w:t xml:space="preserve"> stating that </w:t>
          </w:r>
          <w:r w:rsidR="003600BF">
            <w:t xml:space="preserve">”The blast furnace operation was incurring losses of £1 million a day”  </w:t>
          </w:r>
          <w:r w:rsidR="003600BF" w:rsidRPr="00497FB8">
            <w:rPr>
              <w:highlight w:val="lightGray"/>
            </w:rPr>
            <w:t>(Harrington</w:t>
          </w:r>
          <w:r w:rsidR="003600BF">
            <w:rPr>
              <w:highlight w:val="lightGray"/>
            </w:rPr>
            <w:t>, 2024</w:t>
          </w:r>
          <w:r w:rsidR="003600BF" w:rsidRPr="00497FB8">
            <w:rPr>
              <w:highlight w:val="lightGray"/>
            </w:rPr>
            <w:t>)</w:t>
          </w:r>
          <w:r w:rsidR="003600BF">
            <w:t xml:space="preserve"> making the continuation of blast furnace number 4 economically unsuitable. </w:t>
          </w:r>
        </w:p>
        <w:p w14:paraId="2B0A6399" w14:textId="02DD54ED" w:rsidR="00D06B7D" w:rsidRDefault="003600BF" w:rsidP="00226810">
          <w:r>
            <w:t xml:space="preserve">Environmental pressures were also a major driving force for TATA to align with National goals. The shift from blast furnace to Electric Arc Furnace was projected to reduce emissions at Port Talbot by over 5 million tonnes per year, aligning with the Governments decarbonisation commitments and making the existing process incompatible with long term objectives. The UK Governments involvement further encouraged these forces by providing £500 million of public funding to support the transition, demonstrating political urgency and pressure on TATA to accept the Change. </w:t>
          </w:r>
          <w:r w:rsidR="00340B1E" w:rsidRPr="00340B1E">
            <w:rPr>
              <w:highlight w:val="lightGray"/>
            </w:rPr>
            <w:t>(NSC</w:t>
          </w:r>
          <w:r w:rsidR="00340B1E">
            <w:rPr>
              <w:highlight w:val="lightGray"/>
            </w:rPr>
            <w:t>, 2025</w:t>
          </w:r>
          <w:r w:rsidR="00340B1E" w:rsidRPr="00340B1E">
            <w:rPr>
              <w:highlight w:val="lightGray"/>
            </w:rPr>
            <w:t>)</w:t>
          </w:r>
        </w:p>
        <w:p w14:paraId="13B9D75E" w14:textId="4083DBF8" w:rsidR="003600BF" w:rsidRDefault="00D06B7D" w:rsidP="00C4349D">
          <w:r>
            <w:lastRenderedPageBreak/>
            <w:t xml:space="preserve">Another driving force behind TATA Steels transition was the substantial maintenance cost and viability of maintaining the Blast furnace infrastructure. As the furnaces were reaching the end of their natural lifespan, the cost of maintenance, repair and compliance with standards grew unsustainably. </w:t>
          </w:r>
        </w:p>
        <w:p w14:paraId="64F1F028" w14:textId="77777777" w:rsidR="00226810" w:rsidRDefault="00226810" w:rsidP="00226810"/>
        <w:p w14:paraId="629DAF13" w14:textId="041D0CCA" w:rsidR="003600BF" w:rsidRDefault="003600BF" w:rsidP="00226810">
          <w:pPr>
            <w:rPr>
              <w:b/>
              <w:bCs/>
              <w:u w:val="single"/>
            </w:rPr>
          </w:pPr>
          <w:r w:rsidRPr="003600BF">
            <w:rPr>
              <w:b/>
              <w:bCs/>
              <w:u w:val="single"/>
            </w:rPr>
            <w:t>Restraining Forces</w:t>
          </w:r>
        </w:p>
        <w:p w14:paraId="408E0278" w14:textId="64660052" w:rsidR="004161B7" w:rsidRDefault="004161B7" w:rsidP="00226810">
          <w:r>
            <w:t xml:space="preserve">A major restraining force during Tata steels transformation was the widespread anxiety experienced by employees at the time. This was due to job security concerns intensifying throughout the restructuring process after the announcement of 2800 jobs being identified as at risk. The workforce faced massive uncertainties of their future which created emotional stress and resistance to the organisational change. Large-scale redundancies like these can create fear which discourages employee engagement, reduces the trust in leadership and management, and makes workers much less likely to cooperate with new initiatives. </w:t>
          </w:r>
        </w:p>
        <w:p w14:paraId="25A04059" w14:textId="3FE8C323" w:rsidR="004161B7" w:rsidRDefault="004161B7" w:rsidP="00226810">
          <w:r>
            <w:t xml:space="preserve">Communication challenges created another critical </w:t>
          </w:r>
          <w:r w:rsidR="00190BBF">
            <w:t>restraining</w:t>
          </w:r>
          <w:r>
            <w:t xml:space="preserve"> force with multiple reports highlighting that TATA Steels communication during the transition period was often inconsistent, unclear or insufficiently detailed. The lack of clarity for management during this period contributed to mistrust and scepticism</w:t>
          </w:r>
          <w:r w:rsidR="00190BBF">
            <w:t xml:space="preserve"> which caused a lot of resistance.</w:t>
          </w:r>
        </w:p>
        <w:p w14:paraId="0768FF27" w14:textId="3113B493" w:rsidR="003600BF" w:rsidRDefault="00C22195" w:rsidP="00226810">
          <w:r>
            <w:t xml:space="preserve">A substantial restraining force came from the </w:t>
          </w:r>
          <w:r w:rsidR="00867D3D">
            <w:t>union’s</w:t>
          </w:r>
          <w:r>
            <w:t xml:space="preserve"> resistance, as multiple unions (Unite, Community and GMB) opposed the closure of the blast furnaces and the proposed transition the Electric Arc Furnace. The Unions proposed a multi-union alternative plan to keep at least one blast furnace open until 2032 which they argued would protect thousands of jobs and support a fairer transition. However, TATA rejecting this proposal slating it as unaffordable which intensified conflict between unions and management. </w:t>
          </w:r>
          <w:r w:rsidR="00C858A0" w:rsidRPr="00C858A0">
            <w:rPr>
              <w:highlight w:val="lightGray"/>
            </w:rPr>
            <w:t>(Loader</w:t>
          </w:r>
          <w:r w:rsidR="00C858A0">
            <w:rPr>
              <w:highlight w:val="lightGray"/>
            </w:rPr>
            <w:t>, 2023</w:t>
          </w:r>
          <w:r w:rsidR="00C858A0" w:rsidRPr="00C858A0">
            <w:rPr>
              <w:highlight w:val="lightGray"/>
            </w:rPr>
            <w:t>)</w:t>
          </w:r>
        </w:p>
        <w:p w14:paraId="29D70B04" w14:textId="38B41EFA" w:rsidR="00696C52" w:rsidRDefault="00C22195" w:rsidP="00226810">
          <w:r>
            <w:t xml:space="preserve">Resisting forces escalated in 2024 when Unite announced industrial action, this included a formal overtime ban and work-to-rule measures being brought in. Approximately 1500 Unite members took part in the action representing one of the biggest </w:t>
          </w:r>
          <w:r w:rsidR="00696C52">
            <w:t xml:space="preserve">union-led protests in the UK Steel industry. Workers refused to perform overtime or any voluntary duties outside of their basic contracts which reduced operational flexibility in a vital period of Tata’s transition. </w:t>
          </w:r>
        </w:p>
        <w:p w14:paraId="4C386008" w14:textId="77777777" w:rsidR="00226810" w:rsidRDefault="00226810" w:rsidP="00226810"/>
        <w:p w14:paraId="4E1FD67F" w14:textId="75D9BC36" w:rsidR="00480872" w:rsidRDefault="00A826B1" w:rsidP="00AA2A91">
          <w:pPr>
            <w:pStyle w:val="Heading1"/>
          </w:pPr>
          <w:bookmarkStart w:id="5" w:name="_Toc227509004"/>
          <w:r>
            <w:t>2.4     Lewin’s Three-Step Change Model</w:t>
          </w:r>
          <w:bookmarkEnd w:id="5"/>
        </w:p>
        <w:p w14:paraId="5E24BB03" w14:textId="77777777" w:rsidR="00A826B1" w:rsidRDefault="00A826B1" w:rsidP="00A826B1"/>
        <w:p w14:paraId="2AD4FA9B" w14:textId="1648567D" w:rsidR="00C92D30" w:rsidRDefault="00A826B1" w:rsidP="00A826B1">
          <w:r>
            <w:t xml:space="preserve">Lewin’s Three-step change model is a widely used framework for understanding organisational change. The model proposes that change occurs in three different stages (Unfreeze, Change and Refreeze). The Unfreeze stage involves preparing </w:t>
          </w:r>
          <w:r w:rsidR="00CC54CF">
            <w:t xml:space="preserve">an organisation for transformation by challenging current behaviours mindsets and processes. The change stage refers to the implementation of new systems or ways of working once employees understand why the change is necessary. Finally, the refreeze stage reinforces the new practices to ensure they become a part of the </w:t>
          </w:r>
          <w:r w:rsidR="009E2460">
            <w:t>company’s</w:t>
          </w:r>
          <w:r w:rsidR="00CC54CF">
            <w:t xml:space="preserve"> </w:t>
          </w:r>
          <w:r w:rsidR="00C92D30">
            <w:t>long-term</w:t>
          </w:r>
          <w:r w:rsidR="00CC54CF">
            <w:t xml:space="preserve"> initiatives. Lewins model applies well to TATA Steels transition from Blast Furnace to Electric Arc Furnace as it highlights both the psychological and structural steps required to shift the company from one state to another.</w:t>
          </w:r>
          <w:r w:rsidR="00C64A3C">
            <w:t xml:space="preserve"> </w:t>
          </w:r>
          <w:r w:rsidR="00C64A3C" w:rsidRPr="00C64A3C">
            <w:rPr>
              <w:highlight w:val="lightGray"/>
            </w:rPr>
            <w:t>(Thudium)</w:t>
          </w:r>
        </w:p>
        <w:p w14:paraId="4646D6E1" w14:textId="77777777" w:rsidR="00C92D30" w:rsidRDefault="00C92D30" w:rsidP="00A826B1"/>
        <w:p w14:paraId="0E2CF214" w14:textId="46B7C06C" w:rsidR="00CC54CF" w:rsidRPr="00901C87" w:rsidRDefault="00901C87" w:rsidP="00A826B1">
          <w:pPr>
            <w:rPr>
              <w:b/>
              <w:bCs/>
            </w:rPr>
          </w:pPr>
          <w:r w:rsidRPr="00901C87">
            <w:rPr>
              <w:b/>
              <w:bCs/>
            </w:rPr>
            <w:lastRenderedPageBreak/>
            <w:t>Unfreeze</w:t>
          </w:r>
        </w:p>
        <w:p w14:paraId="664CD91A" w14:textId="52F0F409" w:rsidR="007A5628" w:rsidRPr="007A5628" w:rsidRDefault="00CC54CF" w:rsidP="007A5628">
          <w:r>
            <w:t xml:space="preserve">The Unfreezing process at TATA Steel was driven largely by the </w:t>
          </w:r>
          <w:r w:rsidR="00901C87">
            <w:t>company’s</w:t>
          </w:r>
          <w:r>
            <w:t xml:space="preserve"> financial position deteri</w:t>
          </w:r>
          <w:r w:rsidR="00901C87">
            <w:t>ora</w:t>
          </w:r>
          <w:r>
            <w:t xml:space="preserve">ting </w:t>
          </w:r>
          <w:r w:rsidR="00901C87">
            <w:t xml:space="preserve">as the losses reach up to 1.12 billion leading up to the closure of the blast furnaces. These financial pressures were accompanied with high operating costs including energy expenses and daily losses of £1 million just to keep the blast furnaces open which further reinforced the need for change. The environmental obligations also strengthened the need for change as the blast furnaces were responsible for some of the Uks highest industrial Co2 emissions. </w:t>
          </w:r>
          <w:r w:rsidR="007A5628">
            <w:t xml:space="preserve"> </w:t>
          </w:r>
          <w:r w:rsidR="007A5628" w:rsidRPr="007A5628">
            <w:rPr>
              <w:highlight w:val="lightGray"/>
            </w:rPr>
            <w:t>(Bakari et al</w:t>
          </w:r>
          <w:r w:rsidR="007A5628" w:rsidRPr="007A5628">
            <w:rPr>
              <w:highlight w:val="lightGray"/>
            </w:rPr>
            <w:t>, 2017)</w:t>
          </w:r>
        </w:p>
        <w:p w14:paraId="236AC91E" w14:textId="2D31A8E4" w:rsidR="00CC54CF" w:rsidRPr="00A826B1" w:rsidRDefault="00CC54CF" w:rsidP="00A826B1"/>
        <w:p w14:paraId="569804F1" w14:textId="0CA6A5E4" w:rsidR="00A826B1" w:rsidRPr="00901C87" w:rsidRDefault="00901C87" w:rsidP="00A826B1">
          <w:pPr>
            <w:rPr>
              <w:b/>
              <w:bCs/>
            </w:rPr>
          </w:pPr>
          <w:r w:rsidRPr="00901C87">
            <w:rPr>
              <w:b/>
              <w:bCs/>
            </w:rPr>
            <w:t>Change</w:t>
          </w:r>
        </w:p>
        <w:p w14:paraId="59179AC9" w14:textId="4A79A53C" w:rsidR="00B33F68" w:rsidRPr="00B33F68" w:rsidRDefault="00CF5B69" w:rsidP="00B33F68">
          <w:r>
            <w:t xml:space="preserve">The change phase for TATA included the closure of Blast Furnace 4 on the </w:t>
          </w:r>
          <w:r w:rsidR="009E2460">
            <w:t>30</w:t>
          </w:r>
          <w:r w:rsidR="009E2460" w:rsidRPr="00CF5B69">
            <w:rPr>
              <w:vertAlign w:val="superscript"/>
            </w:rPr>
            <w:t>th of</w:t>
          </w:r>
          <w:r>
            <w:t xml:space="preserve"> September 2024, and the commitment to a £1.25 billion investment into the EAF technology.  During this phase, the organisation introduced redundancy programmes, community support hubs and retraining schemes. Despite </w:t>
          </w:r>
          <w:r w:rsidR="00994E1E">
            <w:t>all</w:t>
          </w:r>
          <w:r>
            <w:t xml:space="preserve"> these measures put into place, the change stage was still met with high levels of uncertainty, as many employees felt unclear about their long-term prospects and were sceptical about the opportunities offered within the organisation. This uncertainty limited employee engagement and made the transition more difficult to embed across the workforce. </w:t>
          </w:r>
          <w:r w:rsidR="00B33F68" w:rsidRPr="00B33F68">
            <w:rPr>
              <w:highlight w:val="lightGray"/>
            </w:rPr>
            <w:t>(Cummings)</w:t>
          </w:r>
        </w:p>
        <w:p w14:paraId="048EC32D" w14:textId="7999E755" w:rsidR="00A826B1" w:rsidRDefault="00A826B1" w:rsidP="00A826B1"/>
        <w:p w14:paraId="71471796" w14:textId="686F1419" w:rsidR="00CF5B69" w:rsidRDefault="00994E1E" w:rsidP="00A826B1">
          <w:pPr>
            <w:rPr>
              <w:b/>
              <w:bCs/>
            </w:rPr>
          </w:pPr>
          <w:r w:rsidRPr="00994E1E">
            <w:rPr>
              <w:b/>
              <w:bCs/>
            </w:rPr>
            <w:t>Refreeze</w:t>
          </w:r>
        </w:p>
        <w:p w14:paraId="1FB17F96" w14:textId="1355FBA3" w:rsidR="007A5628" w:rsidRPr="007A5628" w:rsidRDefault="00994E1E" w:rsidP="007A5628">
          <w:r w:rsidRPr="00994E1E">
            <w:t xml:space="preserve">Lewin’s final stage, Refreeze, </w:t>
          </w:r>
          <w:r>
            <w:t xml:space="preserve">has yet to officially occur at TATA Steel as the new EAF facility is not expected to become operational until 2027. When the refreezing does occur, it will require the company to give clear operational routines aligned to the EAF skill requirements. Additionally, due to the blast furnaces being such a deep root in the culture of Port Talbot and the surrounding areas, refreezing should also include cultural adjustment and redefining of the company’s future identity within the local community. Achieving this successful refreeze will depend on TATAs ability to achieve effective communication, transparent leadership and investment into the workforce to ensure employees can adapt and accept the new transition. </w:t>
          </w:r>
          <w:r w:rsidR="007A5628" w:rsidRPr="007A5628">
            <w:rPr>
              <w:highlight w:val="lightGray"/>
            </w:rPr>
            <w:t>(Burnes)</w:t>
          </w:r>
        </w:p>
        <w:p w14:paraId="570975A4" w14:textId="77786F9D" w:rsidR="00994E1E" w:rsidRPr="00994E1E" w:rsidRDefault="00994E1E" w:rsidP="00A826B1"/>
        <w:p w14:paraId="4BB16DC9" w14:textId="77777777" w:rsidR="00B702C7" w:rsidRDefault="00994E1E" w:rsidP="00B702C7">
          <w:pPr>
            <w:pStyle w:val="Heading1"/>
          </w:pPr>
          <w:bookmarkStart w:id="6" w:name="_Toc227509005"/>
          <w:r>
            <w:t>2.5</w:t>
          </w:r>
          <w:r w:rsidR="00B702C7">
            <w:t xml:space="preserve">     Motivation and workforce impact</w:t>
          </w:r>
          <w:bookmarkEnd w:id="6"/>
        </w:p>
        <w:p w14:paraId="3F55D281" w14:textId="77777777" w:rsidR="00226810" w:rsidRPr="00226810" w:rsidRDefault="00226810" w:rsidP="00226810"/>
        <w:p w14:paraId="5544E9EA" w14:textId="5A798524" w:rsidR="003905DC" w:rsidRDefault="00B702C7" w:rsidP="00226810">
          <w:r w:rsidRPr="00B702C7">
            <w:t>Motivatio</w:t>
          </w:r>
          <w:r>
            <w:t xml:space="preserve">n amongst employees at TATA Was significantly weakened during the transition period, largely due to the scale of job losses and uncertainty surrounding future employment. With over 2800 jobs being identified as at risk, the large-scale reductions undermined the key motivational factors identified in Mullins theory. These include job security and the psychological contract between the company and the employees. When workers fear losing their jobs, motivation drastically declines leading to reduced engagement, lower morale and resistance to organisational change. Additionally, reports of the site losing a substantial amount of money daily made employees and management </w:t>
          </w:r>
          <w:r w:rsidR="003905DC">
            <w:t xml:space="preserve">anxious about the long-term prospects of TATA making the workforce feel vulnerable and destabilised. The environment of insecurity intensified the emotional strain and lessened motivation during this transformation. </w:t>
          </w:r>
          <w:r w:rsidR="007A5628" w:rsidRPr="007A5628">
            <w:rPr>
              <w:highlight w:val="lightGray"/>
            </w:rPr>
            <w:t>(Mullins)</w:t>
          </w:r>
        </w:p>
        <w:p w14:paraId="1AAE9231" w14:textId="77777777" w:rsidR="002B251F" w:rsidRDefault="002B251F" w:rsidP="00226810"/>
        <w:p w14:paraId="5A3CD0A1" w14:textId="362B1820" w:rsidR="003905DC" w:rsidRDefault="003905DC" w:rsidP="00EC61A9">
          <w:r>
            <w:lastRenderedPageBreak/>
            <w:t>Another major factor affecting the motivation of the workforce was the lack of clear and consistent communication during the transition. This left employees uncertain about future working roles, timelines of the shift into the EAF and the available support mechanisms. According to Mullins, motivation is higher when employees feel valued, recognised and informed. This is why the poor communication from TATA removed trust, generated rumours and heightened fear in the workplace.</w:t>
          </w:r>
          <w:r w:rsidR="007A5001">
            <w:t xml:space="preserve"> </w:t>
          </w:r>
          <w:r w:rsidR="007A5001" w:rsidRPr="007A5001">
            <w:rPr>
              <w:highlight w:val="lightGray"/>
            </w:rPr>
            <w:t xml:space="preserve">(Dr </w:t>
          </w:r>
          <w:proofErr w:type="spellStart"/>
          <w:r w:rsidR="007A5001" w:rsidRPr="007A5001">
            <w:rPr>
              <w:highlight w:val="lightGray"/>
            </w:rPr>
            <w:t>Fereidoun</w:t>
          </w:r>
          <w:proofErr w:type="spellEnd"/>
          <w:r w:rsidR="007A5001" w:rsidRPr="007A5001">
            <w:rPr>
              <w:highlight w:val="lightGray"/>
            </w:rPr>
            <w:t xml:space="preserve"> Dejahang)</w:t>
          </w:r>
        </w:p>
        <w:p w14:paraId="2658B873" w14:textId="77777777" w:rsidR="00226810" w:rsidRPr="00EC61A9" w:rsidRDefault="00226810" w:rsidP="00EC61A9"/>
        <w:p w14:paraId="28C36918" w14:textId="12601D6A" w:rsidR="003905DC" w:rsidRPr="003905DC" w:rsidRDefault="003905DC" w:rsidP="003905DC">
          <w:pPr>
            <w:keepNext/>
            <w:keepLines/>
            <w:spacing w:before="240" w:after="0"/>
            <w:outlineLvl w:val="0"/>
            <w:rPr>
              <w:rFonts w:asciiTheme="majorHAnsi" w:eastAsiaTheme="majorEastAsia" w:hAnsiTheme="majorHAnsi" w:cstheme="majorBidi"/>
              <w:color w:val="2E74B5" w:themeColor="accent1" w:themeShade="BF"/>
              <w:sz w:val="32"/>
              <w:szCs w:val="32"/>
            </w:rPr>
          </w:pPr>
          <w:bookmarkStart w:id="7" w:name="_Toc227509006"/>
          <w:r w:rsidRPr="003905DC">
            <w:rPr>
              <w:rFonts w:asciiTheme="majorHAnsi" w:eastAsiaTheme="majorEastAsia" w:hAnsiTheme="majorHAnsi" w:cstheme="majorBidi"/>
              <w:color w:val="2E74B5" w:themeColor="accent1" w:themeShade="BF"/>
              <w:sz w:val="32"/>
              <w:szCs w:val="32"/>
            </w:rPr>
            <w:t>2.</w:t>
          </w:r>
          <w:r>
            <w:rPr>
              <w:rFonts w:asciiTheme="majorHAnsi" w:eastAsiaTheme="majorEastAsia" w:hAnsiTheme="majorHAnsi" w:cstheme="majorBidi"/>
              <w:color w:val="2E74B5" w:themeColor="accent1" w:themeShade="BF"/>
              <w:sz w:val="32"/>
              <w:szCs w:val="32"/>
            </w:rPr>
            <w:t>6     Good Practise Identified</w:t>
          </w:r>
          <w:bookmarkEnd w:id="7"/>
        </w:p>
        <w:p w14:paraId="66AED5FF" w14:textId="77777777" w:rsidR="003905DC" w:rsidRDefault="003905DC" w:rsidP="003905DC"/>
        <w:p w14:paraId="1BCD2CBF" w14:textId="67C21025" w:rsidR="0084774F" w:rsidRDefault="0084774F" w:rsidP="003905DC">
          <w:r>
            <w:t xml:space="preserve">A key element of good practise during the transition period was the Government and Industry collaboration. This helped ensure that steel production in Wales would be able to continue despite the closure of Blast Furnace 4. These collaborations between Government and Industry are seen a </w:t>
          </w:r>
          <w:r w:rsidR="00645295">
            <w:t>positive enabler</w:t>
          </w:r>
          <w:r>
            <w:t xml:space="preserve"> in large-scale changes which can offer financial stability, political backing and long-term direction. By securing external support early in the transformation, TATA followed good practise by reducing economic uncertainties within the transition. </w:t>
          </w:r>
        </w:p>
        <w:p w14:paraId="417C7195" w14:textId="3D2444E0" w:rsidR="0084774F" w:rsidRDefault="0084774F" w:rsidP="003905DC">
          <w:r>
            <w:t>Another Area of good practise within the Company was the implementation of Enhanced redundancy packages for all</w:t>
          </w:r>
          <w:r w:rsidR="00645295">
            <w:t xml:space="preserve"> affected</w:t>
          </w:r>
          <w:r>
            <w:t xml:space="preserve"> employees made redundant</w:t>
          </w:r>
          <w:r w:rsidR="00645295">
            <w:t>. TATA Steel described the packages as being the “most generous” in its history after offering improved redundancy terms and financial security to affected workers. Alongside the packages, the UK government and TATA  collaborated to fund £100 million towards the support of economic regeneration of Port Talbot and providing additional assistance such as retraining, job search support and community wellbeing services</w:t>
          </w:r>
          <w:r w:rsidR="007A5001">
            <w:t xml:space="preserve"> </w:t>
          </w:r>
          <w:r w:rsidR="007A5001" w:rsidRPr="007A5001">
            <w:rPr>
              <w:highlight w:val="lightGray"/>
            </w:rPr>
            <w:t>(Barry)</w:t>
          </w:r>
          <w:r w:rsidR="00645295">
            <w:t xml:space="preserve">. This shows responsible behaviour within the company during the disruptive transition period and demonstrates good practise in the workforce impacts. </w:t>
          </w:r>
        </w:p>
        <w:p w14:paraId="4E429B66" w14:textId="44B90B3F" w:rsidR="007A5001" w:rsidRPr="007A5001" w:rsidRDefault="00645295" w:rsidP="007A5001">
          <w:r>
            <w:t xml:space="preserve">The integration of community support centres also represented good practice in the organisational change. </w:t>
          </w:r>
          <w:r w:rsidR="00EC61A9">
            <w:t>Senedd</w:t>
          </w:r>
          <w:r>
            <w:t xml:space="preserve"> Research reported that a government funded community support centre </w:t>
          </w:r>
          <w:r w:rsidR="00FD57F4">
            <w:t>opened</w:t>
          </w:r>
          <w:r>
            <w:t xml:space="preserve"> in Aberafan shopping centre after the closure of </w:t>
          </w:r>
          <w:r w:rsidR="00EC61A9">
            <w:t>blast</w:t>
          </w:r>
          <w:r>
            <w:t xml:space="preserve"> furnace 4, which offered </w:t>
          </w:r>
          <w:r w:rsidR="00EC61A9">
            <w:t>anyone who was affected</w:t>
          </w:r>
          <w:r>
            <w:t xml:space="preserve"> direct access to financial advice, employment support, skills development and mental health </w:t>
          </w:r>
          <w:r w:rsidR="00EC61A9">
            <w:t>resources</w:t>
          </w:r>
          <w:r>
            <w:t xml:space="preserve">. </w:t>
          </w:r>
          <w:r w:rsidR="00EC61A9">
            <w:t xml:space="preserve">This approach recognised that the restructure of TATA Steel was not only affecting the employees but also families, local businesses and the wider community. These centres being introduced helped the impact of the transition and demonstrated a proactive community-oriented approach, which is seen as good practise during an industrial change. </w:t>
          </w:r>
          <w:r w:rsidR="007A5001" w:rsidRPr="007A5001">
            <w:rPr>
              <w:highlight w:val="lightGray"/>
            </w:rPr>
            <w:t>(Steel,</w:t>
          </w:r>
          <w:r w:rsidR="007A5001" w:rsidRPr="007A5001">
            <w:rPr>
              <w:highlight w:val="lightGray"/>
            </w:rPr>
            <w:t xml:space="preserve"> )</w:t>
          </w:r>
        </w:p>
        <w:p w14:paraId="61106346" w14:textId="6C5082C0" w:rsidR="0084774F" w:rsidRDefault="0084774F" w:rsidP="003905DC"/>
        <w:p w14:paraId="293AEACA" w14:textId="544E1A2D" w:rsidR="00226810" w:rsidRDefault="00EC61A9" w:rsidP="00EC61A9">
          <w:pPr>
            <w:keepNext/>
            <w:keepLines/>
            <w:spacing w:before="240" w:after="0"/>
            <w:outlineLvl w:val="0"/>
            <w:rPr>
              <w:rFonts w:asciiTheme="majorHAnsi" w:eastAsiaTheme="majorEastAsia" w:hAnsiTheme="majorHAnsi" w:cstheme="majorBidi"/>
              <w:color w:val="2E74B5" w:themeColor="accent1" w:themeShade="BF"/>
              <w:sz w:val="32"/>
              <w:szCs w:val="32"/>
            </w:rPr>
          </w:pPr>
          <w:bookmarkStart w:id="8" w:name="_Toc227509007"/>
          <w:r w:rsidRPr="003905DC">
            <w:rPr>
              <w:rFonts w:asciiTheme="majorHAnsi" w:eastAsiaTheme="majorEastAsia" w:hAnsiTheme="majorHAnsi" w:cstheme="majorBidi"/>
              <w:color w:val="2E74B5" w:themeColor="accent1" w:themeShade="BF"/>
              <w:sz w:val="32"/>
              <w:szCs w:val="32"/>
            </w:rPr>
            <w:t>2.</w:t>
          </w:r>
          <w:r w:rsidR="00DA7184">
            <w:rPr>
              <w:rFonts w:asciiTheme="majorHAnsi" w:eastAsiaTheme="majorEastAsia" w:hAnsiTheme="majorHAnsi" w:cstheme="majorBidi"/>
              <w:color w:val="2E74B5" w:themeColor="accent1" w:themeShade="BF"/>
              <w:sz w:val="32"/>
              <w:szCs w:val="32"/>
            </w:rPr>
            <w:t>7</w:t>
          </w:r>
          <w:r>
            <w:rPr>
              <w:rFonts w:asciiTheme="majorHAnsi" w:eastAsiaTheme="majorEastAsia" w:hAnsiTheme="majorHAnsi" w:cstheme="majorBidi"/>
              <w:color w:val="2E74B5" w:themeColor="accent1" w:themeShade="BF"/>
              <w:sz w:val="32"/>
              <w:szCs w:val="32"/>
            </w:rPr>
            <w:t xml:space="preserve">     Areas for Improvement</w:t>
          </w:r>
          <w:bookmarkEnd w:id="8"/>
        </w:p>
        <w:p w14:paraId="4DCA6477" w14:textId="77777777" w:rsidR="002B251F" w:rsidRDefault="002B251F" w:rsidP="00EC61A9">
          <w:pPr>
            <w:keepNext/>
            <w:keepLines/>
            <w:spacing w:before="240" w:after="0"/>
            <w:outlineLvl w:val="0"/>
            <w:rPr>
              <w:rFonts w:asciiTheme="majorHAnsi" w:eastAsiaTheme="majorEastAsia" w:hAnsiTheme="majorHAnsi" w:cstheme="majorBidi"/>
              <w:color w:val="2E74B5" w:themeColor="accent1" w:themeShade="BF"/>
              <w:sz w:val="32"/>
              <w:szCs w:val="32"/>
            </w:rPr>
          </w:pPr>
        </w:p>
        <w:p w14:paraId="6F45277B" w14:textId="12C7ED8D" w:rsidR="00EC61A9" w:rsidRDefault="005F212A" w:rsidP="00226810">
          <w:r>
            <w:t xml:space="preserve">Despite the several examples of good practise displayed by Tata Steel, the transition also showed several different areas requiring improvement. </w:t>
          </w:r>
          <w:r w:rsidR="00226810">
            <w:t>R</w:t>
          </w:r>
          <w:r>
            <w:t xml:space="preserve">eports indicated that employees frequently experienced unclear and inconsistent information regarding aspects of </w:t>
          </w:r>
          <w:r w:rsidR="00226810">
            <w:t>t</w:t>
          </w:r>
          <w:r>
            <w:t>he restructuring. This included the timelines of transition, future jo</w:t>
          </w:r>
          <w:r w:rsidR="00226810">
            <w:t>b</w:t>
          </w:r>
          <w:r>
            <w:t xml:space="preserve"> roles available at the company and the available support measures. The lack of consistency led to uncertainty and mistrust from employees where a better and more effective atmosphere would have sustained more engagement and better morale. According to change management theory, communication should always be transparent, frequent </w:t>
          </w:r>
          <w:r>
            <w:lastRenderedPageBreak/>
            <w:t>and should go both ways to ensure that the workers understand the need for change and what it would mean for their futures. For Tata, the lack of communication led the workforce resistance to strengthen which made he change significantly more difficult to implement.</w:t>
          </w:r>
          <w:r w:rsidR="00CE107F">
            <w:t xml:space="preserve"> </w:t>
          </w:r>
          <w:r w:rsidR="00CE107F" w:rsidRPr="00CE107F">
            <w:rPr>
              <w:highlight w:val="lightGray"/>
            </w:rPr>
            <w:t>(Geada)</w:t>
          </w:r>
        </w:p>
        <w:p w14:paraId="2A6FD06E" w14:textId="534F2589" w:rsidR="00EC61A9" w:rsidRDefault="005F212A" w:rsidP="00226810">
          <w:r>
            <w:t xml:space="preserve">Additionally, the sheer scale and pace of the </w:t>
          </w:r>
          <w:r w:rsidR="00715999">
            <w:t xml:space="preserve">of the transition created great difficulties for both the workforce and the wider community. After over a century of primary steelmaking was abruptly ended </w:t>
          </w:r>
          <w:r w:rsidR="00211FAE">
            <w:t>with</w:t>
          </w:r>
          <w:r w:rsidR="00715999">
            <w:t xml:space="preserve"> the closure of last Furnace 4, many workers and affected people </w:t>
          </w:r>
          <w:r w:rsidR="00211FAE">
            <w:t>found</w:t>
          </w:r>
          <w:r w:rsidR="00715999">
            <w:t xml:space="preserve"> </w:t>
          </w:r>
          <w:r w:rsidR="00211FAE">
            <w:t>t</w:t>
          </w:r>
          <w:r w:rsidR="00715999">
            <w:t>he change</w:t>
          </w:r>
          <w:r w:rsidR="00211FAE">
            <w:t xml:space="preserve"> to be highly disruptive. The rapid transition left limited time for employees to adapt, prepare or even emotionally process the loss of roles and identity of Port Talbot as a whole. Furthermore, </w:t>
          </w:r>
          <w:r w:rsidR="00EF75D5">
            <w:t>the requirements of fewer staff due to the shift to EAF caused a lot of worry and panic about long-term security as an employee. For the future transitions of such a big scale, a more phased and consultative approach could have reduced the uncertainty and supported a more positive adjustment to the new age of Steelmaking.</w:t>
          </w:r>
        </w:p>
        <w:p w14:paraId="7779D5FC" w14:textId="687D05B1" w:rsidR="00226810" w:rsidRPr="005014C5" w:rsidRDefault="00EF75D5" w:rsidP="00226810">
          <w:r>
            <w:t>Another area for improvement was the communication of Tata Steel’s reliance on imported slab and coil during the closure of Blast furnace 4. The guardian reported that following the closure of both Blast furnaces, a “significant portion” of the steel required for UK operations was being sourced from India and Netherlands</w:t>
          </w:r>
          <w:r w:rsidR="00DA7184">
            <w:t>. With no communication being given from Tata to employees, this raised major concern about the long-term role of UK Steel manufacturing and was faced with the possibility that Port Talbot may transition toward a semi-finishing site rather than full production. The uncertainty about the long-term purpose of the sites weakened confidence and lowered morale. A more transparent and clearer roadmap could have helped address the concerns and would have reduced apprehension across the workforce</w:t>
          </w:r>
          <w:r w:rsidR="00FD57F4">
            <w:t>.</w:t>
          </w:r>
        </w:p>
        <w:p w14:paraId="0C6DEB97" w14:textId="60EA6046" w:rsidR="00AA2A91" w:rsidRDefault="00226810" w:rsidP="00226810">
          <w:pPr>
            <w:pStyle w:val="Heading1"/>
          </w:pPr>
          <w:bookmarkStart w:id="9" w:name="_Toc227509008"/>
          <w:r>
            <w:t xml:space="preserve">3     </w:t>
          </w:r>
          <w:r w:rsidR="00AA2A91">
            <w:t>Conclusion</w:t>
          </w:r>
          <w:bookmarkEnd w:id="9"/>
          <w:r w:rsidR="00D854A5">
            <w:t xml:space="preserve"> </w:t>
          </w:r>
        </w:p>
        <w:p w14:paraId="68DBF38A" w14:textId="77777777" w:rsidR="00226810" w:rsidRPr="00226810" w:rsidRDefault="00226810" w:rsidP="00226810"/>
        <w:p w14:paraId="6FF3B474" w14:textId="79353B9E" w:rsidR="00AA2A91" w:rsidRDefault="00DA7184" w:rsidP="00AA2A91">
          <w:r>
            <w:t xml:space="preserve">In conclusion, the transformation at TATA Steel Port Talbot represents a significant organisational shit, driven by economic pressures, operational challenges and the need to transition toward a more environmentally sustainable steelmaking process. These factors created a </w:t>
          </w:r>
          <w:r w:rsidR="00526E7A">
            <w:t xml:space="preserve">compelling case for change and aligned the transformation with both industrial and environmental priorities. </w:t>
          </w:r>
        </w:p>
        <w:p w14:paraId="6265B562" w14:textId="67C8C92B" w:rsidR="00526E7A" w:rsidRDefault="00526E7A" w:rsidP="00AA2A91">
          <w:r>
            <w:t xml:space="preserve">However, the process exposed limitations in the way that the transition was managed. The workforce and surrounding area experienced considerable uncertainty as job roles, routines and the culture of Port Talbot was disrupted. </w:t>
          </w:r>
          <w:r w:rsidR="00247A73">
            <w:t xml:space="preserve">The communication gaps further weakened the confidence of employees which contributed to low engagement with retraining initiatives and reenforced concerns over long term employment within the company. Emotional and cultural impacts were also substantial, with the end of steelmaking representing not only an operational </w:t>
          </w:r>
          <w:r w:rsidR="009E2460">
            <w:t>milestone</w:t>
          </w:r>
          <w:r w:rsidR="00247A73">
            <w:t xml:space="preserve"> but a big loss for the community.</w:t>
          </w:r>
        </w:p>
        <w:p w14:paraId="52C577D0" w14:textId="0251899B" w:rsidR="00AA2A91" w:rsidRDefault="00247A73" w:rsidP="00AA2A91">
          <w:r>
            <w:t xml:space="preserve">Applying Lewin’s and Mullin’s theories highlighted that while there were some strong external drivers </w:t>
          </w:r>
          <w:r w:rsidR="009E2460">
            <w:t xml:space="preserve">that </w:t>
          </w:r>
          <w:r>
            <w:t xml:space="preserve">initiated the change </w:t>
          </w:r>
          <w:r w:rsidR="009E2460">
            <w:t>–</w:t>
          </w:r>
          <w:r>
            <w:t xml:space="preserve"> </w:t>
          </w:r>
          <w:r w:rsidR="009E2460">
            <w:t xml:space="preserve">Greater attention to communication, workforce motivations and long-term planning would have cause a much smoother and inclusive transition into EAF. Going forward, large scale transformations of this size and nature would massively benefit from giving clear strategic communication, stronger employee support systems and more robust approaches to keeping motivation during the periods of uncertainty. </w:t>
          </w:r>
        </w:p>
        <w:p w14:paraId="072DDF18" w14:textId="77777777" w:rsidR="00226810" w:rsidRDefault="00226810" w:rsidP="00AA2A91"/>
        <w:p w14:paraId="7312230E" w14:textId="3B4D29E7" w:rsidR="00905B02" w:rsidRDefault="00226810" w:rsidP="00905B02">
          <w:pPr>
            <w:pStyle w:val="Heading1"/>
          </w:pPr>
          <w:bookmarkStart w:id="10" w:name="_Toc227509009"/>
          <w:r>
            <w:lastRenderedPageBreak/>
            <w:t xml:space="preserve">4     </w:t>
          </w:r>
          <w:r w:rsidR="00905B02">
            <w:t>References</w:t>
          </w:r>
          <w:bookmarkEnd w:id="10"/>
        </w:p>
        <w:p w14:paraId="38F9AE47" w14:textId="77777777" w:rsidR="00905B02" w:rsidRDefault="00905B02" w:rsidP="00905B02"/>
        <w:p w14:paraId="076171D7" w14:textId="77777777" w:rsidR="00905B02" w:rsidRPr="00905B02" w:rsidRDefault="00905B02" w:rsidP="00905B02">
          <w:r w:rsidRPr="00905B02">
            <w:t xml:space="preserve">Harrington, Patrick. “Port Talbot: Labour’s Deal for Steel Workers Explained as 2,500 Job Losses Announced.” </w:t>
          </w:r>
          <w:r w:rsidRPr="00905B02">
            <w:rPr>
              <w:i/>
              <w:iCs/>
            </w:rPr>
            <w:t>The Independent</w:t>
          </w:r>
          <w:r w:rsidRPr="00905B02">
            <w:t>, 12 Sept. 2024, www.independent.co.uk/news/uk/home-news/labour-port-talbot-job-losses-tata-steel-deal-b2611584.html.</w:t>
          </w:r>
        </w:p>
        <w:p w14:paraId="331EDECD" w14:textId="77777777" w:rsidR="00905B02" w:rsidRPr="00905B02" w:rsidRDefault="00905B02" w:rsidP="00905B02">
          <w:r w:rsidRPr="00905B02">
            <w:t xml:space="preserve">Thomas, Huw, and Paul Pigott. “Traditional Steelmaking Ends as Tata’s Port Talbot Blast Furnace Closes.” </w:t>
          </w:r>
          <w:r w:rsidRPr="00905B02">
            <w:rPr>
              <w:i/>
              <w:iCs/>
            </w:rPr>
            <w:t>BBC News</w:t>
          </w:r>
          <w:r w:rsidRPr="00905B02">
            <w:t>, 29 Sept. 2024, www.bbc.co.uk/news/articles/c70zxjldqnxo.</w:t>
          </w:r>
        </w:p>
        <w:p w14:paraId="02434593" w14:textId="77777777" w:rsidR="00905B02" w:rsidRPr="00905B02" w:rsidRDefault="00905B02" w:rsidP="00905B02">
          <w:r w:rsidRPr="00905B02">
            <w:t xml:space="preserve">Stobierski , Tim . “Redirecting.” </w:t>
          </w:r>
          <w:r w:rsidRPr="00905B02">
            <w:rPr>
              <w:i/>
              <w:iCs/>
            </w:rPr>
            <w:t>Proquest.com</w:t>
          </w:r>
          <w:r w:rsidRPr="00905B02">
            <w:t>, 21 Jan. 2020, ebookcentral.proquest.com/lib/trinity/reader.action?docID=5830196&amp;c=UERG&amp;ppg=41.</w:t>
          </w:r>
        </w:p>
        <w:p w14:paraId="101BC6F0" w14:textId="77777777" w:rsidR="00071017" w:rsidRDefault="00071017" w:rsidP="00071017">
          <w:r w:rsidRPr="00071017">
            <w:t xml:space="preserve">Guardian staff reporter. “Tata Steel’s UK Losses Hit £1.1bn on Cost of Closing Port Talbot Blast Furnaces.” </w:t>
          </w:r>
          <w:r w:rsidRPr="00071017">
            <w:rPr>
              <w:i/>
              <w:iCs/>
            </w:rPr>
            <w:t>The Guardian</w:t>
          </w:r>
          <w:r w:rsidRPr="00071017">
            <w:t>, The Guardian, 4 Dec. 2024, www.theguardian.com/business/2024/dec/04/tata-steels-uk-losses-hit-11bn-on-cost-of-closing-port-talbot-blast-furnaces.</w:t>
          </w:r>
        </w:p>
        <w:p w14:paraId="28ACFE72" w14:textId="788EA4D2" w:rsidR="00FD57F4" w:rsidRPr="00071017" w:rsidRDefault="00FD57F4" w:rsidP="00071017">
          <w:r w:rsidRPr="00FD57F4">
            <w:t xml:space="preserve">Steele, Annika. “Force Field Analysis - the Decision Lab.” </w:t>
          </w:r>
          <w:r w:rsidRPr="00FD57F4">
            <w:rPr>
              <w:i/>
              <w:iCs/>
            </w:rPr>
            <w:t>The Decision Lab</w:t>
          </w:r>
          <w:r w:rsidRPr="00FD57F4">
            <w:t>, 2025, thedecisionlab.com/reference-guide/organizational-behavior/force-field-analysis.</w:t>
          </w:r>
        </w:p>
        <w:p w14:paraId="518AB843" w14:textId="77777777" w:rsidR="00071017" w:rsidRPr="00071017" w:rsidRDefault="00071017" w:rsidP="00071017">
          <w:r w:rsidRPr="00071017">
            <w:t xml:space="preserve">Frampton, Ben . “Tata Steel: Port Talbot’s Second Blast Furnace Closes.” </w:t>
          </w:r>
          <w:r w:rsidRPr="00071017">
            <w:rPr>
              <w:i/>
              <w:iCs/>
            </w:rPr>
            <w:t>BBC News</w:t>
          </w:r>
          <w:r w:rsidRPr="00071017">
            <w:t>, 30 Sept. 2024, www.bbc.co.uk/news/live/cj6e863nxn8t.</w:t>
          </w:r>
        </w:p>
        <w:p w14:paraId="7873BD6F" w14:textId="77777777" w:rsidR="00071017" w:rsidRPr="00071017" w:rsidRDefault="00071017" w:rsidP="00071017">
          <w:pPr>
            <w:rPr>
              <w:lang w:val="pl-PL"/>
            </w:rPr>
          </w:pPr>
          <w:r w:rsidRPr="00071017">
            <w:t xml:space="preserve">Steel, Tata. “Tata Steel Will Proceed with Its £1.25 Billion Investment to Build a State-of-The-Art Electric Arc Furnace in Port Talbot.” </w:t>
          </w:r>
          <w:r w:rsidRPr="00071017">
            <w:rPr>
              <w:i/>
              <w:iCs/>
              <w:lang w:val="pl-PL"/>
            </w:rPr>
            <w:t>Tata Steel UK</w:t>
          </w:r>
          <w:r w:rsidRPr="00071017">
            <w:rPr>
              <w:lang w:val="pl-PL"/>
            </w:rPr>
            <w:t>, 2024, www.tatasteeluk.com/corporate/news-tata-steel-will-proceed-with-its-%C2%A31.25-billion-investment-to-build-a-state-of-the-art-electric-arc-furnace-in-port-talbot.</w:t>
          </w:r>
        </w:p>
        <w:p w14:paraId="26522513" w14:textId="77777777" w:rsidR="00340B1E" w:rsidRDefault="00340B1E" w:rsidP="00340B1E">
          <w:pPr>
            <w:rPr>
              <w:lang w:val="pl-PL"/>
            </w:rPr>
          </w:pPr>
          <w:proofErr w:type="spellStart"/>
          <w:r w:rsidRPr="00340B1E">
            <w:rPr>
              <w:lang w:val="pl-PL"/>
            </w:rPr>
            <w:t>Tahir</w:t>
          </w:r>
          <w:proofErr w:type="spellEnd"/>
          <w:r w:rsidRPr="00340B1E">
            <w:rPr>
              <w:lang w:val="pl-PL"/>
            </w:rPr>
            <w:t>, Umar. “</w:t>
          </w:r>
          <w:proofErr w:type="spellStart"/>
          <w:r w:rsidRPr="00340B1E">
            <w:rPr>
              <w:lang w:val="pl-PL"/>
            </w:rPr>
            <w:t>Lewin’s</w:t>
          </w:r>
          <w:proofErr w:type="spellEnd"/>
          <w:r w:rsidRPr="00340B1E">
            <w:rPr>
              <w:lang w:val="pl-PL"/>
            </w:rPr>
            <w:t xml:space="preserve"> Force Field Analysis (</w:t>
          </w:r>
          <w:proofErr w:type="spellStart"/>
          <w:r w:rsidRPr="00340B1E">
            <w:rPr>
              <w:lang w:val="pl-PL"/>
            </w:rPr>
            <w:t>Change</w:t>
          </w:r>
          <w:proofErr w:type="spellEnd"/>
          <w:r w:rsidRPr="00340B1E">
            <w:rPr>
              <w:lang w:val="pl-PL"/>
            </w:rPr>
            <w:t xml:space="preserve"> Management).” </w:t>
          </w:r>
          <w:proofErr w:type="spellStart"/>
          <w:r w:rsidRPr="00340B1E">
            <w:rPr>
              <w:i/>
              <w:iCs/>
              <w:lang w:val="pl-PL"/>
            </w:rPr>
            <w:t>Change</w:t>
          </w:r>
          <w:proofErr w:type="spellEnd"/>
          <w:r w:rsidRPr="00340B1E">
            <w:rPr>
              <w:i/>
              <w:iCs/>
              <w:lang w:val="pl-PL"/>
            </w:rPr>
            <w:t xml:space="preserve"> Management </w:t>
          </w:r>
          <w:proofErr w:type="spellStart"/>
          <w:r w:rsidRPr="00340B1E">
            <w:rPr>
              <w:i/>
              <w:iCs/>
              <w:lang w:val="pl-PL"/>
            </w:rPr>
            <w:t>Insight</w:t>
          </w:r>
          <w:proofErr w:type="spellEnd"/>
          <w:r w:rsidRPr="00340B1E">
            <w:rPr>
              <w:lang w:val="pl-PL"/>
            </w:rPr>
            <w:t xml:space="preserve">, 30 </w:t>
          </w:r>
          <w:proofErr w:type="spellStart"/>
          <w:r w:rsidRPr="00340B1E">
            <w:rPr>
              <w:lang w:val="pl-PL"/>
            </w:rPr>
            <w:t>Nov</w:t>
          </w:r>
          <w:proofErr w:type="spellEnd"/>
          <w:r w:rsidRPr="00340B1E">
            <w:rPr>
              <w:lang w:val="pl-PL"/>
            </w:rPr>
            <w:t>. 2019, changemanagementinsight.com/lewins-force-field-analysis-change-management/.</w:t>
          </w:r>
        </w:p>
        <w:p w14:paraId="43644C12" w14:textId="77777777" w:rsidR="00340B1E" w:rsidRPr="00340B1E" w:rsidRDefault="00340B1E" w:rsidP="00340B1E">
          <w:r w:rsidRPr="00340B1E">
            <w:t xml:space="preserve">NSC. “Tata Steel Breaks Ground with New Electric Arc Furnace.” </w:t>
          </w:r>
          <w:r w:rsidRPr="00340B1E">
            <w:rPr>
              <w:i/>
              <w:iCs/>
            </w:rPr>
            <w:t>Newsteelconstruction.com</w:t>
          </w:r>
          <w:r w:rsidRPr="00340B1E">
            <w:t>, 2 Sept. 2025, www.newsteelconstruction.com/wp/tata-steel-breaks-ground-with-new-electric-arc-furnace/. Accessed 17 Apr. 2026.</w:t>
          </w:r>
        </w:p>
        <w:p w14:paraId="0FADC36F" w14:textId="77777777" w:rsidR="00C858A0" w:rsidRPr="00C858A0" w:rsidRDefault="00C858A0" w:rsidP="00C858A0">
          <w:r w:rsidRPr="00C858A0">
            <w:t xml:space="preserve">Loader, Gwyn. “Tata: Unite Says Steel Jobs Should Be Created Not Lost.” </w:t>
          </w:r>
          <w:r w:rsidRPr="00C858A0">
            <w:rPr>
              <w:i/>
              <w:iCs/>
            </w:rPr>
            <w:t>BBC News</w:t>
          </w:r>
          <w:r w:rsidRPr="00C858A0">
            <w:t>, 16 Dec. 2023, www.bbc.co.uk/news/uk-wales-67740060.</w:t>
          </w:r>
        </w:p>
        <w:p w14:paraId="5D99D9C7" w14:textId="77777777" w:rsidR="00C64A3C" w:rsidRDefault="00C64A3C" w:rsidP="00C64A3C">
          <w:r w:rsidRPr="00C64A3C">
            <w:t xml:space="preserve">Thudium, Theodore . “Lewin’s Change Theory.” </w:t>
          </w:r>
          <w:r w:rsidRPr="00C64A3C">
            <w:rPr>
              <w:i/>
              <w:iCs/>
            </w:rPr>
            <w:t>Practical Psychology</w:t>
          </w:r>
          <w:r w:rsidRPr="00C64A3C">
            <w:t>, 2023, practicalpie.com/</w:t>
          </w:r>
          <w:proofErr w:type="spellStart"/>
          <w:r w:rsidRPr="00C64A3C">
            <w:t>lewins</w:t>
          </w:r>
          <w:proofErr w:type="spellEnd"/>
          <w:r w:rsidRPr="00C64A3C">
            <w:t>-change-theory/.</w:t>
          </w:r>
        </w:p>
        <w:p w14:paraId="160D9321" w14:textId="77777777" w:rsidR="00D80574" w:rsidRPr="00D80574" w:rsidRDefault="00D80574" w:rsidP="00D80574">
          <w:r w:rsidRPr="00D80574">
            <w:t xml:space="preserve">Bakari, Haroon, et al. “How Does Authentic Leadership Influence Planned Organizational Change? The Role of Employees’ Perceptions: Integration of Theory of Planned </w:t>
          </w:r>
          <w:proofErr w:type="spellStart"/>
          <w:r w:rsidRPr="00D80574">
            <w:t>Behavior</w:t>
          </w:r>
          <w:proofErr w:type="spellEnd"/>
          <w:r w:rsidRPr="00D80574">
            <w:t xml:space="preserve"> and Lewin’s Three Step Model.” </w:t>
          </w:r>
          <w:r w:rsidRPr="00D80574">
            <w:rPr>
              <w:i/>
              <w:iCs/>
            </w:rPr>
            <w:t>Journal of Change Management</w:t>
          </w:r>
          <w:r w:rsidRPr="00D80574">
            <w:t>, vol. 17, no. 2, 15 Mar. 2017, pp. 155–187, https://doi.org/10.1080/14697017.2017.1299370.</w:t>
          </w:r>
        </w:p>
        <w:p w14:paraId="217073A6" w14:textId="35FB15E3" w:rsidR="00D80574" w:rsidRDefault="00D80574" w:rsidP="00C64A3C">
          <w:r w:rsidRPr="00D80574">
            <w:t xml:space="preserve">Cummings, Stephen, et al. “Unfreezing Change as Three Steps: Rethinking Kurt Lewin’s Legacy for Change Management.” </w:t>
          </w:r>
          <w:r w:rsidRPr="00D80574">
            <w:rPr>
              <w:i/>
              <w:iCs/>
            </w:rPr>
            <w:t>Human Relations</w:t>
          </w:r>
          <w:r w:rsidRPr="00D80574">
            <w:t xml:space="preserve">, vol. 69, no. 1, 2016, pp. 33–60. </w:t>
          </w:r>
          <w:proofErr w:type="spellStart"/>
          <w:r w:rsidRPr="00D80574">
            <w:rPr>
              <w:i/>
              <w:iCs/>
            </w:rPr>
            <w:t>Sagepub</w:t>
          </w:r>
          <w:proofErr w:type="spellEnd"/>
          <w:r w:rsidRPr="00D80574">
            <w:t>, https://doi.org/10.1177/0018726715577707.</w:t>
          </w:r>
        </w:p>
        <w:p w14:paraId="7ED3CFB1" w14:textId="7C836F1E" w:rsidR="00D80574" w:rsidRPr="00C64A3C" w:rsidRDefault="00D80574" w:rsidP="00C64A3C">
          <w:r w:rsidRPr="00B33F68">
            <w:t xml:space="preserve">Burnes, Bernard. “The Origins of Lewin’s Three-Step Model of Change.” </w:t>
          </w:r>
          <w:r w:rsidRPr="00B33F68">
            <w:rPr>
              <w:i/>
              <w:iCs/>
            </w:rPr>
            <w:t xml:space="preserve">The Journal of Applied </w:t>
          </w:r>
          <w:proofErr w:type="spellStart"/>
          <w:r w:rsidRPr="00B33F68">
            <w:rPr>
              <w:i/>
              <w:iCs/>
            </w:rPr>
            <w:t>Behavioral</w:t>
          </w:r>
          <w:proofErr w:type="spellEnd"/>
          <w:r w:rsidRPr="00B33F68">
            <w:rPr>
              <w:i/>
              <w:iCs/>
            </w:rPr>
            <w:t xml:space="preserve"> Science</w:t>
          </w:r>
          <w:r w:rsidRPr="00B33F68">
            <w:t>, vol. 56, no. 1, 2020, pp. 32–59, https://doi.org/10.1177/0021886319892685.</w:t>
          </w:r>
        </w:p>
        <w:p w14:paraId="7B0E5A91" w14:textId="77777777" w:rsidR="007A5628" w:rsidRPr="007A5628" w:rsidRDefault="007A5628" w:rsidP="007A5628">
          <w:r w:rsidRPr="007A5628">
            <w:lastRenderedPageBreak/>
            <w:t xml:space="preserve">---. “How Does Authentic Leadership Influence Planned Organizational Change? The Role of Employees’ Perceptions: Integration of Theory of Planned </w:t>
          </w:r>
          <w:proofErr w:type="spellStart"/>
          <w:r w:rsidRPr="007A5628">
            <w:t>Behavior</w:t>
          </w:r>
          <w:proofErr w:type="spellEnd"/>
          <w:r w:rsidRPr="007A5628">
            <w:t xml:space="preserve"> and Lewin’s Three Step Model.” </w:t>
          </w:r>
          <w:r w:rsidRPr="007A5628">
            <w:rPr>
              <w:i/>
              <w:iCs/>
            </w:rPr>
            <w:t>Journal of Change Management</w:t>
          </w:r>
          <w:r w:rsidRPr="007A5628">
            <w:t>, vol. 17, no. 2, 15 Mar. 2017, pp. 155–187, https://doi.org/10.1080/14697017.2017.1299370.</w:t>
          </w:r>
        </w:p>
        <w:p w14:paraId="1122E62B" w14:textId="77777777" w:rsidR="007A5628" w:rsidRPr="007A5628" w:rsidRDefault="007A5628" w:rsidP="007A5628">
          <w:r w:rsidRPr="007A5628">
            <w:t xml:space="preserve">Mullins, Laurie J. </w:t>
          </w:r>
          <w:r w:rsidRPr="007A5628">
            <w:rPr>
              <w:i/>
              <w:iCs/>
            </w:rPr>
            <w:t>Essentials of Organisational Behaviour</w:t>
          </w:r>
          <w:r w:rsidRPr="007A5628">
            <w:t xml:space="preserve">. </w:t>
          </w:r>
          <w:proofErr w:type="spellStart"/>
          <w:r w:rsidRPr="007A5628">
            <w:t>Laurie.J.Mullins</w:t>
          </w:r>
          <w:proofErr w:type="spellEnd"/>
          <w:r w:rsidRPr="007A5628">
            <w:t>, 2006.</w:t>
          </w:r>
        </w:p>
        <w:p w14:paraId="1003294A" w14:textId="77777777" w:rsidR="007A5001" w:rsidRPr="007A5001" w:rsidRDefault="007A5001" w:rsidP="007A5001">
          <w:r w:rsidRPr="007A5001">
            <w:t xml:space="preserve">Barry, Sion. “Tata Steel £100m Transition Fund Sees Its First Release of Money.” </w:t>
          </w:r>
          <w:r w:rsidRPr="007A5001">
            <w:rPr>
              <w:i/>
              <w:iCs/>
            </w:rPr>
            <w:t>Business Live</w:t>
          </w:r>
          <w:r w:rsidRPr="007A5001">
            <w:t>, 14 Aug. 2024, www.business-live.co.uk/manufacturing/tata-steel-100m-transition-fund-29739443. Accessed 19 Apr. 2026.</w:t>
          </w:r>
        </w:p>
        <w:p w14:paraId="688D55B5" w14:textId="77777777" w:rsidR="007A5001" w:rsidRPr="007A5001" w:rsidRDefault="007A5001" w:rsidP="007A5001">
          <w:r w:rsidRPr="007A5001">
            <w:t xml:space="preserve">Steel, Tata. “Support Centre Opens for Those Affected by Restructuring.” </w:t>
          </w:r>
          <w:r w:rsidRPr="007A5001">
            <w:rPr>
              <w:i/>
              <w:iCs/>
              <w:lang w:val="pl-PL"/>
            </w:rPr>
            <w:t>Tata Steel UK</w:t>
          </w:r>
          <w:r w:rsidRPr="007A5001">
            <w:rPr>
              <w:lang w:val="pl-PL"/>
            </w:rPr>
            <w:t xml:space="preserve">, 2026, www.tatasteeluk.com/corporate/news/support-centre-opens-for-those-affected-by-restructuring. </w:t>
          </w:r>
          <w:r w:rsidRPr="007A5001">
            <w:t>Accessed 19 Apr. 2026.</w:t>
          </w:r>
        </w:p>
        <w:p w14:paraId="77D69E6F" w14:textId="05D45868" w:rsidR="004A11F6" w:rsidRPr="007D1947" w:rsidRDefault="00FD57F4" w:rsidP="007D1947">
          <w:r w:rsidRPr="00FD57F4">
            <w:t xml:space="preserve">Geada, Nuno . “Shibboleth Authentication Request.” </w:t>
          </w:r>
          <w:r w:rsidRPr="00FD57F4">
            <w:rPr>
              <w:i/>
              <w:iCs/>
            </w:rPr>
            <w:t>Oclc.org</w:t>
          </w:r>
          <w:r w:rsidRPr="00FD57F4">
            <w:t>, 2026, www-igi-global-com.uwtsd.idm.oclc.org/gateway/book/264135. Accessed 19 Apr. 2026.</w:t>
          </w:r>
        </w:p>
        <w:p w14:paraId="7F890C1F" w14:textId="77777777" w:rsidR="00CA09F3" w:rsidRDefault="0000000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74E43"/>
    <w:multiLevelType w:val="hybridMultilevel"/>
    <w:tmpl w:val="80C6D296"/>
    <w:lvl w:ilvl="0" w:tplc="3652605E">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8609CA"/>
    <w:multiLevelType w:val="multilevel"/>
    <w:tmpl w:val="88EC3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2297284">
    <w:abstractNumId w:val="1"/>
  </w:num>
  <w:num w:numId="2" w16cid:durableId="1770926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71017"/>
    <w:rsid w:val="00107936"/>
    <w:rsid w:val="00115B96"/>
    <w:rsid w:val="00190BBF"/>
    <w:rsid w:val="00194213"/>
    <w:rsid w:val="00211FAE"/>
    <w:rsid w:val="00226810"/>
    <w:rsid w:val="00247A73"/>
    <w:rsid w:val="00292977"/>
    <w:rsid w:val="002B251F"/>
    <w:rsid w:val="002B7132"/>
    <w:rsid w:val="00324CCD"/>
    <w:rsid w:val="00340B1E"/>
    <w:rsid w:val="003600BF"/>
    <w:rsid w:val="003905DC"/>
    <w:rsid w:val="00403385"/>
    <w:rsid w:val="004161B7"/>
    <w:rsid w:val="00480872"/>
    <w:rsid w:val="00496435"/>
    <w:rsid w:val="00497FB8"/>
    <w:rsid w:val="004A11F6"/>
    <w:rsid w:val="004D519C"/>
    <w:rsid w:val="005014C5"/>
    <w:rsid w:val="00526E7A"/>
    <w:rsid w:val="00551F8D"/>
    <w:rsid w:val="00564C17"/>
    <w:rsid w:val="00577528"/>
    <w:rsid w:val="00593DEE"/>
    <w:rsid w:val="005F212A"/>
    <w:rsid w:val="00645295"/>
    <w:rsid w:val="00693E27"/>
    <w:rsid w:val="00696C52"/>
    <w:rsid w:val="006F7EAB"/>
    <w:rsid w:val="00712A30"/>
    <w:rsid w:val="00715999"/>
    <w:rsid w:val="007306EA"/>
    <w:rsid w:val="007451BC"/>
    <w:rsid w:val="007A5001"/>
    <w:rsid w:val="007A5628"/>
    <w:rsid w:val="007D1947"/>
    <w:rsid w:val="0084774F"/>
    <w:rsid w:val="00867D3D"/>
    <w:rsid w:val="008B74DB"/>
    <w:rsid w:val="008D4C45"/>
    <w:rsid w:val="00901C87"/>
    <w:rsid w:val="00905B02"/>
    <w:rsid w:val="00931CAA"/>
    <w:rsid w:val="00994E1E"/>
    <w:rsid w:val="009E2460"/>
    <w:rsid w:val="00A12B58"/>
    <w:rsid w:val="00A4233F"/>
    <w:rsid w:val="00A826B1"/>
    <w:rsid w:val="00AA2A91"/>
    <w:rsid w:val="00AB2BC8"/>
    <w:rsid w:val="00AF435C"/>
    <w:rsid w:val="00B33F68"/>
    <w:rsid w:val="00B702C7"/>
    <w:rsid w:val="00C17124"/>
    <w:rsid w:val="00C22195"/>
    <w:rsid w:val="00C4349D"/>
    <w:rsid w:val="00C64A3C"/>
    <w:rsid w:val="00C858A0"/>
    <w:rsid w:val="00C92D30"/>
    <w:rsid w:val="00CA09F3"/>
    <w:rsid w:val="00CC54CF"/>
    <w:rsid w:val="00CE107F"/>
    <w:rsid w:val="00CE6A00"/>
    <w:rsid w:val="00CF5B69"/>
    <w:rsid w:val="00D06B7D"/>
    <w:rsid w:val="00D80574"/>
    <w:rsid w:val="00D854A5"/>
    <w:rsid w:val="00DA15A1"/>
    <w:rsid w:val="00DA7184"/>
    <w:rsid w:val="00E91208"/>
    <w:rsid w:val="00EC61A9"/>
    <w:rsid w:val="00EF75D5"/>
    <w:rsid w:val="00F10099"/>
    <w:rsid w:val="00F16E8A"/>
    <w:rsid w:val="00FD57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574"/>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226810"/>
    <w:pPr>
      <w:tabs>
        <w:tab w:val="right" w:leader="dot" w:pos="9016"/>
      </w:tabs>
      <w:spacing w:after="100"/>
    </w:pPr>
    <w:rPr>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593DEE"/>
    <w:rPr>
      <w:rFonts w:ascii="Times New Roman" w:hAnsi="Times New Roman" w:cs="Times New Roman"/>
      <w:sz w:val="24"/>
      <w:szCs w:val="24"/>
    </w:rPr>
  </w:style>
  <w:style w:type="paragraph" w:styleId="ListParagraph">
    <w:name w:val="List Paragraph"/>
    <w:basedOn w:val="Normal"/>
    <w:uiPriority w:val="34"/>
    <w:qFormat/>
    <w:rsid w:val="00593DEE"/>
    <w:pPr>
      <w:ind w:left="720"/>
      <w:contextualSpacing/>
    </w:pPr>
  </w:style>
  <w:style w:type="character" w:styleId="UnresolvedMention">
    <w:name w:val="Unresolved Mention"/>
    <w:basedOn w:val="DefaultParagraphFont"/>
    <w:uiPriority w:val="99"/>
    <w:semiHidden/>
    <w:unhideWhenUsed/>
    <w:rsid w:val="00FD5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272CD80AC924FB8BDA21DE1EDB27DC3"/>
        <w:category>
          <w:name w:val="General"/>
          <w:gallery w:val="placeholder"/>
        </w:category>
        <w:types>
          <w:type w:val="bbPlcHdr"/>
        </w:types>
        <w:behaviors>
          <w:behavior w:val="content"/>
        </w:behaviors>
        <w:guid w:val="{0873A9FA-813E-4D42-8DEA-3EA9E8562306}"/>
      </w:docPartPr>
      <w:docPartBody>
        <w:p w:rsidR="00000000" w:rsidRDefault="00B1091A" w:rsidP="00B1091A">
          <w:pPr>
            <w:pStyle w:val="6272CD80AC924FB8BDA21DE1EDB27DC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564C17"/>
    <w:rsid w:val="009D7389"/>
    <w:rsid w:val="00A34C42"/>
    <w:rsid w:val="00AC0DA6"/>
    <w:rsid w:val="00B1091A"/>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6272CD80AC924FB8BDA21DE1EDB27DC3">
    <w:name w:val="6272CD80AC924FB8BDA21DE1EDB27DC3"/>
    <w:rsid w:val="00B1091A"/>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3627</Words>
  <Characters>21654</Characters>
  <Application>Microsoft Office Word</Application>
  <DocSecurity>0</DocSecurity>
  <Lines>416</Lines>
  <Paragraphs>148</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Approaches to Innovation and Organisational Change</dc:subject>
  <dc:creator>Marie Pitson</dc:creator>
  <cp:keywords/>
  <dc:description/>
  <cp:lastModifiedBy>Tom Evans (2516473)</cp:lastModifiedBy>
  <cp:revision>4</cp:revision>
  <dcterms:created xsi:type="dcterms:W3CDTF">2026-04-01T09:57:00Z</dcterms:created>
  <dcterms:modified xsi:type="dcterms:W3CDTF">2026-04-19T15:42:00Z</dcterms:modified>
</cp:coreProperties>
</file>