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789" w:type="dxa"/>
        <w:tblInd w:w="-5" w:type="dxa"/>
        <w:tblCellMar>
          <w:left w:w="10" w:type="dxa"/>
          <w:right w:w="10" w:type="dxa"/>
        </w:tblCellMar>
        <w:tblLook w:val="04A0" w:firstRow="1" w:lastRow="0" w:firstColumn="1" w:lastColumn="0" w:noHBand="0" w:noVBand="1"/>
      </w:tblPr>
      <w:tblGrid>
        <w:gridCol w:w="2094"/>
        <w:gridCol w:w="2584"/>
        <w:gridCol w:w="1559"/>
        <w:gridCol w:w="2552"/>
      </w:tblGrid>
      <w:tr w:rsidR="008375D0" w14:paraId="158C2654" w14:textId="77777777">
        <w:tblPrEx>
          <w:tblCellMar>
            <w:top w:w="0" w:type="dxa"/>
            <w:bottom w:w="0" w:type="dxa"/>
          </w:tblCellMar>
        </w:tblPrEx>
        <w:trPr>
          <w:trHeight w:val="500"/>
        </w:trPr>
        <w:tc>
          <w:tcPr>
            <w:tcW w:w="2094" w:type="dxa"/>
            <w:tcBorders>
              <w:top w:val="single" w:sz="4" w:space="0" w:color="000000"/>
              <w:left w:val="single" w:sz="4" w:space="0" w:color="000000"/>
              <w:bottom w:val="single" w:sz="4" w:space="0" w:color="000000"/>
              <w:right w:val="single" w:sz="4" w:space="0" w:color="000000"/>
            </w:tcBorders>
            <w:shd w:val="clear" w:color="auto" w:fill="D9D9D9"/>
            <w:tcMar>
              <w:top w:w="10" w:type="dxa"/>
              <w:left w:w="6" w:type="dxa"/>
              <w:bottom w:w="6" w:type="dxa"/>
              <w:right w:w="41" w:type="dxa"/>
            </w:tcMar>
          </w:tcPr>
          <w:p w14:paraId="7AE4C992" w14:textId="77777777" w:rsidR="008375D0" w:rsidRDefault="00000000">
            <w:pPr>
              <w:spacing w:line="360" w:lineRule="auto"/>
            </w:pPr>
            <w:r>
              <w:rPr>
                <w:rFonts w:ascii="Times New Roman" w:hAnsi="Times New Roman"/>
                <w:b/>
                <w:sz w:val="24"/>
                <w:szCs w:val="24"/>
              </w:rPr>
              <w:t>Student name:</w:t>
            </w:r>
          </w:p>
        </w:tc>
        <w:tc>
          <w:tcPr>
            <w:tcW w:w="6695" w:type="dxa"/>
            <w:gridSpan w:val="3"/>
            <w:tcBorders>
              <w:top w:val="single" w:sz="4" w:space="0" w:color="000000"/>
              <w:left w:val="single" w:sz="4" w:space="0" w:color="000000"/>
              <w:bottom w:val="single" w:sz="4" w:space="0" w:color="000000"/>
              <w:right w:val="single" w:sz="4" w:space="0" w:color="000000"/>
            </w:tcBorders>
            <w:tcMar>
              <w:top w:w="10" w:type="dxa"/>
              <w:left w:w="6" w:type="dxa"/>
              <w:bottom w:w="6" w:type="dxa"/>
              <w:right w:w="41" w:type="dxa"/>
            </w:tcMar>
          </w:tcPr>
          <w:p w14:paraId="3615EF4F" w14:textId="77777777" w:rsidR="008375D0" w:rsidRDefault="008375D0">
            <w:pPr>
              <w:pStyle w:val="TableParagraph"/>
              <w:spacing w:line="360" w:lineRule="auto"/>
              <w:ind w:left="0"/>
              <w:rPr>
                <w:rFonts w:ascii="Times New Roman" w:hAnsi="Times New Roman" w:cs="Times New Roman"/>
                <w:sz w:val="24"/>
                <w:szCs w:val="24"/>
              </w:rPr>
            </w:pPr>
          </w:p>
          <w:p w14:paraId="028A7A8D" w14:textId="77777777" w:rsidR="008375D0" w:rsidRDefault="00000000">
            <w:pPr>
              <w:spacing w:line="360" w:lineRule="auto"/>
            </w:pPr>
            <w:proofErr w:type="spellStart"/>
            <w:r>
              <w:rPr>
                <w:rFonts w:ascii="Times New Roman" w:hAnsi="Times New Roman"/>
                <w:sz w:val="24"/>
                <w:szCs w:val="24"/>
              </w:rPr>
              <w:t>Rajwinder</w:t>
            </w:r>
            <w:proofErr w:type="spellEnd"/>
            <w:r>
              <w:rPr>
                <w:rFonts w:ascii="Times New Roman" w:hAnsi="Times New Roman"/>
                <w:sz w:val="24"/>
                <w:szCs w:val="24"/>
              </w:rPr>
              <w:t xml:space="preserve"> Kaur</w:t>
            </w:r>
          </w:p>
        </w:tc>
      </w:tr>
      <w:tr w:rsidR="008375D0" w14:paraId="307EB393" w14:textId="77777777">
        <w:tblPrEx>
          <w:tblCellMar>
            <w:top w:w="0" w:type="dxa"/>
            <w:bottom w:w="0" w:type="dxa"/>
          </w:tblCellMar>
        </w:tblPrEx>
        <w:trPr>
          <w:trHeight w:val="500"/>
        </w:trPr>
        <w:tc>
          <w:tcPr>
            <w:tcW w:w="2094" w:type="dxa"/>
            <w:tcBorders>
              <w:top w:val="single" w:sz="4" w:space="0" w:color="000000"/>
              <w:left w:val="single" w:sz="4" w:space="0" w:color="000000"/>
              <w:bottom w:val="single" w:sz="4" w:space="0" w:color="000000"/>
              <w:right w:val="single" w:sz="4" w:space="0" w:color="000000"/>
            </w:tcBorders>
            <w:shd w:val="clear" w:color="auto" w:fill="D9D9D9"/>
            <w:tcMar>
              <w:top w:w="10" w:type="dxa"/>
              <w:left w:w="6" w:type="dxa"/>
              <w:bottom w:w="6" w:type="dxa"/>
              <w:right w:w="41" w:type="dxa"/>
            </w:tcMar>
          </w:tcPr>
          <w:p w14:paraId="3CA71359" w14:textId="77777777" w:rsidR="008375D0" w:rsidRDefault="00000000">
            <w:pPr>
              <w:spacing w:line="360" w:lineRule="auto"/>
            </w:pPr>
            <w:r>
              <w:rPr>
                <w:rFonts w:ascii="Times New Roman" w:hAnsi="Times New Roman"/>
                <w:b/>
                <w:sz w:val="24"/>
                <w:szCs w:val="24"/>
              </w:rPr>
              <w:t>Student ID number:</w:t>
            </w:r>
          </w:p>
        </w:tc>
        <w:tc>
          <w:tcPr>
            <w:tcW w:w="6695" w:type="dxa"/>
            <w:gridSpan w:val="3"/>
            <w:tcBorders>
              <w:top w:val="single" w:sz="4" w:space="0" w:color="000000"/>
              <w:left w:val="single" w:sz="4" w:space="0" w:color="000000"/>
              <w:bottom w:val="single" w:sz="4" w:space="0" w:color="000000"/>
              <w:right w:val="single" w:sz="4" w:space="0" w:color="000000"/>
            </w:tcBorders>
            <w:tcMar>
              <w:top w:w="10" w:type="dxa"/>
              <w:left w:w="6" w:type="dxa"/>
              <w:bottom w:w="6" w:type="dxa"/>
              <w:right w:w="41" w:type="dxa"/>
            </w:tcMar>
          </w:tcPr>
          <w:p w14:paraId="709E1BF7" w14:textId="77777777" w:rsidR="008375D0" w:rsidRDefault="00000000">
            <w:pPr>
              <w:pStyle w:val="TableParagraph"/>
              <w:spacing w:line="360" w:lineRule="auto"/>
              <w:ind w:left="0"/>
              <w:rPr>
                <w:rFonts w:ascii="Times New Roman" w:hAnsi="Times New Roman" w:cs="Times New Roman"/>
                <w:sz w:val="24"/>
                <w:szCs w:val="24"/>
              </w:rPr>
            </w:pPr>
            <w:r>
              <w:rPr>
                <w:rFonts w:ascii="Times New Roman" w:hAnsi="Times New Roman" w:cs="Times New Roman"/>
                <w:sz w:val="24"/>
                <w:szCs w:val="24"/>
              </w:rPr>
              <w:t xml:space="preserve"> </w:t>
            </w:r>
          </w:p>
          <w:p w14:paraId="7CA3BC60" w14:textId="77777777" w:rsidR="008375D0" w:rsidRDefault="00000000">
            <w:pPr>
              <w:spacing w:line="360" w:lineRule="auto"/>
            </w:pPr>
            <w:r>
              <w:rPr>
                <w:rFonts w:ascii="Times New Roman" w:hAnsi="Times New Roman"/>
                <w:sz w:val="24"/>
                <w:szCs w:val="24"/>
              </w:rPr>
              <w:t>2214604</w:t>
            </w:r>
          </w:p>
        </w:tc>
      </w:tr>
      <w:tr w:rsidR="008375D0" w14:paraId="33137D0C" w14:textId="77777777">
        <w:tblPrEx>
          <w:tblCellMar>
            <w:top w:w="0" w:type="dxa"/>
            <w:bottom w:w="0" w:type="dxa"/>
          </w:tblCellMar>
        </w:tblPrEx>
        <w:trPr>
          <w:trHeight w:val="500"/>
        </w:trPr>
        <w:tc>
          <w:tcPr>
            <w:tcW w:w="2094" w:type="dxa"/>
            <w:tcBorders>
              <w:top w:val="single" w:sz="4" w:space="0" w:color="000000"/>
              <w:left w:val="single" w:sz="4" w:space="0" w:color="000000"/>
              <w:bottom w:val="single" w:sz="4" w:space="0" w:color="000000"/>
              <w:right w:val="single" w:sz="4" w:space="0" w:color="000000"/>
            </w:tcBorders>
            <w:shd w:val="clear" w:color="auto" w:fill="D9D9D9"/>
            <w:tcMar>
              <w:top w:w="10" w:type="dxa"/>
              <w:left w:w="6" w:type="dxa"/>
              <w:bottom w:w="6" w:type="dxa"/>
              <w:right w:w="41" w:type="dxa"/>
            </w:tcMar>
            <w:vAlign w:val="bottom"/>
          </w:tcPr>
          <w:p w14:paraId="07BBDC42"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 xml:space="preserve">Programme: </w:t>
            </w:r>
          </w:p>
        </w:tc>
        <w:tc>
          <w:tcPr>
            <w:tcW w:w="6695" w:type="dxa"/>
            <w:gridSpan w:val="3"/>
            <w:tcBorders>
              <w:top w:val="single" w:sz="4" w:space="0" w:color="000000"/>
              <w:left w:val="single" w:sz="4" w:space="0" w:color="000000"/>
              <w:bottom w:val="single" w:sz="4" w:space="0" w:color="000000"/>
              <w:right w:val="single" w:sz="4" w:space="0" w:color="000000"/>
            </w:tcBorders>
            <w:tcMar>
              <w:top w:w="10" w:type="dxa"/>
              <w:left w:w="6" w:type="dxa"/>
              <w:bottom w:w="6" w:type="dxa"/>
              <w:right w:w="41" w:type="dxa"/>
            </w:tcMar>
            <w:vAlign w:val="bottom"/>
          </w:tcPr>
          <w:p w14:paraId="4CFD78E3"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 xml:space="preserve">BA (Hons) Business Management </w:t>
            </w:r>
          </w:p>
        </w:tc>
      </w:tr>
      <w:tr w:rsidR="008375D0" w14:paraId="5D19AD5F" w14:textId="77777777">
        <w:tblPrEx>
          <w:tblCellMar>
            <w:top w:w="0" w:type="dxa"/>
            <w:bottom w:w="0" w:type="dxa"/>
          </w:tblCellMar>
        </w:tblPrEx>
        <w:trPr>
          <w:trHeight w:val="502"/>
        </w:trPr>
        <w:tc>
          <w:tcPr>
            <w:tcW w:w="2094" w:type="dxa"/>
            <w:tcBorders>
              <w:top w:val="single" w:sz="4" w:space="0" w:color="000000"/>
              <w:left w:val="single" w:sz="4" w:space="0" w:color="000000"/>
              <w:bottom w:val="single" w:sz="4" w:space="0" w:color="000000"/>
              <w:right w:val="single" w:sz="4" w:space="0" w:color="000000"/>
            </w:tcBorders>
            <w:shd w:val="clear" w:color="auto" w:fill="D9D9D9"/>
            <w:tcMar>
              <w:top w:w="10" w:type="dxa"/>
              <w:left w:w="6" w:type="dxa"/>
              <w:bottom w:w="6" w:type="dxa"/>
              <w:right w:w="41" w:type="dxa"/>
            </w:tcMar>
            <w:vAlign w:val="bottom"/>
          </w:tcPr>
          <w:p w14:paraId="0DB1145F"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 xml:space="preserve">Module: </w:t>
            </w:r>
          </w:p>
        </w:tc>
        <w:tc>
          <w:tcPr>
            <w:tcW w:w="6695" w:type="dxa"/>
            <w:gridSpan w:val="3"/>
            <w:tcBorders>
              <w:top w:val="single" w:sz="4" w:space="0" w:color="000000"/>
              <w:left w:val="single" w:sz="4" w:space="0" w:color="000000"/>
              <w:bottom w:val="single" w:sz="4" w:space="0" w:color="000000"/>
              <w:right w:val="single" w:sz="4" w:space="0" w:color="000000"/>
            </w:tcBorders>
            <w:tcMar>
              <w:top w:w="10" w:type="dxa"/>
              <w:left w:w="6" w:type="dxa"/>
              <w:bottom w:w="6" w:type="dxa"/>
              <w:right w:w="41" w:type="dxa"/>
            </w:tcMar>
            <w:vAlign w:val="bottom"/>
          </w:tcPr>
          <w:p w14:paraId="5D674046"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 xml:space="preserve">Strategic Management and Sustainability  </w:t>
            </w:r>
          </w:p>
        </w:tc>
      </w:tr>
      <w:tr w:rsidR="008375D0" w14:paraId="1CE0C549" w14:textId="77777777">
        <w:tblPrEx>
          <w:tblCellMar>
            <w:top w:w="0" w:type="dxa"/>
            <w:bottom w:w="0" w:type="dxa"/>
          </w:tblCellMar>
        </w:tblPrEx>
        <w:trPr>
          <w:trHeight w:val="1027"/>
        </w:trPr>
        <w:tc>
          <w:tcPr>
            <w:tcW w:w="2094" w:type="dxa"/>
            <w:tcBorders>
              <w:top w:val="single" w:sz="4" w:space="0" w:color="000000"/>
              <w:left w:val="single" w:sz="4" w:space="0" w:color="000000"/>
              <w:bottom w:val="single" w:sz="4" w:space="0" w:color="000000"/>
              <w:right w:val="single" w:sz="4" w:space="0" w:color="000000"/>
            </w:tcBorders>
            <w:shd w:val="clear" w:color="auto" w:fill="D9D9D9"/>
            <w:tcMar>
              <w:top w:w="10" w:type="dxa"/>
              <w:left w:w="6" w:type="dxa"/>
              <w:bottom w:w="6" w:type="dxa"/>
              <w:right w:w="41" w:type="dxa"/>
            </w:tcMar>
            <w:vAlign w:val="bottom"/>
          </w:tcPr>
          <w:p w14:paraId="3D1CFD96"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 xml:space="preserve">Module code: </w:t>
            </w:r>
          </w:p>
          <w:p w14:paraId="1C3948CC" w14:textId="77777777" w:rsidR="008375D0" w:rsidRDefault="008375D0">
            <w:pPr>
              <w:spacing w:line="360" w:lineRule="auto"/>
              <w:rPr>
                <w:rFonts w:ascii="Times New Roman" w:hAnsi="Times New Roman"/>
                <w:b/>
                <w:bCs/>
                <w:sz w:val="24"/>
                <w:szCs w:val="24"/>
                <w:lang w:val="en-GB"/>
              </w:rPr>
            </w:pPr>
          </w:p>
        </w:tc>
        <w:tc>
          <w:tcPr>
            <w:tcW w:w="6695" w:type="dxa"/>
            <w:gridSpan w:val="3"/>
            <w:tcBorders>
              <w:top w:val="single" w:sz="4" w:space="0" w:color="000000"/>
              <w:left w:val="single" w:sz="4" w:space="0" w:color="000000"/>
              <w:bottom w:val="single" w:sz="4" w:space="0" w:color="000000"/>
              <w:right w:val="single" w:sz="4" w:space="0" w:color="000000"/>
            </w:tcBorders>
            <w:tcMar>
              <w:top w:w="10" w:type="dxa"/>
              <w:left w:w="6" w:type="dxa"/>
              <w:bottom w:w="6" w:type="dxa"/>
              <w:right w:w="41" w:type="dxa"/>
            </w:tcMar>
            <w:vAlign w:val="bottom"/>
          </w:tcPr>
          <w:p w14:paraId="5CAA83C3"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LCBB 6015</w:t>
            </w:r>
          </w:p>
          <w:p w14:paraId="148DBEE3" w14:textId="77777777" w:rsidR="008375D0" w:rsidRDefault="008375D0">
            <w:pPr>
              <w:spacing w:line="360" w:lineRule="auto"/>
              <w:rPr>
                <w:rFonts w:ascii="Times New Roman" w:hAnsi="Times New Roman"/>
                <w:b/>
                <w:bCs/>
                <w:sz w:val="24"/>
                <w:szCs w:val="24"/>
                <w:lang w:val="en-GB"/>
              </w:rPr>
            </w:pPr>
          </w:p>
        </w:tc>
      </w:tr>
      <w:tr w:rsidR="008375D0" w14:paraId="79AB35F9" w14:textId="77777777">
        <w:tblPrEx>
          <w:tblCellMar>
            <w:top w:w="0" w:type="dxa"/>
            <w:bottom w:w="0" w:type="dxa"/>
          </w:tblCellMar>
        </w:tblPrEx>
        <w:trPr>
          <w:trHeight w:val="1002"/>
        </w:trPr>
        <w:tc>
          <w:tcPr>
            <w:tcW w:w="2094" w:type="dxa"/>
            <w:tcBorders>
              <w:top w:val="single" w:sz="4" w:space="0" w:color="000000"/>
              <w:left w:val="single" w:sz="4" w:space="0" w:color="000000"/>
              <w:bottom w:val="single" w:sz="4" w:space="0" w:color="000000"/>
              <w:right w:val="single" w:sz="4" w:space="0" w:color="000000"/>
            </w:tcBorders>
            <w:shd w:val="clear" w:color="auto" w:fill="D9D9D9"/>
            <w:tcMar>
              <w:top w:w="10" w:type="dxa"/>
              <w:left w:w="6" w:type="dxa"/>
              <w:bottom w:w="6" w:type="dxa"/>
              <w:right w:w="41" w:type="dxa"/>
            </w:tcMar>
            <w:vAlign w:val="center"/>
          </w:tcPr>
          <w:p w14:paraId="75FD4B8C"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 xml:space="preserve">Module Lead: </w:t>
            </w:r>
          </w:p>
          <w:p w14:paraId="11482562"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 xml:space="preserve">Lecturer: </w:t>
            </w:r>
          </w:p>
        </w:tc>
        <w:tc>
          <w:tcPr>
            <w:tcW w:w="2584" w:type="dxa"/>
            <w:tcBorders>
              <w:top w:val="single" w:sz="4" w:space="0" w:color="000000"/>
              <w:left w:val="single" w:sz="4" w:space="0" w:color="000000"/>
              <w:bottom w:val="single" w:sz="4" w:space="0" w:color="000000"/>
              <w:right w:val="single" w:sz="4" w:space="0" w:color="000000"/>
            </w:tcBorders>
            <w:tcMar>
              <w:top w:w="10" w:type="dxa"/>
              <w:left w:w="6" w:type="dxa"/>
              <w:bottom w:w="6" w:type="dxa"/>
              <w:right w:w="41" w:type="dxa"/>
            </w:tcMar>
            <w:vAlign w:val="center"/>
          </w:tcPr>
          <w:p w14:paraId="17CEED42" w14:textId="77777777" w:rsidR="008375D0" w:rsidRDefault="008375D0">
            <w:pPr>
              <w:spacing w:line="360" w:lineRule="auto"/>
              <w:rPr>
                <w:rFonts w:ascii="Times New Roman" w:hAnsi="Times New Roman"/>
                <w:b/>
                <w:bCs/>
                <w:sz w:val="24"/>
                <w:szCs w:val="24"/>
                <w:lang w:val="en-GB"/>
              </w:rPr>
            </w:pPr>
          </w:p>
        </w:tc>
        <w:tc>
          <w:tcPr>
            <w:tcW w:w="1559" w:type="dxa"/>
            <w:tcBorders>
              <w:top w:val="single" w:sz="4" w:space="0" w:color="000000"/>
              <w:left w:val="single" w:sz="4" w:space="0" w:color="000000"/>
              <w:bottom w:val="single" w:sz="4" w:space="0" w:color="000000"/>
              <w:right w:val="single" w:sz="4" w:space="0" w:color="000000"/>
            </w:tcBorders>
            <w:shd w:val="clear" w:color="auto" w:fill="D9D9D9"/>
            <w:tcMar>
              <w:top w:w="10" w:type="dxa"/>
              <w:left w:w="6" w:type="dxa"/>
              <w:bottom w:w="6" w:type="dxa"/>
              <w:right w:w="41" w:type="dxa"/>
            </w:tcMar>
            <w:vAlign w:val="bottom"/>
          </w:tcPr>
          <w:p w14:paraId="7870A97B"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 xml:space="preserve">Internal Verifier: </w:t>
            </w:r>
          </w:p>
          <w:p w14:paraId="1522CFD8" w14:textId="77777777" w:rsidR="008375D0" w:rsidRDefault="008375D0">
            <w:pPr>
              <w:spacing w:line="360" w:lineRule="auto"/>
              <w:rPr>
                <w:rFonts w:ascii="Times New Roman" w:hAnsi="Times New Roman"/>
                <w:b/>
                <w:bCs/>
                <w:sz w:val="24"/>
                <w:szCs w:val="24"/>
                <w:lang w:val="en-GB"/>
              </w:rPr>
            </w:pPr>
          </w:p>
          <w:p w14:paraId="738C4431" w14:textId="77777777" w:rsidR="008375D0" w:rsidRDefault="008375D0">
            <w:pPr>
              <w:spacing w:line="360" w:lineRule="auto"/>
              <w:rPr>
                <w:rFonts w:ascii="Times New Roman" w:hAnsi="Times New Roman"/>
                <w:b/>
                <w:bCs/>
                <w:sz w:val="24"/>
                <w:szCs w:val="24"/>
                <w:lang w:val="en-GB"/>
              </w:rPr>
            </w:pPr>
          </w:p>
        </w:tc>
        <w:tc>
          <w:tcPr>
            <w:tcW w:w="2552" w:type="dxa"/>
            <w:tcBorders>
              <w:top w:val="single" w:sz="4" w:space="0" w:color="000000"/>
              <w:left w:val="single" w:sz="4" w:space="0" w:color="000000"/>
              <w:bottom w:val="single" w:sz="4" w:space="0" w:color="000000"/>
              <w:right w:val="single" w:sz="4" w:space="0" w:color="000000"/>
            </w:tcBorders>
            <w:tcMar>
              <w:top w:w="10" w:type="dxa"/>
              <w:left w:w="6" w:type="dxa"/>
              <w:bottom w:w="6" w:type="dxa"/>
              <w:right w:w="41" w:type="dxa"/>
            </w:tcMar>
            <w:vAlign w:val="center"/>
          </w:tcPr>
          <w:p w14:paraId="67210AE1"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Dr Liyanage Sampath Rodrigo</w:t>
            </w:r>
          </w:p>
        </w:tc>
      </w:tr>
      <w:tr w:rsidR="008375D0" w14:paraId="53310561" w14:textId="77777777">
        <w:tblPrEx>
          <w:tblCellMar>
            <w:top w:w="0" w:type="dxa"/>
            <w:bottom w:w="0" w:type="dxa"/>
          </w:tblCellMar>
        </w:tblPrEx>
        <w:trPr>
          <w:trHeight w:val="770"/>
        </w:trPr>
        <w:tc>
          <w:tcPr>
            <w:tcW w:w="2094" w:type="dxa"/>
            <w:tcBorders>
              <w:top w:val="single" w:sz="4" w:space="0" w:color="000000"/>
              <w:left w:val="single" w:sz="4" w:space="0" w:color="000000"/>
              <w:bottom w:val="single" w:sz="4" w:space="0" w:color="000000"/>
              <w:right w:val="single" w:sz="4" w:space="0" w:color="000000"/>
            </w:tcBorders>
            <w:shd w:val="clear" w:color="auto" w:fill="D9D9D9"/>
            <w:tcMar>
              <w:top w:w="10" w:type="dxa"/>
              <w:left w:w="6" w:type="dxa"/>
              <w:bottom w:w="6" w:type="dxa"/>
              <w:right w:w="41" w:type="dxa"/>
            </w:tcMar>
            <w:vAlign w:val="bottom"/>
          </w:tcPr>
          <w:p w14:paraId="3842824D"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 xml:space="preserve">Assignment Title: </w:t>
            </w:r>
          </w:p>
        </w:tc>
        <w:tc>
          <w:tcPr>
            <w:tcW w:w="2584" w:type="dxa"/>
            <w:tcBorders>
              <w:top w:val="single" w:sz="4" w:space="0" w:color="000000"/>
              <w:left w:val="single" w:sz="4" w:space="0" w:color="000000"/>
              <w:bottom w:val="single" w:sz="4" w:space="0" w:color="000000"/>
              <w:right w:val="single" w:sz="4" w:space="0" w:color="000000"/>
            </w:tcBorders>
            <w:tcMar>
              <w:top w:w="10" w:type="dxa"/>
              <w:left w:w="6" w:type="dxa"/>
              <w:bottom w:w="6" w:type="dxa"/>
              <w:right w:w="41" w:type="dxa"/>
            </w:tcMar>
            <w:vAlign w:val="bottom"/>
          </w:tcPr>
          <w:p w14:paraId="6A8D8CBA"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 xml:space="preserve">Component 1: Coursework: Written Report </w:t>
            </w:r>
          </w:p>
        </w:tc>
        <w:tc>
          <w:tcPr>
            <w:tcW w:w="1559" w:type="dxa"/>
            <w:tcBorders>
              <w:top w:val="single" w:sz="4" w:space="0" w:color="000000"/>
              <w:left w:val="single" w:sz="4" w:space="0" w:color="000000"/>
              <w:bottom w:val="single" w:sz="4" w:space="0" w:color="000000"/>
              <w:right w:val="single" w:sz="4" w:space="0" w:color="000000"/>
            </w:tcBorders>
            <w:shd w:val="clear" w:color="auto" w:fill="D9D9D9"/>
            <w:tcMar>
              <w:top w:w="10" w:type="dxa"/>
              <w:left w:w="6" w:type="dxa"/>
              <w:bottom w:w="6" w:type="dxa"/>
              <w:right w:w="41" w:type="dxa"/>
            </w:tcMar>
          </w:tcPr>
          <w:p w14:paraId="535CA3B8"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 xml:space="preserve">Word count  </w:t>
            </w:r>
          </w:p>
          <w:p w14:paraId="2401B61E"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 xml:space="preserve"> </w:t>
            </w:r>
          </w:p>
        </w:tc>
        <w:tc>
          <w:tcPr>
            <w:tcW w:w="2552" w:type="dxa"/>
            <w:tcBorders>
              <w:top w:val="single" w:sz="4" w:space="0" w:color="000000"/>
              <w:left w:val="single" w:sz="4" w:space="0" w:color="000000"/>
              <w:bottom w:val="single" w:sz="4" w:space="0" w:color="000000"/>
              <w:right w:val="single" w:sz="4" w:space="0" w:color="000000"/>
            </w:tcBorders>
            <w:tcMar>
              <w:top w:w="10" w:type="dxa"/>
              <w:left w:w="6" w:type="dxa"/>
              <w:bottom w:w="6" w:type="dxa"/>
              <w:right w:w="41" w:type="dxa"/>
            </w:tcMar>
            <w:vAlign w:val="bottom"/>
          </w:tcPr>
          <w:p w14:paraId="70B4626E" w14:textId="77777777" w:rsidR="008375D0" w:rsidRDefault="00000000">
            <w:pPr>
              <w:spacing w:line="360" w:lineRule="auto"/>
              <w:rPr>
                <w:rFonts w:ascii="Times New Roman" w:hAnsi="Times New Roman"/>
                <w:b/>
                <w:bCs/>
                <w:sz w:val="24"/>
                <w:szCs w:val="24"/>
                <w:lang w:val="en-GB"/>
              </w:rPr>
            </w:pPr>
            <w:r>
              <w:rPr>
                <w:rFonts w:ascii="Times New Roman" w:hAnsi="Times New Roman"/>
                <w:b/>
                <w:bCs/>
                <w:sz w:val="24"/>
                <w:szCs w:val="24"/>
                <w:lang w:val="en-GB"/>
              </w:rPr>
              <w:t>2164</w:t>
            </w:r>
          </w:p>
        </w:tc>
      </w:tr>
    </w:tbl>
    <w:p w14:paraId="1AA837FA" w14:textId="77777777" w:rsidR="008375D0" w:rsidRDefault="008375D0">
      <w:pPr>
        <w:spacing w:line="360" w:lineRule="auto"/>
        <w:rPr>
          <w:rFonts w:ascii="Times New Roman" w:hAnsi="Times New Roman"/>
          <w:b/>
          <w:bCs/>
          <w:sz w:val="24"/>
          <w:szCs w:val="24"/>
        </w:rPr>
      </w:pPr>
    </w:p>
    <w:p w14:paraId="42782E36" w14:textId="77777777" w:rsidR="008375D0" w:rsidRDefault="008375D0">
      <w:pPr>
        <w:pageBreakBefore/>
        <w:spacing w:line="256" w:lineRule="auto"/>
        <w:rPr>
          <w:rFonts w:ascii="Times New Roman" w:hAnsi="Times New Roman"/>
          <w:b/>
          <w:bCs/>
          <w:sz w:val="24"/>
          <w:szCs w:val="24"/>
        </w:rPr>
      </w:pPr>
    </w:p>
    <w:p w14:paraId="1791B6E5"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Executive Summary</w:t>
      </w:r>
    </w:p>
    <w:p w14:paraId="4C222A89" w14:textId="77777777" w:rsidR="008375D0" w:rsidRDefault="00000000">
      <w:pPr>
        <w:spacing w:line="360" w:lineRule="auto"/>
        <w:rPr>
          <w:rFonts w:ascii="Times New Roman" w:hAnsi="Times New Roman"/>
          <w:sz w:val="24"/>
          <w:szCs w:val="24"/>
        </w:rPr>
      </w:pPr>
      <w:r>
        <w:rPr>
          <w:rFonts w:ascii="Times New Roman" w:hAnsi="Times New Roman"/>
          <w:sz w:val="24"/>
          <w:szCs w:val="24"/>
        </w:rPr>
        <w:t xml:space="preserve">This report analyses strategic context of Jaguar Land Rover (JLR) in the UK automotive </w:t>
      </w:r>
      <w:proofErr w:type="gramStart"/>
      <w:r>
        <w:rPr>
          <w:rFonts w:ascii="Times New Roman" w:hAnsi="Times New Roman"/>
          <w:sz w:val="24"/>
          <w:szCs w:val="24"/>
        </w:rPr>
        <w:t>sector</w:t>
      </w:r>
      <w:proofErr w:type="gramEnd"/>
      <w:r>
        <w:rPr>
          <w:rFonts w:ascii="Times New Roman" w:hAnsi="Times New Roman"/>
          <w:sz w:val="24"/>
          <w:szCs w:val="24"/>
        </w:rPr>
        <w:t xml:space="preserve"> and this proposes </w:t>
      </w:r>
      <w:proofErr w:type="gramStart"/>
      <w:r>
        <w:rPr>
          <w:rFonts w:ascii="Times New Roman" w:hAnsi="Times New Roman"/>
          <w:sz w:val="24"/>
          <w:szCs w:val="24"/>
        </w:rPr>
        <w:t>evidence based</w:t>
      </w:r>
      <w:proofErr w:type="gramEnd"/>
      <w:r>
        <w:rPr>
          <w:rFonts w:ascii="Times New Roman" w:hAnsi="Times New Roman"/>
          <w:sz w:val="24"/>
          <w:szCs w:val="24"/>
        </w:rPr>
        <w:t xml:space="preserve"> strategies for the sustainable competitive advantage under EV-led disruption. Strategic management is treated as fit problem because it aligns perfectly with external pressures (regulation, electrification, ecosystem rivalry, supply volatility) with internal resources and capabilities to deliver defensible positioning and credible sustainability outcomes. Using PESTLE, Porter’s Five Forces, Value Chain, RBV/VRIO and SWOT, the analysis finds that the EV transition is restructuring automotive value chains, increasing dependency on batteries, semiconductors and software while intensifying rivalry and shifting bargaining power towards critical suppliers. </w:t>
      </w:r>
    </w:p>
    <w:p w14:paraId="55C69E36" w14:textId="77777777" w:rsidR="008375D0" w:rsidRDefault="00000000">
      <w:pPr>
        <w:spacing w:line="360" w:lineRule="auto"/>
        <w:rPr>
          <w:rFonts w:ascii="Times New Roman" w:hAnsi="Times New Roman"/>
          <w:sz w:val="24"/>
          <w:szCs w:val="24"/>
        </w:rPr>
      </w:pPr>
      <w:r>
        <w:rPr>
          <w:rFonts w:ascii="Times New Roman" w:hAnsi="Times New Roman"/>
          <w:sz w:val="24"/>
          <w:szCs w:val="24"/>
        </w:rPr>
        <w:t xml:space="preserve">JLR’s strategic </w:t>
      </w:r>
      <w:proofErr w:type="gramStart"/>
      <w:r>
        <w:rPr>
          <w:rFonts w:ascii="Times New Roman" w:hAnsi="Times New Roman"/>
          <w:sz w:val="24"/>
          <w:szCs w:val="24"/>
        </w:rPr>
        <w:t>direction</w:t>
      </w:r>
      <w:proofErr w:type="gramEnd"/>
      <w:r>
        <w:rPr>
          <w:rFonts w:ascii="Times New Roman" w:hAnsi="Times New Roman"/>
          <w:sz w:val="24"/>
          <w:szCs w:val="24"/>
        </w:rPr>
        <w:t xml:space="preserve"> which is Reimagine, is position firm as a modern luxury manufacturer which set against a canvas of true sustainability. It </w:t>
      </w:r>
      <w:proofErr w:type="gramStart"/>
      <w:r>
        <w:rPr>
          <w:rFonts w:ascii="Times New Roman" w:hAnsi="Times New Roman"/>
          <w:sz w:val="24"/>
          <w:szCs w:val="24"/>
        </w:rPr>
        <w:t>aiming</w:t>
      </w:r>
      <w:proofErr w:type="gramEnd"/>
      <w:r>
        <w:rPr>
          <w:rFonts w:ascii="Times New Roman" w:hAnsi="Times New Roman"/>
          <w:sz w:val="24"/>
          <w:szCs w:val="24"/>
        </w:rPr>
        <w:t xml:space="preserve"> for net zero across the value chain by 2039. However, the UK market shows adoption tensions: registrations reached 2.02m in 2025 with BEVs growing but still short of policy trajectory pressures, indicating demand friction and affordability/infrastructure constraints.</w:t>
      </w:r>
    </w:p>
    <w:p w14:paraId="3FB072A8" w14:textId="77777777" w:rsidR="008375D0" w:rsidRDefault="00000000">
      <w:pPr>
        <w:spacing w:line="360" w:lineRule="auto"/>
        <w:rPr>
          <w:rFonts w:ascii="Times New Roman" w:hAnsi="Times New Roman"/>
          <w:sz w:val="24"/>
          <w:szCs w:val="24"/>
        </w:rPr>
      </w:pPr>
      <w:r>
        <w:rPr>
          <w:rFonts w:ascii="Times New Roman" w:hAnsi="Times New Roman"/>
          <w:sz w:val="24"/>
          <w:szCs w:val="24"/>
        </w:rPr>
        <w:t xml:space="preserve">Four strategic alternatives are evaluated: (1) platform focus with battery and supply security (2) software-defined luxury capability building (3) circular luxury (materials, remanufacturing, battery lifecycle) and (4) ecosystem alliances to enable EV demand. The recommended portfolio prioritises (1) and (2), staged by (3) and supported by (4), and is assessed using SAF and </w:t>
      </w:r>
      <w:proofErr w:type="spellStart"/>
      <w:r>
        <w:rPr>
          <w:rFonts w:ascii="Times New Roman" w:hAnsi="Times New Roman"/>
          <w:sz w:val="24"/>
          <w:szCs w:val="24"/>
        </w:rPr>
        <w:t>Rumelt</w:t>
      </w:r>
      <w:proofErr w:type="spellEnd"/>
      <w:r>
        <w:rPr>
          <w:rFonts w:ascii="Times New Roman" w:hAnsi="Times New Roman"/>
          <w:sz w:val="24"/>
          <w:szCs w:val="24"/>
        </w:rPr>
        <w:t xml:space="preserve"> to confirm suitability, feasibility and advantage. Implementation is presented as structured roadmap (0–12, 12 to 36 months, 3 to 7 years) with owners, KPIs and risk register which align transformation to both competitiveness and sustainability.</w:t>
      </w:r>
    </w:p>
    <w:p w14:paraId="6F2B663A" w14:textId="77777777" w:rsidR="008375D0" w:rsidRDefault="008375D0">
      <w:pPr>
        <w:pageBreakBefore/>
        <w:spacing w:line="256" w:lineRule="auto"/>
        <w:rPr>
          <w:rFonts w:ascii="Times New Roman" w:hAnsi="Times New Roman"/>
          <w:sz w:val="24"/>
          <w:szCs w:val="24"/>
        </w:rPr>
      </w:pPr>
    </w:p>
    <w:p w14:paraId="6EFDBF0C"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Table of Contents</w:t>
      </w:r>
    </w:p>
    <w:p w14:paraId="1797127E" w14:textId="77777777" w:rsidR="008375D0" w:rsidRDefault="00000000">
      <w:pPr>
        <w:spacing w:line="360" w:lineRule="auto"/>
        <w:rPr>
          <w:rFonts w:ascii="Times New Roman" w:hAnsi="Times New Roman"/>
          <w:sz w:val="24"/>
          <w:szCs w:val="24"/>
        </w:rPr>
      </w:pPr>
      <w:r>
        <w:rPr>
          <w:rFonts w:ascii="Times New Roman" w:hAnsi="Times New Roman"/>
          <w:sz w:val="24"/>
          <w:szCs w:val="24"/>
        </w:rPr>
        <w:t>Introduction …………………………………………………………………………………4</w:t>
      </w:r>
    </w:p>
    <w:p w14:paraId="19AD2B3E" w14:textId="77777777" w:rsidR="008375D0" w:rsidRDefault="00000000">
      <w:pPr>
        <w:spacing w:line="360" w:lineRule="auto"/>
        <w:rPr>
          <w:rFonts w:ascii="Times New Roman" w:hAnsi="Times New Roman"/>
          <w:sz w:val="24"/>
          <w:szCs w:val="24"/>
        </w:rPr>
      </w:pPr>
      <w:r>
        <w:rPr>
          <w:rFonts w:ascii="Times New Roman" w:hAnsi="Times New Roman"/>
          <w:sz w:val="24"/>
          <w:szCs w:val="24"/>
        </w:rPr>
        <w:t>Strategy Analysis ……………………………………………………………………………. 4</w:t>
      </w:r>
    </w:p>
    <w:p w14:paraId="2360973B" w14:textId="77777777" w:rsidR="008375D0" w:rsidRDefault="00000000">
      <w:pPr>
        <w:spacing w:line="360" w:lineRule="auto"/>
        <w:rPr>
          <w:rFonts w:ascii="Times New Roman" w:hAnsi="Times New Roman"/>
          <w:sz w:val="24"/>
          <w:szCs w:val="24"/>
        </w:rPr>
      </w:pPr>
      <w:r>
        <w:rPr>
          <w:rFonts w:ascii="Times New Roman" w:hAnsi="Times New Roman"/>
          <w:sz w:val="24"/>
          <w:szCs w:val="24"/>
        </w:rPr>
        <w:t>External Environment Audit</w:t>
      </w:r>
    </w:p>
    <w:p w14:paraId="4B9684A1" w14:textId="77777777" w:rsidR="008375D0" w:rsidRDefault="00000000">
      <w:pPr>
        <w:pStyle w:val="ListParagraph"/>
        <w:numPr>
          <w:ilvl w:val="0"/>
          <w:numId w:val="1"/>
        </w:numPr>
        <w:spacing w:line="360" w:lineRule="auto"/>
        <w:rPr>
          <w:rFonts w:ascii="Times New Roman" w:hAnsi="Times New Roman"/>
          <w:sz w:val="24"/>
          <w:szCs w:val="24"/>
        </w:rPr>
      </w:pPr>
      <w:r>
        <w:rPr>
          <w:rFonts w:ascii="Times New Roman" w:hAnsi="Times New Roman"/>
          <w:sz w:val="24"/>
          <w:szCs w:val="24"/>
        </w:rPr>
        <w:t>PESTLE</w:t>
      </w:r>
    </w:p>
    <w:p w14:paraId="686AF84A" w14:textId="77777777" w:rsidR="008375D0" w:rsidRDefault="00000000">
      <w:pPr>
        <w:pStyle w:val="ListParagraph"/>
        <w:numPr>
          <w:ilvl w:val="0"/>
          <w:numId w:val="1"/>
        </w:numPr>
        <w:spacing w:line="360" w:lineRule="auto"/>
        <w:rPr>
          <w:rFonts w:ascii="Times New Roman" w:hAnsi="Times New Roman"/>
          <w:sz w:val="24"/>
          <w:szCs w:val="24"/>
        </w:rPr>
      </w:pPr>
      <w:r>
        <w:rPr>
          <w:rFonts w:ascii="Times New Roman" w:hAnsi="Times New Roman"/>
          <w:sz w:val="24"/>
          <w:szCs w:val="24"/>
        </w:rPr>
        <w:t>Porter’s Five Forces</w:t>
      </w:r>
    </w:p>
    <w:p w14:paraId="6AC42CFC" w14:textId="77777777" w:rsidR="008375D0" w:rsidRDefault="00000000">
      <w:pPr>
        <w:spacing w:line="360" w:lineRule="auto"/>
        <w:rPr>
          <w:rFonts w:ascii="Times New Roman" w:hAnsi="Times New Roman"/>
          <w:sz w:val="24"/>
          <w:szCs w:val="24"/>
        </w:rPr>
      </w:pPr>
      <w:r>
        <w:rPr>
          <w:rFonts w:ascii="Times New Roman" w:hAnsi="Times New Roman"/>
          <w:sz w:val="24"/>
          <w:szCs w:val="24"/>
        </w:rPr>
        <w:t>Internal Environment Audit</w:t>
      </w:r>
    </w:p>
    <w:p w14:paraId="02FEB44A" w14:textId="77777777" w:rsidR="008375D0" w:rsidRDefault="00000000">
      <w:pPr>
        <w:pStyle w:val="ListParagraph"/>
        <w:numPr>
          <w:ilvl w:val="0"/>
          <w:numId w:val="2"/>
        </w:numPr>
        <w:spacing w:line="360" w:lineRule="auto"/>
        <w:rPr>
          <w:rFonts w:ascii="Times New Roman" w:hAnsi="Times New Roman"/>
          <w:sz w:val="24"/>
          <w:szCs w:val="24"/>
        </w:rPr>
      </w:pPr>
      <w:r>
        <w:rPr>
          <w:rFonts w:ascii="Times New Roman" w:hAnsi="Times New Roman"/>
          <w:sz w:val="24"/>
          <w:szCs w:val="24"/>
        </w:rPr>
        <w:t>Value Chain Analysis</w:t>
      </w:r>
    </w:p>
    <w:p w14:paraId="00572E37" w14:textId="77777777" w:rsidR="008375D0" w:rsidRDefault="00000000">
      <w:pPr>
        <w:pStyle w:val="ListParagraph"/>
        <w:numPr>
          <w:ilvl w:val="0"/>
          <w:numId w:val="2"/>
        </w:numPr>
        <w:spacing w:line="360" w:lineRule="auto"/>
        <w:rPr>
          <w:rFonts w:ascii="Times New Roman" w:hAnsi="Times New Roman"/>
          <w:sz w:val="24"/>
          <w:szCs w:val="24"/>
        </w:rPr>
      </w:pPr>
      <w:r>
        <w:rPr>
          <w:rFonts w:ascii="Times New Roman" w:hAnsi="Times New Roman"/>
          <w:sz w:val="24"/>
          <w:szCs w:val="24"/>
        </w:rPr>
        <w:t>RBV/VRIO</w:t>
      </w:r>
    </w:p>
    <w:p w14:paraId="2B94915B" w14:textId="77777777" w:rsidR="008375D0" w:rsidRDefault="00000000">
      <w:pPr>
        <w:spacing w:line="360" w:lineRule="auto"/>
        <w:rPr>
          <w:rFonts w:ascii="Times New Roman" w:hAnsi="Times New Roman"/>
          <w:sz w:val="24"/>
          <w:szCs w:val="24"/>
        </w:rPr>
      </w:pPr>
      <w:r>
        <w:rPr>
          <w:rFonts w:ascii="Times New Roman" w:hAnsi="Times New Roman"/>
          <w:sz w:val="24"/>
          <w:szCs w:val="24"/>
        </w:rPr>
        <w:t>Critical evaluation of tools (limitations and trade-offs) …………………………………</w:t>
      </w:r>
      <w:proofErr w:type="gramStart"/>
      <w:r>
        <w:rPr>
          <w:rFonts w:ascii="Times New Roman" w:hAnsi="Times New Roman"/>
          <w:sz w:val="24"/>
          <w:szCs w:val="24"/>
        </w:rPr>
        <w:t>…..</w:t>
      </w:r>
      <w:proofErr w:type="gramEnd"/>
      <w:r>
        <w:rPr>
          <w:rFonts w:ascii="Times New Roman" w:hAnsi="Times New Roman"/>
          <w:sz w:val="24"/>
          <w:szCs w:val="24"/>
        </w:rPr>
        <w:t xml:space="preserve"> 8</w:t>
      </w:r>
    </w:p>
    <w:p w14:paraId="7D992252" w14:textId="77777777" w:rsidR="008375D0" w:rsidRDefault="00000000">
      <w:pPr>
        <w:spacing w:line="360" w:lineRule="auto"/>
        <w:rPr>
          <w:rFonts w:ascii="Times New Roman" w:hAnsi="Times New Roman"/>
          <w:sz w:val="24"/>
          <w:szCs w:val="24"/>
        </w:rPr>
      </w:pPr>
      <w:r>
        <w:rPr>
          <w:rFonts w:ascii="Times New Roman" w:hAnsi="Times New Roman"/>
          <w:sz w:val="24"/>
          <w:szCs w:val="24"/>
        </w:rPr>
        <w:t>SWOT Analysis ……………………………………………………………...………………. 9</w:t>
      </w:r>
    </w:p>
    <w:p w14:paraId="76C6A4AA" w14:textId="77777777" w:rsidR="008375D0" w:rsidRDefault="00000000">
      <w:pPr>
        <w:spacing w:line="360" w:lineRule="auto"/>
        <w:rPr>
          <w:rFonts w:ascii="Times New Roman" w:hAnsi="Times New Roman"/>
          <w:sz w:val="24"/>
          <w:szCs w:val="24"/>
        </w:rPr>
      </w:pPr>
      <w:r>
        <w:rPr>
          <w:rFonts w:ascii="Times New Roman" w:hAnsi="Times New Roman"/>
          <w:sz w:val="24"/>
          <w:szCs w:val="24"/>
        </w:rPr>
        <w:t>Strategy Formulation: Strategic Alternatives ……………………………………………… 10</w:t>
      </w:r>
    </w:p>
    <w:p w14:paraId="3DA7F7C8" w14:textId="77777777" w:rsidR="008375D0" w:rsidRDefault="00000000">
      <w:pPr>
        <w:spacing w:line="360" w:lineRule="auto"/>
        <w:rPr>
          <w:rFonts w:ascii="Times New Roman" w:hAnsi="Times New Roman"/>
          <w:sz w:val="24"/>
          <w:szCs w:val="24"/>
        </w:rPr>
      </w:pPr>
      <w:r>
        <w:rPr>
          <w:rFonts w:ascii="Times New Roman" w:hAnsi="Times New Roman"/>
          <w:sz w:val="24"/>
          <w:szCs w:val="24"/>
        </w:rPr>
        <w:t xml:space="preserve">Strategy Evaluation using </w:t>
      </w:r>
      <w:proofErr w:type="spellStart"/>
      <w:r>
        <w:rPr>
          <w:rFonts w:ascii="Times New Roman" w:hAnsi="Times New Roman"/>
          <w:sz w:val="24"/>
          <w:szCs w:val="24"/>
        </w:rPr>
        <w:t>SAFe</w:t>
      </w:r>
      <w:proofErr w:type="spellEnd"/>
      <w:r>
        <w:rPr>
          <w:rFonts w:ascii="Times New Roman" w:hAnsi="Times New Roman"/>
          <w:sz w:val="24"/>
          <w:szCs w:val="24"/>
        </w:rPr>
        <w:t xml:space="preserve"> method and </w:t>
      </w:r>
      <w:proofErr w:type="spellStart"/>
      <w:r>
        <w:rPr>
          <w:rFonts w:ascii="Times New Roman" w:hAnsi="Times New Roman"/>
          <w:sz w:val="24"/>
          <w:szCs w:val="24"/>
        </w:rPr>
        <w:t>Rumelt</w:t>
      </w:r>
      <w:proofErr w:type="spellEnd"/>
      <w:r>
        <w:rPr>
          <w:rFonts w:ascii="Times New Roman" w:hAnsi="Times New Roman"/>
          <w:sz w:val="24"/>
          <w:szCs w:val="24"/>
        </w:rPr>
        <w:t xml:space="preserve"> …………………………………</w:t>
      </w:r>
      <w:proofErr w:type="gramStart"/>
      <w:r>
        <w:rPr>
          <w:rFonts w:ascii="Times New Roman" w:hAnsi="Times New Roman"/>
          <w:sz w:val="24"/>
          <w:szCs w:val="24"/>
        </w:rPr>
        <w:t>…..</w:t>
      </w:r>
      <w:proofErr w:type="gramEnd"/>
      <w:r>
        <w:rPr>
          <w:rFonts w:ascii="Times New Roman" w:hAnsi="Times New Roman"/>
          <w:sz w:val="24"/>
          <w:szCs w:val="24"/>
        </w:rPr>
        <w:t xml:space="preserve"> 11</w:t>
      </w:r>
    </w:p>
    <w:p w14:paraId="6FD98E64" w14:textId="77777777" w:rsidR="008375D0" w:rsidRDefault="00000000">
      <w:pPr>
        <w:spacing w:line="360" w:lineRule="auto"/>
        <w:rPr>
          <w:rFonts w:ascii="Times New Roman" w:hAnsi="Times New Roman"/>
          <w:sz w:val="24"/>
          <w:szCs w:val="24"/>
        </w:rPr>
      </w:pPr>
      <w:r>
        <w:rPr>
          <w:rFonts w:ascii="Times New Roman" w:hAnsi="Times New Roman"/>
          <w:sz w:val="24"/>
          <w:szCs w:val="24"/>
        </w:rPr>
        <w:t>Implementation Plan ……………………………………………………………………… 12</w:t>
      </w:r>
    </w:p>
    <w:p w14:paraId="08389143" w14:textId="77777777" w:rsidR="008375D0" w:rsidRDefault="00000000">
      <w:pPr>
        <w:spacing w:line="360" w:lineRule="auto"/>
        <w:rPr>
          <w:rFonts w:ascii="Times New Roman" w:hAnsi="Times New Roman"/>
          <w:sz w:val="24"/>
          <w:szCs w:val="24"/>
        </w:rPr>
      </w:pPr>
      <w:r>
        <w:rPr>
          <w:rFonts w:ascii="Times New Roman" w:hAnsi="Times New Roman"/>
          <w:sz w:val="24"/>
          <w:szCs w:val="24"/>
        </w:rPr>
        <w:t>Conclusion and Recommendations ………………………………………………………… 13</w:t>
      </w:r>
    </w:p>
    <w:p w14:paraId="7D295F6C" w14:textId="77777777" w:rsidR="008375D0" w:rsidRDefault="00000000">
      <w:pPr>
        <w:spacing w:line="360" w:lineRule="auto"/>
        <w:rPr>
          <w:rFonts w:ascii="Times New Roman" w:hAnsi="Times New Roman"/>
          <w:sz w:val="24"/>
          <w:szCs w:val="24"/>
        </w:rPr>
      </w:pPr>
      <w:proofErr w:type="gramStart"/>
      <w:r>
        <w:rPr>
          <w:rFonts w:ascii="Times New Roman" w:hAnsi="Times New Roman"/>
          <w:sz w:val="24"/>
          <w:szCs w:val="24"/>
        </w:rPr>
        <w:t>References  …</w:t>
      </w:r>
      <w:proofErr w:type="gramEnd"/>
      <w:r>
        <w:rPr>
          <w:rFonts w:ascii="Times New Roman" w:hAnsi="Times New Roman"/>
          <w:sz w:val="24"/>
          <w:szCs w:val="24"/>
        </w:rPr>
        <w:t>………………………………………………………………………</w:t>
      </w:r>
      <w:proofErr w:type="gramStart"/>
      <w:r>
        <w:rPr>
          <w:rFonts w:ascii="Times New Roman" w:hAnsi="Times New Roman"/>
          <w:sz w:val="24"/>
          <w:szCs w:val="24"/>
        </w:rPr>
        <w:t>…..</w:t>
      </w:r>
      <w:proofErr w:type="gramEnd"/>
      <w:r>
        <w:rPr>
          <w:rFonts w:ascii="Times New Roman" w:hAnsi="Times New Roman"/>
          <w:sz w:val="24"/>
          <w:szCs w:val="24"/>
        </w:rPr>
        <w:t xml:space="preserve"> 15</w:t>
      </w:r>
    </w:p>
    <w:p w14:paraId="373EB942" w14:textId="77777777" w:rsidR="008375D0" w:rsidRDefault="008375D0">
      <w:pPr>
        <w:spacing w:line="360" w:lineRule="auto"/>
        <w:rPr>
          <w:rFonts w:ascii="Times New Roman" w:hAnsi="Times New Roman"/>
          <w:sz w:val="24"/>
          <w:szCs w:val="24"/>
        </w:rPr>
      </w:pPr>
    </w:p>
    <w:p w14:paraId="7C55D8BD" w14:textId="77777777" w:rsidR="008375D0" w:rsidRDefault="008375D0">
      <w:pPr>
        <w:spacing w:line="360" w:lineRule="auto"/>
        <w:rPr>
          <w:rFonts w:ascii="Times New Roman" w:hAnsi="Times New Roman"/>
          <w:sz w:val="24"/>
          <w:szCs w:val="24"/>
        </w:rPr>
      </w:pPr>
    </w:p>
    <w:p w14:paraId="0468BA9B" w14:textId="77777777" w:rsidR="008375D0" w:rsidRDefault="008375D0">
      <w:pPr>
        <w:spacing w:line="360" w:lineRule="auto"/>
        <w:rPr>
          <w:rFonts w:ascii="Times New Roman" w:hAnsi="Times New Roman"/>
          <w:sz w:val="24"/>
          <w:szCs w:val="24"/>
        </w:rPr>
      </w:pPr>
    </w:p>
    <w:p w14:paraId="40CB8E2C" w14:textId="77777777" w:rsidR="008375D0" w:rsidRDefault="008375D0">
      <w:pPr>
        <w:pageBreakBefore/>
        <w:spacing w:line="256" w:lineRule="auto"/>
        <w:rPr>
          <w:rFonts w:ascii="Times New Roman" w:hAnsi="Times New Roman"/>
          <w:b/>
          <w:bCs/>
          <w:sz w:val="24"/>
          <w:szCs w:val="24"/>
        </w:rPr>
      </w:pPr>
    </w:p>
    <w:p w14:paraId="5C19FADC"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Introduction</w:t>
      </w:r>
    </w:p>
    <w:p w14:paraId="6BB9B1B2" w14:textId="77777777" w:rsidR="008375D0" w:rsidRDefault="00000000">
      <w:pPr>
        <w:spacing w:line="360" w:lineRule="auto"/>
        <w:rPr>
          <w:rFonts w:ascii="Times New Roman" w:hAnsi="Times New Roman"/>
          <w:sz w:val="24"/>
          <w:szCs w:val="24"/>
        </w:rPr>
      </w:pPr>
      <w:r>
        <w:rPr>
          <w:rFonts w:ascii="Times New Roman" w:hAnsi="Times New Roman"/>
          <w:sz w:val="24"/>
          <w:szCs w:val="24"/>
        </w:rPr>
        <w:t>Strategic management matters in the UK automotive sector because firms face structural change rather than cyclical turbulence which can be electrification, digitisation and regulatory tightening compress decision time, raise capital intensity and increase interdependence across global ecosystems (Porter, 1979; Teece, 2007). In such settings, the competitive advantage depends on choosing a position and on building dynamic capabilities to sense, seize and transform in response to evolving technologies and stakeholder demands (Eisenhardt and Martin, 2000; Teece, 2007).</w:t>
      </w:r>
    </w:p>
    <w:p w14:paraId="4DE2E975" w14:textId="77777777" w:rsidR="008375D0" w:rsidRDefault="00000000">
      <w:pPr>
        <w:spacing w:line="360" w:lineRule="auto"/>
        <w:rPr>
          <w:rFonts w:ascii="Times New Roman" w:hAnsi="Times New Roman"/>
          <w:sz w:val="24"/>
          <w:szCs w:val="24"/>
        </w:rPr>
      </w:pPr>
      <w:r>
        <w:rPr>
          <w:rFonts w:ascii="Times New Roman" w:hAnsi="Times New Roman"/>
          <w:sz w:val="24"/>
          <w:szCs w:val="24"/>
        </w:rPr>
        <w:t xml:space="preserve">JLR is UK-headquartered luxury automotive manufacturer, competing globally in premium SUV and luxury segments. Its “Reimagine” strategy articulates an ambition to become a benchmark for environmental, societal and community impact for luxury business while delivering world’s most desirable luxury vehicles and services (JLR, 2021). JLR states aim to achieve carbon net zero across the full value chain by 2039 through decarbonising operations, supply chain and vehicle emissions (JLR, 2025a). </w:t>
      </w:r>
    </w:p>
    <w:p w14:paraId="152307A5" w14:textId="77777777" w:rsidR="008375D0" w:rsidRDefault="00000000">
      <w:pPr>
        <w:spacing w:line="360" w:lineRule="auto"/>
        <w:rPr>
          <w:rFonts w:ascii="Times New Roman" w:hAnsi="Times New Roman"/>
          <w:sz w:val="24"/>
          <w:szCs w:val="24"/>
        </w:rPr>
      </w:pPr>
      <w:r>
        <w:rPr>
          <w:rFonts w:ascii="Times New Roman" w:hAnsi="Times New Roman"/>
          <w:sz w:val="24"/>
          <w:szCs w:val="24"/>
        </w:rPr>
        <w:t>From these public strategy statements, JLR’s strategic intent can be expressed as its Vision (reimagine modern luxury with sustainability at its core) and Mission (deliver desirable luxury vehicles/services while transforming for electrification) and its Objectives which are three, stated as (</w:t>
      </w:r>
      <w:proofErr w:type="spellStart"/>
      <w:r>
        <w:rPr>
          <w:rFonts w:ascii="Times New Roman" w:hAnsi="Times New Roman"/>
          <w:sz w:val="24"/>
          <w:szCs w:val="24"/>
        </w:rPr>
        <w:t>i</w:t>
      </w:r>
      <w:proofErr w:type="spellEnd"/>
      <w:r>
        <w:rPr>
          <w:rFonts w:ascii="Times New Roman" w:hAnsi="Times New Roman"/>
          <w:sz w:val="24"/>
          <w:szCs w:val="24"/>
        </w:rPr>
        <w:t>) electrify the portfolio and modernise platforms, (ii) decarbonise across Scope 1–3 pathways, (iii) sustain profitability to fund transformation (JLR, 2021; JLR, 2025b). This report examines the relationship between external and internal context, evaluates strategy development amid contemporary issues, and analyses key factors for implementation.</w:t>
      </w:r>
    </w:p>
    <w:p w14:paraId="7BE90C1F" w14:textId="77777777" w:rsidR="008375D0" w:rsidRDefault="008375D0">
      <w:pPr>
        <w:spacing w:line="360" w:lineRule="auto"/>
        <w:rPr>
          <w:rFonts w:ascii="Times New Roman" w:hAnsi="Times New Roman"/>
          <w:sz w:val="24"/>
          <w:szCs w:val="24"/>
        </w:rPr>
      </w:pPr>
    </w:p>
    <w:p w14:paraId="3682F088"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Strategy Analysis</w:t>
      </w:r>
    </w:p>
    <w:p w14:paraId="58526134"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External Environment Audit</w:t>
      </w:r>
    </w:p>
    <w:p w14:paraId="6B67F2E3"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PESTLE</w:t>
      </w:r>
    </w:p>
    <w:p w14:paraId="0DDDD6FE" w14:textId="77777777" w:rsidR="008375D0" w:rsidRDefault="00000000">
      <w:pPr>
        <w:spacing w:line="360" w:lineRule="auto"/>
      </w:pPr>
      <w:r>
        <w:rPr>
          <w:rFonts w:ascii="Times New Roman" w:hAnsi="Times New Roman"/>
          <w:b/>
          <w:bCs/>
          <w:sz w:val="24"/>
          <w:szCs w:val="24"/>
        </w:rPr>
        <w:t xml:space="preserve">Political/Legal: </w:t>
      </w:r>
      <w:r>
        <w:rPr>
          <w:rFonts w:ascii="Times New Roman" w:hAnsi="Times New Roman"/>
          <w:sz w:val="24"/>
          <w:szCs w:val="24"/>
        </w:rPr>
        <w:t xml:space="preserve">Growing UK ZEV goals and Vehicle Emissions Trading Schemes are affecting automotive policy (DfT, 2025a). Increased compliance risk and portfolio </w:t>
      </w:r>
      <w:r>
        <w:rPr>
          <w:rFonts w:ascii="Times New Roman" w:hAnsi="Times New Roman"/>
          <w:sz w:val="24"/>
          <w:szCs w:val="24"/>
        </w:rPr>
        <w:lastRenderedPageBreak/>
        <w:t>electrification support the theory that policy may influence industry structure and investment allocation in capital-intensive industries (Porter, 2008; Ramos &amp; Ruiz-Galvez, 2024).</w:t>
      </w:r>
    </w:p>
    <w:p w14:paraId="128D90BD" w14:textId="77777777" w:rsidR="008375D0" w:rsidRDefault="00000000">
      <w:pPr>
        <w:spacing w:line="360" w:lineRule="auto"/>
      </w:pPr>
      <w:r>
        <w:rPr>
          <w:rFonts w:ascii="Times New Roman" w:hAnsi="Times New Roman"/>
          <w:b/>
          <w:bCs/>
          <w:sz w:val="24"/>
          <w:szCs w:val="24"/>
        </w:rPr>
        <w:t xml:space="preserve">Economic: </w:t>
      </w:r>
      <w:r>
        <w:rPr>
          <w:rFonts w:ascii="Times New Roman" w:hAnsi="Times New Roman"/>
          <w:sz w:val="24"/>
          <w:szCs w:val="24"/>
        </w:rPr>
        <w:t>Global car sales reached 74.6m in 2024 and EU sales 10.6m which meaning modest growth but not enough to offset transformation costs across sector (ACEA, 2025). Meanwhile, the EV transition changes where value is captured (for example, batteries, semiconductors, and software), increasing investment needs and reducing margins for OEMs without supply leverage (Ramos and Ruiz-Galvez, 2024; Porter, 1979).</w:t>
      </w:r>
    </w:p>
    <w:p w14:paraId="5BF65A8E" w14:textId="77777777" w:rsidR="008375D0" w:rsidRDefault="00000000">
      <w:pPr>
        <w:spacing w:line="360" w:lineRule="auto"/>
      </w:pPr>
      <w:r>
        <w:rPr>
          <w:rFonts w:ascii="Times New Roman" w:hAnsi="Times New Roman"/>
          <w:b/>
          <w:bCs/>
          <w:sz w:val="24"/>
          <w:szCs w:val="24"/>
        </w:rPr>
        <w:t xml:space="preserve">Social: </w:t>
      </w:r>
      <w:r>
        <w:rPr>
          <w:rFonts w:ascii="Times New Roman" w:hAnsi="Times New Roman"/>
          <w:sz w:val="24"/>
          <w:szCs w:val="24"/>
        </w:rPr>
        <w:t xml:space="preserve">In 2025, the UK market sold 2.02 million automobiles, and 25% of customers chose electric cars. However, industry experts say that gap between aspiration and demand is growing (SMMT, 2026). Only willingness to pay can support premium EV uptake for luxury OEMs but adoption is still affected by charging convenience, total cost of ownership, and perceived risk. These are all some of factors that make ecosystem partnerships and new business models necessary (Zott, Amit, and Massa, 2011; Huang and </w:t>
      </w:r>
      <w:proofErr w:type="spellStart"/>
      <w:r>
        <w:rPr>
          <w:rFonts w:ascii="Times New Roman" w:hAnsi="Times New Roman"/>
          <w:sz w:val="24"/>
          <w:szCs w:val="24"/>
        </w:rPr>
        <w:t>Ichikohji</w:t>
      </w:r>
      <w:proofErr w:type="spellEnd"/>
      <w:r>
        <w:rPr>
          <w:rFonts w:ascii="Times New Roman" w:hAnsi="Times New Roman"/>
          <w:sz w:val="24"/>
          <w:szCs w:val="24"/>
        </w:rPr>
        <w:t>, 2023).</w:t>
      </w:r>
    </w:p>
    <w:p w14:paraId="14FCE6C2" w14:textId="77777777" w:rsidR="008375D0" w:rsidRDefault="00000000">
      <w:pPr>
        <w:spacing w:line="360" w:lineRule="auto"/>
      </w:pPr>
      <w:r>
        <w:rPr>
          <w:rFonts w:ascii="Times New Roman" w:hAnsi="Times New Roman"/>
          <w:b/>
          <w:bCs/>
          <w:sz w:val="24"/>
          <w:szCs w:val="24"/>
        </w:rPr>
        <w:t xml:space="preserve">Technological: </w:t>
      </w:r>
      <w:r>
        <w:rPr>
          <w:rFonts w:ascii="Times New Roman" w:hAnsi="Times New Roman"/>
          <w:sz w:val="24"/>
          <w:szCs w:val="24"/>
        </w:rPr>
        <w:t>EVs make certain mechanical systems less complicated and more reliant on digital systems and rare parts. Research on industrial disruption indicates ways in that shocks may spread and persist which increase needs for coordination and resilience (Ramani et al., 2022; Eisenhardt and Martin, 2000). At the same time, platform logic and ecosystems are becoming more significant as organisations compete via architectures, supplementary services and partner networks, as platform strategy research shows (</w:t>
      </w:r>
      <w:proofErr w:type="spellStart"/>
      <w:r>
        <w:rPr>
          <w:rFonts w:ascii="Times New Roman" w:hAnsi="Times New Roman"/>
          <w:sz w:val="24"/>
          <w:szCs w:val="24"/>
        </w:rPr>
        <w:t>Gawer</w:t>
      </w:r>
      <w:proofErr w:type="spellEnd"/>
      <w:r>
        <w:rPr>
          <w:rFonts w:ascii="Times New Roman" w:hAnsi="Times New Roman"/>
          <w:sz w:val="24"/>
          <w:szCs w:val="24"/>
        </w:rPr>
        <w:t xml:space="preserve"> and Cusumano, 2014; Teece, 2007).</w:t>
      </w:r>
    </w:p>
    <w:p w14:paraId="452D6CE7" w14:textId="77777777" w:rsidR="008375D0" w:rsidRDefault="00000000">
      <w:pPr>
        <w:spacing w:line="360" w:lineRule="auto"/>
      </w:pPr>
      <w:r>
        <w:rPr>
          <w:rFonts w:ascii="Times New Roman" w:hAnsi="Times New Roman"/>
          <w:b/>
          <w:bCs/>
          <w:sz w:val="24"/>
          <w:szCs w:val="24"/>
        </w:rPr>
        <w:t xml:space="preserve">Environment: </w:t>
      </w:r>
      <w:r>
        <w:rPr>
          <w:rFonts w:ascii="Times New Roman" w:hAnsi="Times New Roman"/>
          <w:sz w:val="24"/>
          <w:szCs w:val="24"/>
        </w:rPr>
        <w:t xml:space="preserve">Resource intensity (critical elements) and </w:t>
      </w:r>
      <w:proofErr w:type="gramStart"/>
      <w:r>
        <w:rPr>
          <w:rFonts w:ascii="Times New Roman" w:hAnsi="Times New Roman"/>
          <w:sz w:val="24"/>
          <w:szCs w:val="24"/>
        </w:rPr>
        <w:t>long term</w:t>
      </w:r>
      <w:proofErr w:type="gramEnd"/>
      <w:r>
        <w:rPr>
          <w:rFonts w:ascii="Times New Roman" w:hAnsi="Times New Roman"/>
          <w:sz w:val="24"/>
          <w:szCs w:val="24"/>
        </w:rPr>
        <w:t xml:space="preserve"> responsibilities are making it harder to sustainable for the cars. The adoption </w:t>
      </w:r>
      <w:proofErr w:type="gramStart"/>
      <w:r>
        <w:rPr>
          <w:rFonts w:ascii="Times New Roman" w:hAnsi="Times New Roman"/>
          <w:sz w:val="24"/>
          <w:szCs w:val="24"/>
        </w:rPr>
        <w:t>of  circular</w:t>
      </w:r>
      <w:proofErr w:type="gramEnd"/>
      <w:r>
        <w:rPr>
          <w:rFonts w:ascii="Times New Roman" w:hAnsi="Times New Roman"/>
          <w:sz w:val="24"/>
          <w:szCs w:val="24"/>
        </w:rPr>
        <w:t xml:space="preserve"> economy is fragmented because reverse logistics are complicated, cross-tier coordination is hard and circular design and governance mechanisms are needed (Du, Bryson and Qamar, 2025). Literature on battery lifecycle management also stresses remanufacturing, </w:t>
      </w:r>
      <w:proofErr w:type="gramStart"/>
      <w:r>
        <w:rPr>
          <w:rFonts w:ascii="Times New Roman" w:hAnsi="Times New Roman"/>
          <w:sz w:val="24"/>
          <w:szCs w:val="24"/>
        </w:rPr>
        <w:t>second-life</w:t>
      </w:r>
      <w:proofErr w:type="gramEnd"/>
      <w:r>
        <w:rPr>
          <w:rFonts w:ascii="Times New Roman" w:hAnsi="Times New Roman"/>
          <w:sz w:val="24"/>
          <w:szCs w:val="24"/>
        </w:rPr>
        <w:t xml:space="preserve"> and recycling as important strategies that can lower supply risk and damage to the environment, provided they are possible to implement (Neri, </w:t>
      </w:r>
      <w:proofErr w:type="spellStart"/>
      <w:r>
        <w:rPr>
          <w:rFonts w:ascii="Times New Roman" w:hAnsi="Times New Roman"/>
          <w:sz w:val="24"/>
          <w:szCs w:val="24"/>
        </w:rPr>
        <w:t>Butturi</w:t>
      </w:r>
      <w:proofErr w:type="spellEnd"/>
      <w:r>
        <w:rPr>
          <w:rFonts w:ascii="Times New Roman" w:hAnsi="Times New Roman"/>
          <w:sz w:val="24"/>
          <w:szCs w:val="24"/>
        </w:rPr>
        <w:t xml:space="preserve"> and Gamberini, 2024; </w:t>
      </w:r>
      <w:proofErr w:type="spellStart"/>
      <w:r>
        <w:rPr>
          <w:rFonts w:ascii="Times New Roman" w:hAnsi="Times New Roman"/>
          <w:sz w:val="24"/>
          <w:szCs w:val="24"/>
        </w:rPr>
        <w:t>Gianvincenzi</w:t>
      </w:r>
      <w:proofErr w:type="spellEnd"/>
      <w:r>
        <w:rPr>
          <w:rFonts w:ascii="Times New Roman" w:hAnsi="Times New Roman"/>
          <w:sz w:val="24"/>
          <w:szCs w:val="24"/>
        </w:rPr>
        <w:t xml:space="preserve"> et al., 2024).</w:t>
      </w:r>
    </w:p>
    <w:p w14:paraId="7AB7BE3E" w14:textId="77777777" w:rsidR="008375D0" w:rsidRDefault="008375D0">
      <w:pPr>
        <w:spacing w:line="360" w:lineRule="auto"/>
        <w:rPr>
          <w:rFonts w:ascii="Times New Roman" w:hAnsi="Times New Roman"/>
          <w:sz w:val="24"/>
          <w:szCs w:val="24"/>
        </w:rPr>
      </w:pPr>
    </w:p>
    <w:p w14:paraId="760A590A" w14:textId="77777777" w:rsidR="008375D0" w:rsidRDefault="008375D0">
      <w:pPr>
        <w:spacing w:line="360" w:lineRule="auto"/>
        <w:rPr>
          <w:rFonts w:ascii="Times New Roman" w:hAnsi="Times New Roman"/>
          <w:b/>
          <w:bCs/>
          <w:sz w:val="24"/>
          <w:szCs w:val="24"/>
        </w:rPr>
      </w:pPr>
    </w:p>
    <w:p w14:paraId="0606D30A" w14:textId="77777777" w:rsidR="008375D0" w:rsidRDefault="008375D0">
      <w:pPr>
        <w:spacing w:line="360" w:lineRule="auto"/>
        <w:rPr>
          <w:rFonts w:ascii="Times New Roman" w:hAnsi="Times New Roman"/>
          <w:b/>
          <w:bCs/>
          <w:sz w:val="24"/>
          <w:szCs w:val="24"/>
        </w:rPr>
      </w:pPr>
    </w:p>
    <w:p w14:paraId="4EDAEA98"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lastRenderedPageBreak/>
        <w:t>Porter’s Five Forces</w:t>
      </w:r>
    </w:p>
    <w:p w14:paraId="3F669964" w14:textId="77777777" w:rsidR="008375D0" w:rsidRDefault="00000000">
      <w:pPr>
        <w:spacing w:line="360" w:lineRule="auto"/>
      </w:pPr>
      <w:r>
        <w:rPr>
          <w:rFonts w:ascii="Times New Roman" w:hAnsi="Times New Roman"/>
          <w:b/>
          <w:bCs/>
          <w:noProof/>
          <w:sz w:val="24"/>
          <w:szCs w:val="24"/>
        </w:rPr>
        <w:drawing>
          <wp:inline distT="0" distB="0" distL="0" distR="0" wp14:anchorId="3D9185D2" wp14:editId="12C78D54">
            <wp:extent cx="5731514" cy="1850388"/>
            <wp:effectExtent l="0" t="0" r="2536" b="0"/>
            <wp:docPr id="62204892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4" cy="1850388"/>
                    </a:xfrm>
                    <a:prstGeom prst="rect">
                      <a:avLst/>
                    </a:prstGeom>
                    <a:noFill/>
                    <a:ln>
                      <a:noFill/>
                      <a:prstDash/>
                    </a:ln>
                  </pic:spPr>
                </pic:pic>
              </a:graphicData>
            </a:graphic>
          </wp:inline>
        </w:drawing>
      </w:r>
    </w:p>
    <w:p w14:paraId="5E1778CD"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 xml:space="preserve">Figure: </w:t>
      </w:r>
      <w:proofErr w:type="spellStart"/>
      <w:r>
        <w:rPr>
          <w:rFonts w:ascii="Times New Roman" w:hAnsi="Times New Roman"/>
          <w:b/>
          <w:bCs/>
          <w:sz w:val="24"/>
          <w:szCs w:val="24"/>
        </w:rPr>
        <w:t>Self created</w:t>
      </w:r>
      <w:proofErr w:type="spellEnd"/>
      <w:r>
        <w:rPr>
          <w:rFonts w:ascii="Times New Roman" w:hAnsi="Times New Roman"/>
          <w:b/>
          <w:bCs/>
          <w:sz w:val="24"/>
          <w:szCs w:val="24"/>
        </w:rPr>
        <w:t xml:space="preserve"> using below explanation</w:t>
      </w:r>
    </w:p>
    <w:p w14:paraId="45824AC1" w14:textId="77777777" w:rsidR="008375D0" w:rsidRDefault="00000000">
      <w:pPr>
        <w:spacing w:line="360" w:lineRule="auto"/>
      </w:pPr>
      <w:r>
        <w:rPr>
          <w:rFonts w:ascii="Times New Roman" w:hAnsi="Times New Roman"/>
          <w:b/>
          <w:bCs/>
          <w:sz w:val="24"/>
          <w:szCs w:val="24"/>
        </w:rPr>
        <w:t xml:space="preserve">Rivalry (High): </w:t>
      </w:r>
      <w:r>
        <w:rPr>
          <w:rFonts w:ascii="Times New Roman" w:hAnsi="Times New Roman"/>
          <w:sz w:val="24"/>
          <w:szCs w:val="24"/>
        </w:rPr>
        <w:t xml:space="preserve">Premium OEM competition is intense and becoming more </w:t>
      </w:r>
      <w:proofErr w:type="gramStart"/>
      <w:r>
        <w:rPr>
          <w:rFonts w:ascii="Times New Roman" w:hAnsi="Times New Roman"/>
          <w:sz w:val="24"/>
          <w:szCs w:val="24"/>
        </w:rPr>
        <w:t>technology-driven</w:t>
      </w:r>
      <w:proofErr w:type="gramEnd"/>
      <w:r>
        <w:rPr>
          <w:rFonts w:ascii="Times New Roman" w:hAnsi="Times New Roman"/>
          <w:sz w:val="24"/>
          <w:szCs w:val="24"/>
        </w:rPr>
        <w:t xml:space="preserve">. In disrupted industries, rivalry increases because differentiation shifts from product attributes alone to software, services and ecosystem access which raising strategic value of platforms and complementors (Porter, 2008; </w:t>
      </w:r>
      <w:proofErr w:type="spellStart"/>
      <w:r>
        <w:rPr>
          <w:rFonts w:ascii="Times New Roman" w:hAnsi="Times New Roman"/>
          <w:sz w:val="24"/>
          <w:szCs w:val="24"/>
        </w:rPr>
        <w:t>Gawer</w:t>
      </w:r>
      <w:proofErr w:type="spellEnd"/>
      <w:r>
        <w:rPr>
          <w:rFonts w:ascii="Times New Roman" w:hAnsi="Times New Roman"/>
          <w:sz w:val="24"/>
          <w:szCs w:val="24"/>
        </w:rPr>
        <w:t xml:space="preserve"> and Cusumano, 2014).</w:t>
      </w:r>
    </w:p>
    <w:p w14:paraId="327AB8BD" w14:textId="77777777" w:rsidR="008375D0" w:rsidRDefault="00000000">
      <w:pPr>
        <w:spacing w:line="360" w:lineRule="auto"/>
      </w:pPr>
      <w:r>
        <w:rPr>
          <w:rFonts w:ascii="Times New Roman" w:hAnsi="Times New Roman"/>
          <w:b/>
          <w:bCs/>
          <w:sz w:val="24"/>
          <w:szCs w:val="24"/>
        </w:rPr>
        <w:t>Threat of new entrants (Moderate to rising):</w:t>
      </w:r>
      <w:r>
        <w:rPr>
          <w:rFonts w:ascii="Times New Roman" w:hAnsi="Times New Roman"/>
          <w:sz w:val="24"/>
          <w:szCs w:val="24"/>
        </w:rPr>
        <w:t xml:space="preserve"> EV architectures can lower certain engineering barriers, but brand, compliance, quality systems and scale remain difficult. However, platform-enabled ecosystems can support entrants by allowing modular capability acquisition, which makes dynamic reconfiguration capabilities critical for incumbents (Eisenhardt and Martin, 2000; </w:t>
      </w:r>
      <w:proofErr w:type="spellStart"/>
      <w:r>
        <w:rPr>
          <w:rFonts w:ascii="Times New Roman" w:hAnsi="Times New Roman"/>
          <w:sz w:val="24"/>
          <w:szCs w:val="24"/>
        </w:rPr>
        <w:t>Gawer</w:t>
      </w:r>
      <w:proofErr w:type="spellEnd"/>
      <w:r>
        <w:rPr>
          <w:rFonts w:ascii="Times New Roman" w:hAnsi="Times New Roman"/>
          <w:sz w:val="24"/>
          <w:szCs w:val="24"/>
        </w:rPr>
        <w:t xml:space="preserve"> and Cusumano, 2014).</w:t>
      </w:r>
    </w:p>
    <w:p w14:paraId="290DF058" w14:textId="77777777" w:rsidR="008375D0" w:rsidRDefault="00000000">
      <w:pPr>
        <w:spacing w:line="360" w:lineRule="auto"/>
      </w:pPr>
      <w:r>
        <w:rPr>
          <w:rFonts w:ascii="Times New Roman" w:hAnsi="Times New Roman"/>
          <w:b/>
          <w:bCs/>
          <w:sz w:val="24"/>
          <w:szCs w:val="24"/>
        </w:rPr>
        <w:t>Supplier power (High):</w:t>
      </w:r>
      <w:r>
        <w:rPr>
          <w:rFonts w:ascii="Times New Roman" w:hAnsi="Times New Roman"/>
          <w:sz w:val="24"/>
          <w:szCs w:val="24"/>
        </w:rPr>
        <w:t xml:space="preserve"> This high is because batteries, semiconductors and specialised software create supplier concentration and switching constraints. Supplier power may become problematic under systemic shock, as shown by semiconductor shortage's empirical disruption analysis which shows how bottlenecks can affect production continuity and force the judgements on priorities (Ramani et al., 2022; Porter, 2008).</w:t>
      </w:r>
    </w:p>
    <w:p w14:paraId="16CA36F7" w14:textId="77777777" w:rsidR="008375D0" w:rsidRDefault="00000000">
      <w:pPr>
        <w:spacing w:line="360" w:lineRule="auto"/>
      </w:pPr>
      <w:r>
        <w:rPr>
          <w:rFonts w:ascii="Times New Roman" w:hAnsi="Times New Roman"/>
          <w:b/>
          <w:bCs/>
          <w:sz w:val="24"/>
          <w:szCs w:val="24"/>
        </w:rPr>
        <w:t>Buyer power (Moderate):</w:t>
      </w:r>
      <w:r>
        <w:rPr>
          <w:rFonts w:ascii="Times New Roman" w:hAnsi="Times New Roman"/>
          <w:sz w:val="24"/>
          <w:szCs w:val="24"/>
        </w:rPr>
        <w:t xml:space="preserve"> Luxury customers prefer experience </w:t>
      </w:r>
      <w:proofErr w:type="gramStart"/>
      <w:r>
        <w:rPr>
          <w:rFonts w:ascii="Times New Roman" w:hAnsi="Times New Roman"/>
          <w:sz w:val="24"/>
          <w:szCs w:val="24"/>
        </w:rPr>
        <w:t>and also</w:t>
      </w:r>
      <w:proofErr w:type="gramEnd"/>
      <w:r>
        <w:rPr>
          <w:rFonts w:ascii="Times New Roman" w:hAnsi="Times New Roman"/>
          <w:sz w:val="24"/>
          <w:szCs w:val="24"/>
        </w:rPr>
        <w:t xml:space="preserve"> brand legacy which moderates price sensitivity, but the EV pricing clarity, quick product cycles, and choice boost buyer power. Business model research implies service ecosystems and experience bundles may minimise buyer power provided trust and value are maintained (Zott, Amit and Massa, 2011; Huang and </w:t>
      </w:r>
      <w:proofErr w:type="spellStart"/>
      <w:r>
        <w:rPr>
          <w:rFonts w:ascii="Times New Roman" w:hAnsi="Times New Roman"/>
          <w:sz w:val="24"/>
          <w:szCs w:val="24"/>
        </w:rPr>
        <w:t>Ichikohji</w:t>
      </w:r>
      <w:proofErr w:type="spellEnd"/>
      <w:r>
        <w:rPr>
          <w:rFonts w:ascii="Times New Roman" w:hAnsi="Times New Roman"/>
          <w:sz w:val="24"/>
          <w:szCs w:val="24"/>
        </w:rPr>
        <w:t>, 2023).</w:t>
      </w:r>
    </w:p>
    <w:p w14:paraId="66AB50C9" w14:textId="77777777" w:rsidR="008375D0" w:rsidRDefault="00000000">
      <w:pPr>
        <w:spacing w:line="360" w:lineRule="auto"/>
      </w:pPr>
      <w:r>
        <w:rPr>
          <w:rFonts w:ascii="Times New Roman" w:hAnsi="Times New Roman"/>
          <w:b/>
          <w:bCs/>
          <w:sz w:val="24"/>
          <w:szCs w:val="24"/>
        </w:rPr>
        <w:lastRenderedPageBreak/>
        <w:t>Threat of substitutes (Moderate):</w:t>
      </w:r>
      <w:r>
        <w:rPr>
          <w:rFonts w:ascii="Times New Roman" w:hAnsi="Times New Roman"/>
          <w:sz w:val="24"/>
          <w:szCs w:val="24"/>
        </w:rPr>
        <w:t xml:space="preserve"> Substitutes include delayed purchase, used vehicles, and mobility alternatives. As of 1 October 2025, the UK has 86,021 public charging devices, mostly in lower power bands and with substantial geographical variation (DfT, 2025b). This facilitates strategic relationships that enhance charging experience and lower adoption risk (Teece, 2007; Zott, Amit and Massa, 2011).</w:t>
      </w:r>
    </w:p>
    <w:p w14:paraId="55470B8E"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Internal Environment Audit</w:t>
      </w:r>
    </w:p>
    <w:p w14:paraId="21932CF1"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Value Chain Analysis</w:t>
      </w:r>
    </w:p>
    <w:p w14:paraId="262FD1AD" w14:textId="77777777" w:rsidR="008375D0" w:rsidRDefault="00000000">
      <w:pPr>
        <w:spacing w:line="360" w:lineRule="auto"/>
        <w:rPr>
          <w:rFonts w:ascii="Times New Roman" w:hAnsi="Times New Roman"/>
          <w:sz w:val="24"/>
          <w:szCs w:val="24"/>
        </w:rPr>
      </w:pPr>
      <w:r>
        <w:rPr>
          <w:rFonts w:ascii="Times New Roman" w:hAnsi="Times New Roman"/>
          <w:sz w:val="24"/>
          <w:szCs w:val="24"/>
        </w:rPr>
        <w:t xml:space="preserve">Critical inputs (cells, semiconductors, electronics) present the most risk to JLR's incoming logistics. </w:t>
      </w:r>
      <w:proofErr w:type="gramStart"/>
      <w:r>
        <w:rPr>
          <w:rFonts w:ascii="Times New Roman" w:hAnsi="Times New Roman"/>
          <w:sz w:val="24"/>
          <w:szCs w:val="24"/>
        </w:rPr>
        <w:t>In order to</w:t>
      </w:r>
      <w:proofErr w:type="gramEnd"/>
      <w:r>
        <w:rPr>
          <w:rFonts w:ascii="Times New Roman" w:hAnsi="Times New Roman"/>
          <w:sz w:val="24"/>
          <w:szCs w:val="24"/>
        </w:rPr>
        <w:t xml:space="preserve"> be resilient, systems fail to simply need cost-optimized "just-in-time" but also redundancy (buffers, dual sourcing) and coordination skills (visibility, supplier governance) (Ramani et al., 2022; Grant, 1991).</w:t>
      </w:r>
    </w:p>
    <w:p w14:paraId="138B8F33" w14:textId="77777777" w:rsidR="008375D0" w:rsidRDefault="00000000">
      <w:pPr>
        <w:spacing w:line="360" w:lineRule="auto"/>
        <w:rPr>
          <w:rFonts w:ascii="Times New Roman" w:hAnsi="Times New Roman"/>
          <w:sz w:val="24"/>
          <w:szCs w:val="24"/>
        </w:rPr>
      </w:pPr>
      <w:r>
        <w:rPr>
          <w:rFonts w:ascii="Times New Roman" w:hAnsi="Times New Roman"/>
          <w:sz w:val="24"/>
          <w:szCs w:val="24"/>
        </w:rPr>
        <w:t>While the operational quality of UK manufacturing and the provenance of brands may bolster premium distinction, the complexity of processes like software integration, new platform assembly, and battery assembly grows throughout change. Rather of investing in technology in divisions, businesses may gain an operational edge via disciplined reconfiguration, which includes learning routines, modular processes and capacity redeployment (Eisenhardt and Martin, 2000; Teece, 2007).</w:t>
      </w:r>
    </w:p>
    <w:p w14:paraId="6C015797" w14:textId="77777777" w:rsidR="008375D0" w:rsidRDefault="00000000">
      <w:pPr>
        <w:spacing w:line="360" w:lineRule="auto"/>
        <w:rPr>
          <w:rFonts w:ascii="Times New Roman" w:hAnsi="Times New Roman"/>
          <w:sz w:val="24"/>
          <w:szCs w:val="24"/>
        </w:rPr>
      </w:pPr>
      <w:r>
        <w:rPr>
          <w:rFonts w:ascii="Times New Roman" w:hAnsi="Times New Roman"/>
          <w:sz w:val="24"/>
          <w:szCs w:val="24"/>
        </w:rPr>
        <w:t xml:space="preserve">The significance of lifetime customer experience is increasing in marketing, sales, and service sectors. This is </w:t>
      </w:r>
      <w:proofErr w:type="gramStart"/>
      <w:r>
        <w:rPr>
          <w:rFonts w:ascii="Times New Roman" w:hAnsi="Times New Roman"/>
          <w:sz w:val="24"/>
          <w:szCs w:val="24"/>
        </w:rPr>
        <w:t>encompass</w:t>
      </w:r>
      <w:proofErr w:type="gramEnd"/>
      <w:r>
        <w:rPr>
          <w:rFonts w:ascii="Times New Roman" w:hAnsi="Times New Roman"/>
          <w:sz w:val="24"/>
          <w:szCs w:val="24"/>
        </w:rPr>
        <w:t xml:space="preserve"> some updates, connectivity, digital services, and authenticated battery health. Research on business model innovation indicates that just including subscriptions is insufficient for monetisation and value capture; poorly constructed models may undermine confidence in premium sectors (Zott, Amit, and Massa, 2011; Huang and </w:t>
      </w:r>
      <w:proofErr w:type="spellStart"/>
      <w:r>
        <w:rPr>
          <w:rFonts w:ascii="Times New Roman" w:hAnsi="Times New Roman"/>
          <w:sz w:val="24"/>
          <w:szCs w:val="24"/>
        </w:rPr>
        <w:t>Ichikohji</w:t>
      </w:r>
      <w:proofErr w:type="spellEnd"/>
      <w:r>
        <w:rPr>
          <w:rFonts w:ascii="Times New Roman" w:hAnsi="Times New Roman"/>
          <w:sz w:val="24"/>
          <w:szCs w:val="24"/>
        </w:rPr>
        <w:t>, 2023).</w:t>
      </w:r>
    </w:p>
    <w:p w14:paraId="0A8A2150" w14:textId="77777777" w:rsidR="008375D0" w:rsidRDefault="008375D0">
      <w:pPr>
        <w:spacing w:line="360" w:lineRule="auto"/>
        <w:rPr>
          <w:rFonts w:ascii="Times New Roman" w:hAnsi="Times New Roman"/>
          <w:sz w:val="24"/>
          <w:szCs w:val="24"/>
        </w:rPr>
      </w:pPr>
    </w:p>
    <w:p w14:paraId="702CAB70"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RBV/VRIO</w:t>
      </w:r>
    </w:p>
    <w:p w14:paraId="7CB9DC6C" w14:textId="77777777" w:rsidR="008375D0" w:rsidRDefault="00000000">
      <w:pPr>
        <w:spacing w:line="360" w:lineRule="auto"/>
        <w:rPr>
          <w:rFonts w:ascii="Times New Roman" w:hAnsi="Times New Roman"/>
          <w:sz w:val="24"/>
          <w:szCs w:val="24"/>
        </w:rPr>
      </w:pPr>
      <w:r>
        <w:rPr>
          <w:rFonts w:ascii="Times New Roman" w:hAnsi="Times New Roman"/>
          <w:sz w:val="24"/>
          <w:szCs w:val="24"/>
        </w:rPr>
        <w:t>The RBV argues sustainable advantage stems from resources that are valuable, rare, hard to imitate, and organisationally embedded (Barney, 1991). JLR’s brand equity in luxury SUV and off-road capability can be valuable and difficult to imitate quickly, particularly when linked to design language, heritage, and customer communities (Barney, 1991; Grant, 1991).</w:t>
      </w:r>
    </w:p>
    <w:p w14:paraId="014A1B71" w14:textId="77777777" w:rsidR="008375D0" w:rsidRDefault="00000000">
      <w:pPr>
        <w:spacing w:line="360" w:lineRule="auto"/>
        <w:rPr>
          <w:rFonts w:ascii="Times New Roman" w:hAnsi="Times New Roman"/>
          <w:sz w:val="24"/>
          <w:szCs w:val="24"/>
        </w:rPr>
      </w:pPr>
      <w:r>
        <w:rPr>
          <w:rFonts w:ascii="Times New Roman" w:hAnsi="Times New Roman"/>
          <w:sz w:val="24"/>
          <w:szCs w:val="24"/>
        </w:rPr>
        <w:lastRenderedPageBreak/>
        <w:t xml:space="preserve">However, in the EV transition, strategic resources are increasingly included ecosystem positioning, software competence, and supply chain security. According to value chain transformation studies, OEM advantage erodes when crucial technology and component control is transferred to suppliers or platform orchestrators (Ramos and Ruiz-Galvez, 2024; </w:t>
      </w:r>
      <w:proofErr w:type="spellStart"/>
      <w:r>
        <w:rPr>
          <w:rFonts w:ascii="Times New Roman" w:hAnsi="Times New Roman"/>
          <w:sz w:val="24"/>
          <w:szCs w:val="24"/>
        </w:rPr>
        <w:t>Gawer</w:t>
      </w:r>
      <w:proofErr w:type="spellEnd"/>
      <w:r>
        <w:rPr>
          <w:rFonts w:ascii="Times New Roman" w:hAnsi="Times New Roman"/>
          <w:sz w:val="24"/>
          <w:szCs w:val="24"/>
        </w:rPr>
        <w:t xml:space="preserve"> and Cusumano, 2014). Therefore, to sustain VRIO conditions, JLR must build organisational integration (architecture control, software governance, and supplier co-innovation) rather than relying on brand alone (Teece, 2007; O’Reilly and Tushman, 2013).</w:t>
      </w:r>
    </w:p>
    <w:p w14:paraId="130B6970" w14:textId="77777777" w:rsidR="008375D0" w:rsidRDefault="008375D0">
      <w:pPr>
        <w:spacing w:line="360" w:lineRule="auto"/>
        <w:rPr>
          <w:rFonts w:ascii="Times New Roman" w:hAnsi="Times New Roman"/>
          <w:sz w:val="24"/>
          <w:szCs w:val="24"/>
        </w:rPr>
      </w:pPr>
    </w:p>
    <w:p w14:paraId="37D8A7AF"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Critical evaluation of tools (limitations and trade-offs)</w:t>
      </w:r>
    </w:p>
    <w:p w14:paraId="0DA5BA2F" w14:textId="77777777" w:rsidR="008375D0" w:rsidRDefault="00000000">
      <w:pPr>
        <w:spacing w:line="360" w:lineRule="auto"/>
        <w:rPr>
          <w:rFonts w:ascii="Times New Roman" w:hAnsi="Times New Roman"/>
          <w:sz w:val="24"/>
          <w:szCs w:val="24"/>
        </w:rPr>
      </w:pPr>
      <w:r>
        <w:rPr>
          <w:rFonts w:ascii="Times New Roman" w:hAnsi="Times New Roman"/>
          <w:sz w:val="24"/>
          <w:szCs w:val="24"/>
        </w:rPr>
        <w:t xml:space="preserve">PESTLE and Five Forces provide structure but can be overly static in fast-changing, ecosystem-based </w:t>
      </w:r>
      <w:proofErr w:type="spellStart"/>
      <w:r>
        <w:rPr>
          <w:rFonts w:ascii="Times New Roman" w:hAnsi="Times New Roman"/>
          <w:sz w:val="24"/>
          <w:szCs w:val="24"/>
        </w:rPr>
        <w:t>competition.As</w:t>
      </w:r>
      <w:proofErr w:type="spellEnd"/>
      <w:r>
        <w:rPr>
          <w:rFonts w:ascii="Times New Roman" w:hAnsi="Times New Roman"/>
          <w:sz w:val="24"/>
          <w:szCs w:val="24"/>
        </w:rPr>
        <w:t xml:space="preserve"> EVs reduce the lines between what's considered legal and what's not and speed up the entry and exit process, it is more effective to combine placement tools with dynamic capability lenses that show how companies change their resources over time (Porter, 2008; Teece, 2007).</w:t>
      </w:r>
    </w:p>
    <w:p w14:paraId="29E45187" w14:textId="77777777" w:rsidR="008375D0" w:rsidRDefault="00000000">
      <w:pPr>
        <w:spacing w:line="360" w:lineRule="auto"/>
        <w:rPr>
          <w:rFonts w:ascii="Times New Roman" w:hAnsi="Times New Roman"/>
          <w:sz w:val="24"/>
          <w:szCs w:val="24"/>
        </w:rPr>
      </w:pPr>
      <w:r>
        <w:rPr>
          <w:rFonts w:ascii="Times New Roman" w:hAnsi="Times New Roman"/>
          <w:sz w:val="24"/>
          <w:szCs w:val="24"/>
        </w:rPr>
        <w:t>A second tension is the "simpler EV" story. EVs make things simpler mechanically, but they also make them more dependent on rare parts and coordination across levels. Disruption evidence from chip shortages shows low visibility inputs can cause big problems which is directly goes against idea that electrification automatically lowers operational risk (Ramani et al., 2022; Ramos and Ruiz-Galvez, 2024).</w:t>
      </w:r>
    </w:p>
    <w:p w14:paraId="37186137" w14:textId="77777777" w:rsidR="008375D0" w:rsidRDefault="00000000">
      <w:pPr>
        <w:spacing w:line="360" w:lineRule="auto"/>
        <w:rPr>
          <w:rFonts w:ascii="Times New Roman" w:hAnsi="Times New Roman"/>
          <w:sz w:val="24"/>
          <w:szCs w:val="24"/>
        </w:rPr>
      </w:pPr>
      <w:r>
        <w:rPr>
          <w:rFonts w:ascii="Times New Roman" w:hAnsi="Times New Roman"/>
          <w:sz w:val="24"/>
          <w:szCs w:val="24"/>
        </w:rPr>
        <w:t xml:space="preserve">Lastly, being star in sustainability creates a strategy paradox: using circular materials and ethical sources can boost credibility and set you apart from competitors, but they can also raise short-term costs and make reverse operations more complicated. Automotive circularity reviews emphasise that benefits depend on governance, design-for-circularity and partner alignment, supporting staged implementation rather than “big bang” transformation (Du, Bryson and Qamar, 2025; Neri, </w:t>
      </w:r>
      <w:proofErr w:type="spellStart"/>
      <w:r>
        <w:rPr>
          <w:rFonts w:ascii="Times New Roman" w:hAnsi="Times New Roman"/>
          <w:sz w:val="24"/>
          <w:szCs w:val="24"/>
        </w:rPr>
        <w:t>Butturi</w:t>
      </w:r>
      <w:proofErr w:type="spellEnd"/>
      <w:r>
        <w:rPr>
          <w:rFonts w:ascii="Times New Roman" w:hAnsi="Times New Roman"/>
          <w:sz w:val="24"/>
          <w:szCs w:val="24"/>
        </w:rPr>
        <w:t xml:space="preserve"> and Gamberini, 2024).</w:t>
      </w:r>
    </w:p>
    <w:p w14:paraId="3D564529" w14:textId="77777777" w:rsidR="008375D0" w:rsidRDefault="008375D0">
      <w:pPr>
        <w:spacing w:line="360" w:lineRule="auto"/>
        <w:rPr>
          <w:rFonts w:ascii="Times New Roman" w:hAnsi="Times New Roman"/>
          <w:sz w:val="24"/>
          <w:szCs w:val="24"/>
        </w:rPr>
      </w:pPr>
    </w:p>
    <w:p w14:paraId="31A808FE" w14:textId="77777777" w:rsidR="008375D0" w:rsidRDefault="008375D0">
      <w:pPr>
        <w:spacing w:line="360" w:lineRule="auto"/>
        <w:rPr>
          <w:rFonts w:ascii="Times New Roman" w:hAnsi="Times New Roman"/>
          <w:sz w:val="24"/>
          <w:szCs w:val="24"/>
        </w:rPr>
      </w:pPr>
    </w:p>
    <w:p w14:paraId="166DBC9C" w14:textId="77777777" w:rsidR="008375D0" w:rsidRDefault="008375D0">
      <w:pPr>
        <w:spacing w:line="360" w:lineRule="auto"/>
        <w:rPr>
          <w:rFonts w:ascii="Times New Roman" w:hAnsi="Times New Roman"/>
          <w:sz w:val="24"/>
          <w:szCs w:val="24"/>
        </w:rPr>
      </w:pPr>
    </w:p>
    <w:p w14:paraId="0AE97954" w14:textId="77777777" w:rsidR="008375D0" w:rsidRDefault="008375D0">
      <w:pPr>
        <w:spacing w:line="360" w:lineRule="auto"/>
        <w:rPr>
          <w:rFonts w:ascii="Times New Roman" w:hAnsi="Times New Roman"/>
          <w:sz w:val="24"/>
          <w:szCs w:val="24"/>
        </w:rPr>
      </w:pPr>
    </w:p>
    <w:p w14:paraId="39E03806"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lastRenderedPageBreak/>
        <w:t xml:space="preserve">SWOT Analysis </w:t>
      </w:r>
    </w:p>
    <w:p w14:paraId="69D213F8" w14:textId="77777777" w:rsidR="008375D0" w:rsidRDefault="00000000">
      <w:pPr>
        <w:spacing w:line="360" w:lineRule="auto"/>
      </w:pPr>
      <w:r>
        <w:rPr>
          <w:rFonts w:ascii="Times New Roman" w:hAnsi="Times New Roman"/>
          <w:noProof/>
          <w:sz w:val="24"/>
          <w:szCs w:val="24"/>
        </w:rPr>
        <w:drawing>
          <wp:inline distT="0" distB="0" distL="0" distR="0" wp14:anchorId="0C85804C" wp14:editId="7897A099">
            <wp:extent cx="5731514" cy="6389370"/>
            <wp:effectExtent l="0" t="0" r="2536" b="0"/>
            <wp:docPr id="203463287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4" cy="6389370"/>
                    </a:xfrm>
                    <a:prstGeom prst="rect">
                      <a:avLst/>
                    </a:prstGeom>
                    <a:noFill/>
                    <a:ln>
                      <a:noFill/>
                      <a:prstDash/>
                    </a:ln>
                  </pic:spPr>
                </pic:pic>
              </a:graphicData>
            </a:graphic>
          </wp:inline>
        </w:drawing>
      </w:r>
    </w:p>
    <w:p w14:paraId="3B551079" w14:textId="77777777" w:rsidR="008375D0" w:rsidRDefault="008375D0">
      <w:pPr>
        <w:spacing w:line="360" w:lineRule="auto"/>
        <w:rPr>
          <w:rFonts w:ascii="Times New Roman" w:hAnsi="Times New Roman"/>
          <w:b/>
          <w:bCs/>
          <w:sz w:val="24"/>
          <w:szCs w:val="24"/>
        </w:rPr>
      </w:pPr>
    </w:p>
    <w:p w14:paraId="4965C3B4" w14:textId="77777777" w:rsidR="008375D0" w:rsidRDefault="008375D0">
      <w:pPr>
        <w:spacing w:line="360" w:lineRule="auto"/>
        <w:rPr>
          <w:rFonts w:ascii="Times New Roman" w:hAnsi="Times New Roman"/>
          <w:b/>
          <w:bCs/>
          <w:sz w:val="24"/>
          <w:szCs w:val="24"/>
        </w:rPr>
      </w:pPr>
    </w:p>
    <w:p w14:paraId="6011B0BF" w14:textId="77777777" w:rsidR="008375D0" w:rsidRDefault="008375D0">
      <w:pPr>
        <w:spacing w:line="360" w:lineRule="auto"/>
        <w:rPr>
          <w:rFonts w:ascii="Times New Roman" w:hAnsi="Times New Roman"/>
          <w:b/>
          <w:bCs/>
          <w:sz w:val="24"/>
          <w:szCs w:val="24"/>
        </w:rPr>
      </w:pPr>
    </w:p>
    <w:p w14:paraId="21B67FDB" w14:textId="77777777" w:rsidR="008375D0" w:rsidRDefault="008375D0">
      <w:pPr>
        <w:spacing w:line="360" w:lineRule="auto"/>
        <w:rPr>
          <w:rFonts w:ascii="Times New Roman" w:hAnsi="Times New Roman"/>
          <w:b/>
          <w:bCs/>
          <w:sz w:val="24"/>
          <w:szCs w:val="24"/>
        </w:rPr>
      </w:pPr>
    </w:p>
    <w:p w14:paraId="7153C0AF" w14:textId="77777777" w:rsidR="008375D0" w:rsidRDefault="008375D0">
      <w:pPr>
        <w:spacing w:line="360" w:lineRule="auto"/>
        <w:rPr>
          <w:rFonts w:ascii="Times New Roman" w:hAnsi="Times New Roman"/>
          <w:b/>
          <w:bCs/>
          <w:sz w:val="24"/>
          <w:szCs w:val="24"/>
        </w:rPr>
      </w:pPr>
    </w:p>
    <w:p w14:paraId="3513E865"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lastRenderedPageBreak/>
        <w:t>Strategy Formulation: Strategic Alternatives</w:t>
      </w:r>
    </w:p>
    <w:p w14:paraId="57C7370B"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Alternative A: Platform focus and battery and supply security (core recommendation)</w:t>
      </w:r>
    </w:p>
    <w:p w14:paraId="10977E5C" w14:textId="77777777" w:rsidR="008375D0" w:rsidRDefault="00000000">
      <w:pPr>
        <w:spacing w:line="360" w:lineRule="auto"/>
        <w:rPr>
          <w:rFonts w:ascii="Times New Roman" w:hAnsi="Times New Roman"/>
          <w:sz w:val="24"/>
          <w:szCs w:val="24"/>
        </w:rPr>
      </w:pPr>
      <w:r>
        <w:rPr>
          <w:rFonts w:ascii="Times New Roman" w:hAnsi="Times New Roman"/>
          <w:sz w:val="24"/>
          <w:szCs w:val="24"/>
        </w:rPr>
        <w:t>JLR should be focus its investment on fewer scalable EV designs, reduce battery supply risk via long-term offtake and co development and strengthen supply chain resilience through dual sourcing and visibility. This immediately reacts to data from value chain restructuring that the EV transition increases reliance on upstream technology while shifting power to important suppliers (Ramos and Ruiz-Gálvez, 2024; Porter, 2008).</w:t>
      </w:r>
    </w:p>
    <w:p w14:paraId="1ED74F57"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Alternative B: Build “software-defined luxury” as differentiator (core recommendation)</w:t>
      </w:r>
    </w:p>
    <w:p w14:paraId="450B6DC2" w14:textId="77777777" w:rsidR="008375D0" w:rsidRDefault="00000000">
      <w:pPr>
        <w:spacing w:line="360" w:lineRule="auto"/>
        <w:rPr>
          <w:rFonts w:ascii="Times New Roman" w:hAnsi="Times New Roman"/>
          <w:sz w:val="24"/>
          <w:szCs w:val="24"/>
        </w:rPr>
      </w:pPr>
      <w:r>
        <w:rPr>
          <w:rFonts w:ascii="Times New Roman" w:hAnsi="Times New Roman"/>
          <w:sz w:val="24"/>
          <w:szCs w:val="24"/>
        </w:rPr>
        <w:t>JLR should internalise a stronger software architecture capability (OTA, security, experience design) and build service ecosystems that complement premium product identity. Platform and business model research indicates differentiation increasingly occurs through ecosystems and value capture mechanisms rather than product features alone (</w:t>
      </w:r>
      <w:proofErr w:type="spellStart"/>
      <w:r>
        <w:rPr>
          <w:rFonts w:ascii="Times New Roman" w:hAnsi="Times New Roman"/>
          <w:sz w:val="24"/>
          <w:szCs w:val="24"/>
        </w:rPr>
        <w:t>Gawer</w:t>
      </w:r>
      <w:proofErr w:type="spellEnd"/>
      <w:r>
        <w:rPr>
          <w:rFonts w:ascii="Times New Roman" w:hAnsi="Times New Roman"/>
          <w:sz w:val="24"/>
          <w:szCs w:val="24"/>
        </w:rPr>
        <w:t xml:space="preserve"> and Cusumano, 2014; Zott, Amit and Massa, 2011).</w:t>
      </w:r>
    </w:p>
    <w:p w14:paraId="627E8B4F"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Alternative C: Circular luxury (staged, brand aligned)</w:t>
      </w:r>
    </w:p>
    <w:p w14:paraId="2BB33BC1" w14:textId="77777777" w:rsidR="008375D0" w:rsidRDefault="00000000">
      <w:pPr>
        <w:spacing w:line="360" w:lineRule="auto"/>
        <w:rPr>
          <w:rFonts w:ascii="Times New Roman" w:hAnsi="Times New Roman"/>
          <w:sz w:val="24"/>
          <w:szCs w:val="24"/>
        </w:rPr>
      </w:pPr>
      <w:r>
        <w:rPr>
          <w:rFonts w:ascii="Times New Roman" w:hAnsi="Times New Roman"/>
          <w:sz w:val="24"/>
          <w:szCs w:val="24"/>
        </w:rPr>
        <w:t xml:space="preserve">JLR should adopt circular design standards, expand remanufacturing/certified pre-owned with battery health assurance and plan battery lifecycle pathways (second life, remanufacturing, recycling). Circularity studies and battery lifetime research demonstrate that environmental and supply security improvements are conceivable, but they need a phased rollout and governance (Du, Bryson, and Qamar, 2025; Neri, </w:t>
      </w:r>
      <w:proofErr w:type="spellStart"/>
      <w:r>
        <w:rPr>
          <w:rFonts w:ascii="Times New Roman" w:hAnsi="Times New Roman"/>
          <w:sz w:val="24"/>
          <w:szCs w:val="24"/>
        </w:rPr>
        <w:t>Butturi</w:t>
      </w:r>
      <w:proofErr w:type="spellEnd"/>
      <w:r>
        <w:rPr>
          <w:rFonts w:ascii="Times New Roman" w:hAnsi="Times New Roman"/>
          <w:sz w:val="24"/>
          <w:szCs w:val="24"/>
        </w:rPr>
        <w:t xml:space="preserve">, and Gamberini, 2024; </w:t>
      </w:r>
      <w:proofErr w:type="spellStart"/>
      <w:r>
        <w:rPr>
          <w:rFonts w:ascii="Times New Roman" w:hAnsi="Times New Roman"/>
          <w:sz w:val="24"/>
          <w:szCs w:val="24"/>
        </w:rPr>
        <w:t>Gianvincenzi</w:t>
      </w:r>
      <w:proofErr w:type="spellEnd"/>
      <w:r>
        <w:rPr>
          <w:rFonts w:ascii="Times New Roman" w:hAnsi="Times New Roman"/>
          <w:sz w:val="24"/>
          <w:szCs w:val="24"/>
        </w:rPr>
        <w:t xml:space="preserve"> et al., 2024). </w:t>
      </w:r>
    </w:p>
    <w:p w14:paraId="16081DBA"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Alternative D: Ecosystem alliances for demand enablement</w:t>
      </w:r>
    </w:p>
    <w:p w14:paraId="50692E67" w14:textId="77777777" w:rsidR="008375D0" w:rsidRDefault="00000000">
      <w:pPr>
        <w:spacing w:line="360" w:lineRule="auto"/>
        <w:rPr>
          <w:rFonts w:ascii="Times New Roman" w:hAnsi="Times New Roman"/>
          <w:sz w:val="24"/>
          <w:szCs w:val="24"/>
        </w:rPr>
      </w:pPr>
      <w:r>
        <w:rPr>
          <w:rFonts w:ascii="Times New Roman" w:hAnsi="Times New Roman"/>
          <w:sz w:val="24"/>
          <w:szCs w:val="24"/>
        </w:rPr>
        <w:t xml:space="preserve">JLR should be partner with charging providers </w:t>
      </w:r>
      <w:proofErr w:type="gramStart"/>
      <w:r>
        <w:rPr>
          <w:rFonts w:ascii="Times New Roman" w:hAnsi="Times New Roman"/>
          <w:sz w:val="24"/>
          <w:szCs w:val="24"/>
        </w:rPr>
        <w:t>and also</w:t>
      </w:r>
      <w:proofErr w:type="gramEnd"/>
      <w:r>
        <w:rPr>
          <w:rFonts w:ascii="Times New Roman" w:hAnsi="Times New Roman"/>
          <w:sz w:val="24"/>
          <w:szCs w:val="24"/>
        </w:rPr>
        <w:t xml:space="preserve"> with energy firms to deliver premium charging experience, bundled home charging/green tariffs, and flexible financing. UK charging data demonstrate the need of addressing infrastructure discrepancies and charging quality to facilitate adoption (DfT, 2025b). At the same time, BMI research supports the rationale of bundling complements to mitigate perceived risk and promote switching (Huang and </w:t>
      </w:r>
      <w:proofErr w:type="spellStart"/>
      <w:r>
        <w:rPr>
          <w:rFonts w:ascii="Times New Roman" w:hAnsi="Times New Roman"/>
          <w:sz w:val="24"/>
          <w:szCs w:val="24"/>
        </w:rPr>
        <w:t>Ichikohji</w:t>
      </w:r>
      <w:proofErr w:type="spellEnd"/>
      <w:r>
        <w:rPr>
          <w:rFonts w:ascii="Times New Roman" w:hAnsi="Times New Roman"/>
          <w:sz w:val="24"/>
          <w:szCs w:val="24"/>
        </w:rPr>
        <w:t xml:space="preserve">, 2023). </w:t>
      </w:r>
    </w:p>
    <w:p w14:paraId="6E260A58" w14:textId="77777777" w:rsidR="008375D0" w:rsidRDefault="00000000">
      <w:pPr>
        <w:spacing w:line="360" w:lineRule="auto"/>
        <w:rPr>
          <w:rFonts w:ascii="Times New Roman" w:hAnsi="Times New Roman"/>
          <w:sz w:val="24"/>
          <w:szCs w:val="24"/>
        </w:rPr>
      </w:pPr>
      <w:r>
        <w:rPr>
          <w:rFonts w:ascii="Times New Roman" w:hAnsi="Times New Roman"/>
          <w:sz w:val="24"/>
          <w:szCs w:val="24"/>
        </w:rPr>
        <w:t>Recommended portfolio are A and B (primary) when supported by staged C and selective D.</w:t>
      </w:r>
    </w:p>
    <w:p w14:paraId="4467C582" w14:textId="77777777" w:rsidR="008375D0" w:rsidRDefault="008375D0">
      <w:pPr>
        <w:spacing w:line="360" w:lineRule="auto"/>
        <w:rPr>
          <w:rFonts w:ascii="Times New Roman" w:hAnsi="Times New Roman"/>
          <w:sz w:val="24"/>
          <w:szCs w:val="24"/>
        </w:rPr>
      </w:pPr>
    </w:p>
    <w:p w14:paraId="5C10E9A9" w14:textId="77777777" w:rsidR="008375D0" w:rsidRDefault="008375D0">
      <w:pPr>
        <w:spacing w:line="360" w:lineRule="auto"/>
        <w:rPr>
          <w:rFonts w:ascii="Times New Roman" w:hAnsi="Times New Roman"/>
          <w:sz w:val="24"/>
          <w:szCs w:val="24"/>
        </w:rPr>
      </w:pPr>
    </w:p>
    <w:p w14:paraId="0FE0E5A5"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 xml:space="preserve">Strategy Evaluation using </w:t>
      </w:r>
      <w:proofErr w:type="spellStart"/>
      <w:r>
        <w:rPr>
          <w:rFonts w:ascii="Times New Roman" w:hAnsi="Times New Roman"/>
          <w:b/>
          <w:bCs/>
          <w:sz w:val="24"/>
          <w:szCs w:val="24"/>
        </w:rPr>
        <w:t>SAFe</w:t>
      </w:r>
      <w:proofErr w:type="spellEnd"/>
      <w:r>
        <w:rPr>
          <w:rFonts w:ascii="Times New Roman" w:hAnsi="Times New Roman"/>
          <w:b/>
          <w:bCs/>
          <w:sz w:val="24"/>
          <w:szCs w:val="24"/>
        </w:rPr>
        <w:t xml:space="preserve"> method and </w:t>
      </w:r>
      <w:proofErr w:type="spellStart"/>
      <w:r>
        <w:rPr>
          <w:rFonts w:ascii="Times New Roman" w:hAnsi="Times New Roman"/>
          <w:b/>
          <w:bCs/>
          <w:sz w:val="24"/>
          <w:szCs w:val="24"/>
        </w:rPr>
        <w:t>Rumelt</w:t>
      </w:r>
      <w:proofErr w:type="spellEnd"/>
      <w:r>
        <w:rPr>
          <w:rFonts w:ascii="Times New Roman" w:hAnsi="Times New Roman"/>
          <w:b/>
          <w:bCs/>
          <w:sz w:val="24"/>
          <w:szCs w:val="24"/>
        </w:rPr>
        <w:t>)</w:t>
      </w:r>
    </w:p>
    <w:p w14:paraId="41D697F9" w14:textId="77777777" w:rsidR="008375D0" w:rsidRDefault="00000000">
      <w:pPr>
        <w:spacing w:line="360" w:lineRule="auto"/>
      </w:pPr>
      <w:r>
        <w:rPr>
          <w:rFonts w:ascii="Times New Roman" w:hAnsi="Times New Roman"/>
          <w:b/>
          <w:bCs/>
          <w:sz w:val="24"/>
          <w:szCs w:val="24"/>
        </w:rPr>
        <w:t>Suitability:</w:t>
      </w:r>
      <w:r>
        <w:rPr>
          <w:rFonts w:ascii="Times New Roman" w:hAnsi="Times New Roman"/>
          <w:sz w:val="24"/>
          <w:szCs w:val="24"/>
        </w:rPr>
        <w:t xml:space="preserve"> Portfolio focuses on the most important external factors such as regulatory pressure, supplier power and the competition depending at ecosystem. Research on EV value chain shows that focusing on battery and platform strategies is best way for maintain margins and independence (Ramos and Ruiz-Galvez, 2024). </w:t>
      </w:r>
    </w:p>
    <w:p w14:paraId="60910BAA" w14:textId="77777777" w:rsidR="008375D0" w:rsidRDefault="00000000">
      <w:pPr>
        <w:spacing w:line="360" w:lineRule="auto"/>
      </w:pPr>
      <w:r>
        <w:rPr>
          <w:rFonts w:ascii="Times New Roman" w:hAnsi="Times New Roman"/>
          <w:b/>
          <w:bCs/>
          <w:sz w:val="24"/>
          <w:szCs w:val="24"/>
        </w:rPr>
        <w:t>Acceptability:</w:t>
      </w:r>
      <w:r>
        <w:rPr>
          <w:rFonts w:ascii="Times New Roman" w:hAnsi="Times New Roman"/>
          <w:sz w:val="24"/>
          <w:szCs w:val="24"/>
        </w:rPr>
        <w:t xml:space="preserve"> Shareholders gain from more defined investment objective and prospect of software enhanced lifetime value. Customers gain from improved experience provided their privacy, dependability and trust are safeguarded. This is key caveat for subscription and data driven models (Zott, Amit, and Massa, 2011; Huang and </w:t>
      </w:r>
      <w:proofErr w:type="spellStart"/>
      <w:r>
        <w:rPr>
          <w:rFonts w:ascii="Times New Roman" w:hAnsi="Times New Roman"/>
          <w:sz w:val="24"/>
          <w:szCs w:val="24"/>
        </w:rPr>
        <w:t>Ichikohji</w:t>
      </w:r>
      <w:proofErr w:type="spellEnd"/>
      <w:r>
        <w:rPr>
          <w:rFonts w:ascii="Times New Roman" w:hAnsi="Times New Roman"/>
          <w:sz w:val="24"/>
          <w:szCs w:val="24"/>
        </w:rPr>
        <w:t>, 2023).</w:t>
      </w:r>
    </w:p>
    <w:p w14:paraId="37795B4A" w14:textId="77777777" w:rsidR="008375D0" w:rsidRDefault="00000000">
      <w:pPr>
        <w:spacing w:line="360" w:lineRule="auto"/>
      </w:pPr>
      <w:r>
        <w:rPr>
          <w:rFonts w:ascii="Times New Roman" w:hAnsi="Times New Roman"/>
          <w:b/>
          <w:bCs/>
          <w:sz w:val="24"/>
          <w:szCs w:val="24"/>
        </w:rPr>
        <w:t xml:space="preserve">Feasibility: </w:t>
      </w:r>
      <w:r>
        <w:rPr>
          <w:rFonts w:ascii="Times New Roman" w:hAnsi="Times New Roman"/>
          <w:sz w:val="24"/>
          <w:szCs w:val="24"/>
        </w:rPr>
        <w:t>Feasibility relies on development of organisational capabilities and ambidexterity, which involving leveraging current lucrative luxury brands while also investigating for new electric vehicle and software talents. Research on ambidexterity indicates that this requires senior alignment, well-defined structures, and rigorous integration procedures (O’Reilly and Tushman, 2013; Teece, 2007).</w:t>
      </w:r>
    </w:p>
    <w:p w14:paraId="45AFFA41" w14:textId="77777777" w:rsidR="008375D0" w:rsidRDefault="00000000">
      <w:pPr>
        <w:spacing w:line="360" w:lineRule="auto"/>
        <w:rPr>
          <w:rFonts w:ascii="Times New Roman" w:hAnsi="Times New Roman"/>
          <w:b/>
          <w:bCs/>
          <w:sz w:val="24"/>
          <w:szCs w:val="24"/>
        </w:rPr>
      </w:pPr>
      <w:proofErr w:type="spellStart"/>
      <w:r>
        <w:rPr>
          <w:rFonts w:ascii="Times New Roman" w:hAnsi="Times New Roman"/>
          <w:b/>
          <w:bCs/>
          <w:sz w:val="24"/>
          <w:szCs w:val="24"/>
        </w:rPr>
        <w:t>Rumelt’s</w:t>
      </w:r>
      <w:proofErr w:type="spellEnd"/>
      <w:r>
        <w:rPr>
          <w:rFonts w:ascii="Times New Roman" w:hAnsi="Times New Roman"/>
          <w:b/>
          <w:bCs/>
          <w:sz w:val="24"/>
          <w:szCs w:val="24"/>
        </w:rPr>
        <w:t xml:space="preserve"> tests:</w:t>
      </w:r>
    </w:p>
    <w:p w14:paraId="0B205753" w14:textId="77777777" w:rsidR="008375D0" w:rsidRDefault="00000000">
      <w:pPr>
        <w:spacing w:line="360" w:lineRule="auto"/>
      </w:pPr>
      <w:r>
        <w:rPr>
          <w:rFonts w:ascii="Times New Roman" w:hAnsi="Times New Roman"/>
          <w:noProof/>
          <w:sz w:val="24"/>
          <w:szCs w:val="24"/>
        </w:rPr>
        <w:drawing>
          <wp:inline distT="0" distB="0" distL="0" distR="0" wp14:anchorId="6BF9083D" wp14:editId="4BBDF356">
            <wp:extent cx="5731514" cy="3524253"/>
            <wp:effectExtent l="0" t="0" r="2536" b="0"/>
            <wp:docPr id="17710973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4" cy="3524253"/>
                    </a:xfrm>
                    <a:prstGeom prst="rect">
                      <a:avLst/>
                    </a:prstGeom>
                    <a:noFill/>
                    <a:ln>
                      <a:noFill/>
                      <a:prstDash/>
                    </a:ln>
                  </pic:spPr>
                </pic:pic>
              </a:graphicData>
            </a:graphic>
          </wp:inline>
        </w:drawing>
      </w:r>
    </w:p>
    <w:p w14:paraId="72C2B81B" w14:textId="77777777" w:rsidR="008375D0" w:rsidRDefault="008375D0">
      <w:pPr>
        <w:spacing w:line="360" w:lineRule="auto"/>
        <w:rPr>
          <w:rFonts w:ascii="Times New Roman" w:hAnsi="Times New Roman"/>
          <w:b/>
          <w:bCs/>
          <w:sz w:val="24"/>
          <w:szCs w:val="24"/>
        </w:rPr>
      </w:pPr>
    </w:p>
    <w:p w14:paraId="331DE36A"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Implementation Plan</w:t>
      </w:r>
    </w:p>
    <w:p w14:paraId="1CAA19E0"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EV Strategy Roadmap (0–7 Years)</w:t>
      </w:r>
    </w:p>
    <w:tbl>
      <w:tblPr>
        <w:tblW w:w="9016" w:type="dxa"/>
        <w:tblLayout w:type="fixed"/>
        <w:tblCellMar>
          <w:left w:w="10" w:type="dxa"/>
          <w:right w:w="10" w:type="dxa"/>
        </w:tblCellMar>
        <w:tblLook w:val="04A0" w:firstRow="1" w:lastRow="0" w:firstColumn="1" w:lastColumn="0" w:noHBand="0" w:noVBand="1"/>
      </w:tblPr>
      <w:tblGrid>
        <w:gridCol w:w="1437"/>
        <w:gridCol w:w="1495"/>
        <w:gridCol w:w="2360"/>
        <w:gridCol w:w="2074"/>
        <w:gridCol w:w="1650"/>
      </w:tblGrid>
      <w:tr w:rsidR="008375D0" w14:paraId="63DB074A" w14:textId="77777777">
        <w:tblPrEx>
          <w:tblCellMar>
            <w:top w:w="0" w:type="dxa"/>
            <w:bottom w:w="0" w:type="dxa"/>
          </w:tblCellMar>
        </w:tblPrEx>
        <w:tc>
          <w:tcPr>
            <w:tcW w:w="14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AF5AFA"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Horizon</w:t>
            </w:r>
          </w:p>
        </w:tc>
        <w:tc>
          <w:tcPr>
            <w:tcW w:w="14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41EFEE"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Focus</w:t>
            </w:r>
          </w:p>
        </w:tc>
        <w:tc>
          <w:tcPr>
            <w:tcW w:w="23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9E3F65"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Key Workstreams</w:t>
            </w:r>
          </w:p>
        </w:tc>
        <w:tc>
          <w:tcPr>
            <w:tcW w:w="20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F2FFE7"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KPIs</w:t>
            </w:r>
          </w:p>
        </w:tc>
        <w:tc>
          <w:tcPr>
            <w:tcW w:w="16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C4FFE49"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Main Risks &amp; Mitigations</w:t>
            </w:r>
          </w:p>
        </w:tc>
      </w:tr>
      <w:tr w:rsidR="008375D0" w14:paraId="0C7F8E8C" w14:textId="77777777">
        <w:tblPrEx>
          <w:tblCellMar>
            <w:top w:w="0" w:type="dxa"/>
            <w:bottom w:w="0" w:type="dxa"/>
          </w:tblCellMar>
        </w:tblPrEx>
        <w:tc>
          <w:tcPr>
            <w:tcW w:w="14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B39ABD" w14:textId="77777777" w:rsidR="008375D0" w:rsidRDefault="00000000">
            <w:pPr>
              <w:spacing w:line="360" w:lineRule="auto"/>
            </w:pPr>
            <w:r>
              <w:rPr>
                <w:rFonts w:ascii="Times New Roman" w:hAnsi="Times New Roman"/>
                <w:b/>
                <w:bCs/>
                <w:sz w:val="24"/>
                <w:szCs w:val="24"/>
              </w:rPr>
              <w:t>0–12 months</w:t>
            </w:r>
            <w:r>
              <w:rPr>
                <w:rFonts w:ascii="Times New Roman" w:hAnsi="Times New Roman"/>
                <w:sz w:val="24"/>
                <w:szCs w:val="24"/>
              </w:rPr>
              <w:br/>
              <w:t>Stabilise &amp; Derisk</w:t>
            </w:r>
          </w:p>
        </w:tc>
        <w:tc>
          <w:tcPr>
            <w:tcW w:w="14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444456" w14:textId="77777777" w:rsidR="008375D0" w:rsidRDefault="00000000">
            <w:pPr>
              <w:spacing w:line="360" w:lineRule="auto"/>
              <w:rPr>
                <w:rFonts w:ascii="Times New Roman" w:hAnsi="Times New Roman"/>
                <w:sz w:val="24"/>
                <w:szCs w:val="24"/>
              </w:rPr>
            </w:pPr>
            <w:r>
              <w:rPr>
                <w:rFonts w:ascii="Times New Roman" w:hAnsi="Times New Roman"/>
                <w:sz w:val="24"/>
                <w:szCs w:val="24"/>
              </w:rPr>
              <w:t>Build basic resilience and reduce immediate supply/cyber shocks</w:t>
            </w:r>
          </w:p>
        </w:tc>
        <w:tc>
          <w:tcPr>
            <w:tcW w:w="23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AFE84DD" w14:textId="77777777" w:rsidR="008375D0" w:rsidRDefault="00000000">
            <w:pPr>
              <w:spacing w:line="360" w:lineRule="auto"/>
              <w:rPr>
                <w:rFonts w:ascii="Times New Roman" w:hAnsi="Times New Roman"/>
                <w:sz w:val="24"/>
                <w:szCs w:val="24"/>
              </w:rPr>
            </w:pPr>
            <w:r>
              <w:rPr>
                <w:rFonts w:ascii="Times New Roman" w:hAnsi="Times New Roman"/>
                <w:sz w:val="24"/>
                <w:szCs w:val="24"/>
              </w:rPr>
              <w:t>• Map battery/semiconductor risks and add dual</w:t>
            </w:r>
            <w:r>
              <w:rPr>
                <w:rFonts w:ascii="Times New Roman" w:hAnsi="Times New Roman"/>
                <w:sz w:val="24"/>
                <w:szCs w:val="24"/>
              </w:rPr>
              <w:noBreakHyphen/>
              <w:t>sourcing</w:t>
            </w:r>
            <w:r>
              <w:rPr>
                <w:rFonts w:ascii="Times New Roman" w:hAnsi="Times New Roman"/>
                <w:sz w:val="24"/>
                <w:szCs w:val="24"/>
              </w:rPr>
              <w:br/>
              <w:t>• Improve cyber and operational resilience</w:t>
            </w:r>
            <w:r>
              <w:rPr>
                <w:rFonts w:ascii="Times New Roman" w:hAnsi="Times New Roman"/>
                <w:sz w:val="24"/>
                <w:szCs w:val="24"/>
              </w:rPr>
              <w:br/>
              <w:t>• Set up EV Delivery Office (cross</w:t>
            </w:r>
            <w:r>
              <w:rPr>
                <w:rFonts w:ascii="Times New Roman" w:hAnsi="Times New Roman"/>
                <w:sz w:val="24"/>
                <w:szCs w:val="24"/>
              </w:rPr>
              <w:noBreakHyphen/>
              <w:t>functional PMO)</w:t>
            </w:r>
            <w:r>
              <w:rPr>
                <w:rFonts w:ascii="Times New Roman" w:hAnsi="Times New Roman"/>
                <w:sz w:val="24"/>
                <w:szCs w:val="24"/>
              </w:rPr>
              <w:br/>
              <w:t>• Early visibility, redundancy and coordination to limit disruption spread</w:t>
            </w:r>
          </w:p>
        </w:tc>
        <w:tc>
          <w:tcPr>
            <w:tcW w:w="20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3BE22A" w14:textId="77777777" w:rsidR="008375D0" w:rsidRDefault="00000000">
            <w:pPr>
              <w:spacing w:line="360" w:lineRule="auto"/>
              <w:rPr>
                <w:rFonts w:ascii="Times New Roman" w:hAnsi="Times New Roman"/>
                <w:sz w:val="24"/>
                <w:szCs w:val="24"/>
              </w:rPr>
            </w:pPr>
            <w:r>
              <w:rPr>
                <w:rFonts w:ascii="Times New Roman" w:hAnsi="Times New Roman"/>
                <w:sz w:val="24"/>
                <w:szCs w:val="24"/>
              </w:rPr>
              <w:t>• % critical parts dual</w:t>
            </w:r>
            <w:r>
              <w:rPr>
                <w:rFonts w:ascii="Times New Roman" w:hAnsi="Times New Roman"/>
                <w:sz w:val="24"/>
                <w:szCs w:val="24"/>
              </w:rPr>
              <w:noBreakHyphen/>
              <w:t>sourced</w:t>
            </w:r>
            <w:r>
              <w:rPr>
                <w:rFonts w:ascii="Times New Roman" w:hAnsi="Times New Roman"/>
                <w:sz w:val="24"/>
                <w:szCs w:val="24"/>
              </w:rPr>
              <w:br/>
              <w:t>• Supplier risk heatmap coverage</w:t>
            </w:r>
            <w:r>
              <w:rPr>
                <w:rFonts w:ascii="Times New Roman" w:hAnsi="Times New Roman"/>
                <w:sz w:val="24"/>
                <w:szCs w:val="24"/>
              </w:rPr>
              <w:br/>
              <w:t>• MTTR for incidents</w:t>
            </w:r>
            <w:r>
              <w:rPr>
                <w:rFonts w:ascii="Times New Roman" w:hAnsi="Times New Roman"/>
                <w:sz w:val="24"/>
                <w:szCs w:val="24"/>
              </w:rPr>
              <w:br/>
              <w:t>• Production downtime hours</w:t>
            </w:r>
          </w:p>
        </w:tc>
        <w:tc>
          <w:tcPr>
            <w:tcW w:w="16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600A7F" w14:textId="77777777" w:rsidR="008375D0" w:rsidRDefault="00000000">
            <w:pPr>
              <w:spacing w:line="360" w:lineRule="auto"/>
              <w:rPr>
                <w:rFonts w:ascii="Times New Roman" w:hAnsi="Times New Roman"/>
                <w:sz w:val="24"/>
                <w:szCs w:val="24"/>
              </w:rPr>
            </w:pPr>
            <w:r>
              <w:rPr>
                <w:rFonts w:ascii="Times New Roman" w:hAnsi="Times New Roman"/>
                <w:sz w:val="24"/>
                <w:szCs w:val="24"/>
              </w:rPr>
              <w:t>• Scarcity drives offtake and buffers</w:t>
            </w:r>
            <w:r>
              <w:rPr>
                <w:rFonts w:ascii="Times New Roman" w:hAnsi="Times New Roman"/>
                <w:sz w:val="24"/>
                <w:szCs w:val="24"/>
              </w:rPr>
              <w:br/>
              <w:t>• Cyber risk drives supplier audits and drills</w:t>
            </w:r>
            <w:r>
              <w:rPr>
                <w:rFonts w:ascii="Times New Roman" w:hAnsi="Times New Roman"/>
                <w:sz w:val="24"/>
                <w:szCs w:val="24"/>
              </w:rPr>
              <w:br/>
              <w:t>• Capability gaps drive targeted hiring/partnering</w:t>
            </w:r>
          </w:p>
        </w:tc>
      </w:tr>
      <w:tr w:rsidR="008375D0" w14:paraId="20562108" w14:textId="77777777">
        <w:tblPrEx>
          <w:tblCellMar>
            <w:top w:w="0" w:type="dxa"/>
            <w:bottom w:w="0" w:type="dxa"/>
          </w:tblCellMar>
        </w:tblPrEx>
        <w:tc>
          <w:tcPr>
            <w:tcW w:w="14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8C38CD" w14:textId="77777777" w:rsidR="008375D0" w:rsidRDefault="00000000">
            <w:pPr>
              <w:spacing w:line="360" w:lineRule="auto"/>
            </w:pPr>
            <w:r>
              <w:rPr>
                <w:rFonts w:ascii="Times New Roman" w:hAnsi="Times New Roman"/>
                <w:b/>
                <w:bCs/>
                <w:sz w:val="24"/>
                <w:szCs w:val="24"/>
              </w:rPr>
              <w:t>12–36 months</w:t>
            </w:r>
            <w:r>
              <w:rPr>
                <w:rFonts w:ascii="Times New Roman" w:hAnsi="Times New Roman"/>
                <w:sz w:val="24"/>
                <w:szCs w:val="24"/>
              </w:rPr>
              <w:br/>
              <w:t>Scale &amp; Differentiate</w:t>
            </w:r>
          </w:p>
        </w:tc>
        <w:tc>
          <w:tcPr>
            <w:tcW w:w="14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26BBCD4" w14:textId="77777777" w:rsidR="008375D0" w:rsidRDefault="00000000">
            <w:pPr>
              <w:spacing w:line="360" w:lineRule="auto"/>
              <w:rPr>
                <w:rFonts w:ascii="Times New Roman" w:hAnsi="Times New Roman"/>
                <w:sz w:val="24"/>
                <w:szCs w:val="24"/>
              </w:rPr>
            </w:pPr>
            <w:r>
              <w:rPr>
                <w:rFonts w:ascii="Times New Roman" w:hAnsi="Times New Roman"/>
                <w:sz w:val="24"/>
                <w:szCs w:val="24"/>
              </w:rPr>
              <w:t>Strengthen platform, software value and circular pilots</w:t>
            </w:r>
          </w:p>
        </w:tc>
        <w:tc>
          <w:tcPr>
            <w:tcW w:w="23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37FF3C" w14:textId="77777777" w:rsidR="008375D0" w:rsidRDefault="00000000">
            <w:pPr>
              <w:spacing w:line="360" w:lineRule="auto"/>
              <w:rPr>
                <w:rFonts w:ascii="Times New Roman" w:hAnsi="Times New Roman"/>
                <w:sz w:val="24"/>
                <w:szCs w:val="24"/>
              </w:rPr>
            </w:pPr>
            <w:r>
              <w:rPr>
                <w:rFonts w:ascii="Times New Roman" w:hAnsi="Times New Roman"/>
                <w:sz w:val="24"/>
                <w:szCs w:val="24"/>
              </w:rPr>
              <w:t>• Platform consolidation</w:t>
            </w:r>
            <w:r>
              <w:rPr>
                <w:rFonts w:ascii="Times New Roman" w:hAnsi="Times New Roman"/>
                <w:sz w:val="24"/>
                <w:szCs w:val="24"/>
              </w:rPr>
              <w:br/>
              <w:t>• Software</w:t>
            </w:r>
            <w:r>
              <w:rPr>
                <w:rFonts w:ascii="Times New Roman" w:hAnsi="Times New Roman"/>
                <w:sz w:val="24"/>
                <w:szCs w:val="24"/>
              </w:rPr>
              <w:noBreakHyphen/>
              <w:t>defined luxury features</w:t>
            </w:r>
            <w:r>
              <w:rPr>
                <w:rFonts w:ascii="Times New Roman" w:hAnsi="Times New Roman"/>
                <w:sz w:val="24"/>
                <w:szCs w:val="24"/>
              </w:rPr>
              <w:br/>
              <w:t>• Remanufacturing and battery</w:t>
            </w:r>
            <w:r>
              <w:rPr>
                <w:rFonts w:ascii="Times New Roman" w:hAnsi="Times New Roman"/>
                <w:sz w:val="24"/>
                <w:szCs w:val="24"/>
              </w:rPr>
              <w:noBreakHyphen/>
              <w:t>health pilots</w:t>
            </w:r>
            <w:r>
              <w:rPr>
                <w:rFonts w:ascii="Times New Roman" w:hAnsi="Times New Roman"/>
                <w:sz w:val="24"/>
                <w:szCs w:val="24"/>
              </w:rPr>
              <w:br/>
              <w:t>• Align product, complements and revenue model for trust and value</w:t>
            </w:r>
          </w:p>
        </w:tc>
        <w:tc>
          <w:tcPr>
            <w:tcW w:w="20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47820E" w14:textId="77777777" w:rsidR="008375D0" w:rsidRDefault="00000000">
            <w:pPr>
              <w:spacing w:line="360" w:lineRule="auto"/>
              <w:rPr>
                <w:rFonts w:ascii="Times New Roman" w:hAnsi="Times New Roman"/>
                <w:sz w:val="24"/>
                <w:szCs w:val="24"/>
              </w:rPr>
            </w:pPr>
            <w:r>
              <w:rPr>
                <w:rFonts w:ascii="Times New Roman" w:hAnsi="Times New Roman"/>
                <w:sz w:val="24"/>
                <w:szCs w:val="24"/>
              </w:rPr>
              <w:t>• EV gross margin</w:t>
            </w:r>
            <w:r>
              <w:rPr>
                <w:rFonts w:ascii="Times New Roman" w:hAnsi="Times New Roman"/>
                <w:sz w:val="24"/>
                <w:szCs w:val="24"/>
              </w:rPr>
              <w:br/>
              <w:t>• Pack cost trajectory</w:t>
            </w:r>
            <w:r>
              <w:rPr>
                <w:rFonts w:ascii="Times New Roman" w:hAnsi="Times New Roman"/>
                <w:sz w:val="24"/>
                <w:szCs w:val="24"/>
              </w:rPr>
              <w:br/>
              <w:t>• OTA adoption rate</w:t>
            </w:r>
            <w:r>
              <w:rPr>
                <w:rFonts w:ascii="Times New Roman" w:hAnsi="Times New Roman"/>
                <w:sz w:val="24"/>
                <w:szCs w:val="24"/>
              </w:rPr>
              <w:br/>
              <w:t>• Paid feature attach rate</w:t>
            </w:r>
            <w:r>
              <w:rPr>
                <w:rFonts w:ascii="Times New Roman" w:hAnsi="Times New Roman"/>
                <w:sz w:val="24"/>
                <w:szCs w:val="24"/>
              </w:rPr>
              <w:br/>
              <w:t>• Remanufacturing yield</w:t>
            </w:r>
          </w:p>
        </w:tc>
        <w:tc>
          <w:tcPr>
            <w:tcW w:w="16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552416" w14:textId="77777777" w:rsidR="008375D0" w:rsidRDefault="00000000">
            <w:pPr>
              <w:spacing w:line="360" w:lineRule="auto"/>
              <w:rPr>
                <w:rFonts w:ascii="Times New Roman" w:hAnsi="Times New Roman"/>
                <w:sz w:val="24"/>
                <w:szCs w:val="24"/>
              </w:rPr>
            </w:pPr>
            <w:r>
              <w:rPr>
                <w:rFonts w:ascii="Times New Roman" w:hAnsi="Times New Roman"/>
                <w:sz w:val="24"/>
                <w:szCs w:val="24"/>
              </w:rPr>
              <w:t>• Subscription backlash drives transparent value bundles</w:t>
            </w:r>
            <w:r>
              <w:rPr>
                <w:rFonts w:ascii="Times New Roman" w:hAnsi="Times New Roman"/>
                <w:sz w:val="24"/>
                <w:szCs w:val="24"/>
              </w:rPr>
              <w:br/>
              <w:t>• Supplier lock</w:t>
            </w:r>
            <w:r>
              <w:rPr>
                <w:rFonts w:ascii="Times New Roman" w:hAnsi="Times New Roman"/>
                <w:sz w:val="24"/>
                <w:szCs w:val="24"/>
              </w:rPr>
              <w:noBreakHyphen/>
              <w:t>in drives modular architecture</w:t>
            </w:r>
            <w:r>
              <w:rPr>
                <w:rFonts w:ascii="Times New Roman" w:hAnsi="Times New Roman"/>
                <w:sz w:val="24"/>
                <w:szCs w:val="24"/>
              </w:rPr>
              <w:br/>
              <w:t xml:space="preserve">• Circular complexity </w:t>
            </w:r>
            <w:r>
              <w:rPr>
                <w:rFonts w:ascii="Times New Roman" w:hAnsi="Times New Roman"/>
                <w:sz w:val="24"/>
                <w:szCs w:val="24"/>
              </w:rPr>
              <w:lastRenderedPageBreak/>
              <w:t>drives staged governance &amp; SLAs</w:t>
            </w:r>
          </w:p>
        </w:tc>
      </w:tr>
      <w:tr w:rsidR="008375D0" w14:paraId="07104AED" w14:textId="77777777">
        <w:tblPrEx>
          <w:tblCellMar>
            <w:top w:w="0" w:type="dxa"/>
            <w:bottom w:w="0" w:type="dxa"/>
          </w:tblCellMar>
        </w:tblPrEx>
        <w:tc>
          <w:tcPr>
            <w:tcW w:w="14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3DFCDC" w14:textId="77777777" w:rsidR="008375D0" w:rsidRDefault="00000000">
            <w:pPr>
              <w:spacing w:line="360" w:lineRule="auto"/>
            </w:pPr>
            <w:r>
              <w:rPr>
                <w:rFonts w:ascii="Times New Roman" w:hAnsi="Times New Roman"/>
                <w:b/>
                <w:bCs/>
                <w:sz w:val="24"/>
                <w:szCs w:val="24"/>
              </w:rPr>
              <w:lastRenderedPageBreak/>
              <w:t>3–7 years</w:t>
            </w:r>
            <w:r>
              <w:rPr>
                <w:rFonts w:ascii="Times New Roman" w:hAnsi="Times New Roman"/>
                <w:sz w:val="24"/>
                <w:szCs w:val="24"/>
              </w:rPr>
              <w:br/>
              <w:t>Transform the System</w:t>
            </w:r>
          </w:p>
        </w:tc>
        <w:tc>
          <w:tcPr>
            <w:tcW w:w="14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C1A4C4E" w14:textId="77777777" w:rsidR="008375D0" w:rsidRDefault="00000000">
            <w:pPr>
              <w:spacing w:line="360" w:lineRule="auto"/>
              <w:rPr>
                <w:rFonts w:ascii="Times New Roman" w:hAnsi="Times New Roman"/>
                <w:sz w:val="24"/>
                <w:szCs w:val="24"/>
              </w:rPr>
            </w:pPr>
            <w:r>
              <w:rPr>
                <w:rFonts w:ascii="Times New Roman" w:hAnsi="Times New Roman"/>
                <w:sz w:val="24"/>
                <w:szCs w:val="24"/>
              </w:rPr>
              <w:t>Build full circular ecosystem and long</w:t>
            </w:r>
            <w:r>
              <w:rPr>
                <w:rFonts w:ascii="Times New Roman" w:hAnsi="Times New Roman"/>
                <w:sz w:val="24"/>
                <w:szCs w:val="24"/>
              </w:rPr>
              <w:noBreakHyphen/>
              <w:t>term sustainability</w:t>
            </w:r>
          </w:p>
        </w:tc>
        <w:tc>
          <w:tcPr>
            <w:tcW w:w="23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EE11A5" w14:textId="77777777" w:rsidR="008375D0" w:rsidRDefault="00000000">
            <w:pPr>
              <w:spacing w:line="360" w:lineRule="auto"/>
              <w:rPr>
                <w:rFonts w:ascii="Times New Roman" w:hAnsi="Times New Roman"/>
                <w:sz w:val="24"/>
                <w:szCs w:val="24"/>
              </w:rPr>
            </w:pPr>
            <w:r>
              <w:rPr>
                <w:rFonts w:ascii="Times New Roman" w:hAnsi="Times New Roman"/>
                <w:sz w:val="24"/>
                <w:szCs w:val="24"/>
              </w:rPr>
              <w:t>• Closed</w:t>
            </w:r>
            <w:r>
              <w:rPr>
                <w:rFonts w:ascii="Times New Roman" w:hAnsi="Times New Roman"/>
                <w:sz w:val="24"/>
                <w:szCs w:val="24"/>
              </w:rPr>
              <w:noBreakHyphen/>
              <w:t>loop materials at scale</w:t>
            </w:r>
            <w:r>
              <w:rPr>
                <w:rFonts w:ascii="Times New Roman" w:hAnsi="Times New Roman"/>
                <w:sz w:val="24"/>
                <w:szCs w:val="24"/>
              </w:rPr>
              <w:br/>
              <w:t>• Battery second</w:t>
            </w:r>
            <w:r>
              <w:rPr>
                <w:rFonts w:ascii="Times New Roman" w:hAnsi="Times New Roman"/>
                <w:sz w:val="24"/>
                <w:szCs w:val="24"/>
              </w:rPr>
              <w:noBreakHyphen/>
              <w:t>life systems</w:t>
            </w:r>
            <w:r>
              <w:rPr>
                <w:rFonts w:ascii="Times New Roman" w:hAnsi="Times New Roman"/>
                <w:sz w:val="24"/>
                <w:szCs w:val="24"/>
              </w:rPr>
              <w:br/>
              <w:t>• Embed lifecycle emissions in design and supplier contracts</w:t>
            </w:r>
          </w:p>
        </w:tc>
        <w:tc>
          <w:tcPr>
            <w:tcW w:w="20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27C174" w14:textId="77777777" w:rsidR="008375D0" w:rsidRDefault="00000000">
            <w:pPr>
              <w:spacing w:line="360" w:lineRule="auto"/>
              <w:rPr>
                <w:rFonts w:ascii="Times New Roman" w:hAnsi="Times New Roman"/>
                <w:sz w:val="24"/>
                <w:szCs w:val="24"/>
              </w:rPr>
            </w:pPr>
            <w:r>
              <w:rPr>
                <w:rFonts w:ascii="Times New Roman" w:hAnsi="Times New Roman"/>
                <w:sz w:val="24"/>
                <w:szCs w:val="24"/>
              </w:rPr>
              <w:t>• Scope 3 intensity</w:t>
            </w:r>
            <w:r>
              <w:rPr>
                <w:rFonts w:ascii="Times New Roman" w:hAnsi="Times New Roman"/>
                <w:sz w:val="24"/>
                <w:szCs w:val="24"/>
              </w:rPr>
              <w:br/>
              <w:t>• Supplier emissions coverage</w:t>
            </w:r>
            <w:r>
              <w:rPr>
                <w:rFonts w:ascii="Times New Roman" w:hAnsi="Times New Roman"/>
                <w:sz w:val="24"/>
                <w:szCs w:val="24"/>
              </w:rPr>
              <w:br/>
              <w:t>• Battery recovery rate</w:t>
            </w:r>
            <w:r>
              <w:rPr>
                <w:rFonts w:ascii="Times New Roman" w:hAnsi="Times New Roman"/>
                <w:sz w:val="24"/>
                <w:szCs w:val="24"/>
              </w:rPr>
              <w:br/>
              <w:t>• Closed</w:t>
            </w:r>
            <w:r>
              <w:rPr>
                <w:rFonts w:ascii="Times New Roman" w:hAnsi="Times New Roman"/>
                <w:sz w:val="24"/>
                <w:szCs w:val="24"/>
              </w:rPr>
              <w:noBreakHyphen/>
              <w:t>loop material share</w:t>
            </w:r>
          </w:p>
        </w:tc>
        <w:tc>
          <w:tcPr>
            <w:tcW w:w="16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7356929" w14:textId="77777777" w:rsidR="008375D0" w:rsidRDefault="00000000">
            <w:pPr>
              <w:spacing w:line="360" w:lineRule="auto"/>
              <w:rPr>
                <w:rFonts w:ascii="Times New Roman" w:hAnsi="Times New Roman"/>
                <w:sz w:val="24"/>
                <w:szCs w:val="24"/>
              </w:rPr>
            </w:pPr>
            <w:r>
              <w:rPr>
                <w:rFonts w:ascii="Times New Roman" w:hAnsi="Times New Roman"/>
                <w:sz w:val="24"/>
                <w:szCs w:val="24"/>
              </w:rPr>
              <w:t>• Regulation volatility drives scenario planning</w:t>
            </w:r>
            <w:r>
              <w:rPr>
                <w:rFonts w:ascii="Times New Roman" w:hAnsi="Times New Roman"/>
                <w:sz w:val="24"/>
                <w:szCs w:val="24"/>
              </w:rPr>
              <w:br/>
              <w:t>• Recycling economics volatility drives diversified partners &amp; flexible contracts</w:t>
            </w:r>
          </w:p>
        </w:tc>
      </w:tr>
    </w:tbl>
    <w:p w14:paraId="17171156" w14:textId="77777777" w:rsidR="008375D0" w:rsidRDefault="008375D0">
      <w:pPr>
        <w:spacing w:line="360" w:lineRule="auto"/>
        <w:rPr>
          <w:rFonts w:ascii="Times New Roman" w:hAnsi="Times New Roman"/>
          <w:b/>
          <w:bCs/>
          <w:sz w:val="24"/>
          <w:szCs w:val="24"/>
        </w:rPr>
      </w:pPr>
    </w:p>
    <w:p w14:paraId="6B00BC4C" w14:textId="77777777" w:rsidR="008375D0" w:rsidRDefault="00000000">
      <w:pPr>
        <w:spacing w:line="360" w:lineRule="auto"/>
      </w:pPr>
      <w:r>
        <w:rPr>
          <w:rFonts w:ascii="Times New Roman" w:hAnsi="Times New Roman"/>
          <w:b/>
          <w:bCs/>
          <w:sz w:val="24"/>
          <w:szCs w:val="24"/>
        </w:rPr>
        <w:t>Governance:</w:t>
      </w:r>
      <w:r>
        <w:rPr>
          <w:rFonts w:ascii="Times New Roman" w:hAnsi="Times New Roman"/>
          <w:sz w:val="24"/>
          <w:szCs w:val="24"/>
        </w:rPr>
        <w:t xml:space="preserve"> COO (resilience), CPO (supply), CTO/CIO (software/cyber), Sustainability Director (circularity), CCO (customer).</w:t>
      </w:r>
    </w:p>
    <w:p w14:paraId="1644A852" w14:textId="77777777" w:rsidR="008375D0" w:rsidRDefault="008375D0">
      <w:pPr>
        <w:spacing w:line="360" w:lineRule="auto"/>
        <w:rPr>
          <w:rFonts w:ascii="Times New Roman" w:hAnsi="Times New Roman"/>
          <w:sz w:val="24"/>
          <w:szCs w:val="24"/>
        </w:rPr>
      </w:pPr>
    </w:p>
    <w:p w14:paraId="62FA1D3D"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Conclusion and Recommendations</w:t>
      </w:r>
    </w:p>
    <w:p w14:paraId="3040A9FE" w14:textId="77777777" w:rsidR="008375D0" w:rsidRDefault="00000000">
      <w:pPr>
        <w:spacing w:line="360" w:lineRule="auto"/>
        <w:rPr>
          <w:rFonts w:ascii="Times New Roman" w:hAnsi="Times New Roman"/>
          <w:sz w:val="24"/>
          <w:szCs w:val="24"/>
        </w:rPr>
      </w:pPr>
      <w:r>
        <w:rPr>
          <w:rFonts w:ascii="Times New Roman" w:hAnsi="Times New Roman"/>
          <w:sz w:val="24"/>
          <w:szCs w:val="24"/>
        </w:rPr>
        <w:t>Jaguar Land Rover’s external context is defined by ZEV regulation, EV value chain restructuring and ecosystem-based rivalry that increasing supplier power and shifts differentiation toward software and lifecycle services. Internal analysis suggests JLR’s luxury brand assets remain strategically valuable, but sustained advantage requires converting capabilities into VRIO conditions through supply security, software governance and staged circularity implementation.</w:t>
      </w:r>
    </w:p>
    <w:p w14:paraId="3BC64047" w14:textId="77777777" w:rsidR="008375D0" w:rsidRDefault="00000000">
      <w:pPr>
        <w:spacing w:line="360" w:lineRule="auto"/>
        <w:rPr>
          <w:rFonts w:ascii="Times New Roman" w:hAnsi="Times New Roman"/>
          <w:sz w:val="24"/>
          <w:szCs w:val="24"/>
        </w:rPr>
      </w:pPr>
      <w:r>
        <w:rPr>
          <w:rFonts w:ascii="Times New Roman" w:hAnsi="Times New Roman"/>
          <w:sz w:val="24"/>
          <w:szCs w:val="24"/>
        </w:rPr>
        <w:t>Recommendations:</w:t>
      </w:r>
    </w:p>
    <w:p w14:paraId="3F9CB6D0" w14:textId="77777777" w:rsidR="008375D0" w:rsidRDefault="00000000">
      <w:pPr>
        <w:spacing w:line="360" w:lineRule="auto"/>
        <w:rPr>
          <w:rFonts w:ascii="Times New Roman" w:hAnsi="Times New Roman"/>
          <w:sz w:val="24"/>
          <w:szCs w:val="24"/>
        </w:rPr>
      </w:pPr>
      <w:r>
        <w:rPr>
          <w:rFonts w:ascii="Times New Roman" w:hAnsi="Times New Roman"/>
          <w:sz w:val="24"/>
          <w:szCs w:val="24"/>
        </w:rPr>
        <w:lastRenderedPageBreak/>
        <w:t xml:space="preserve">These are recommendations: Platform focus and supply security as the primary defensive/offensive move to protect autonomy and margins, build software-defined luxury as the core differentiator and value-capture engine, implement circular luxury in stages, prioritising remanufacturing and battery health assurance first, then scaling closed-loop partnerships, use ecosystem alliances to reduce EV adoption friction (charging/energy/finance bundles), informed by UK charging realities and business model coherence. </w:t>
      </w:r>
    </w:p>
    <w:p w14:paraId="7A1E2D4A" w14:textId="77777777" w:rsidR="008375D0" w:rsidRDefault="00000000">
      <w:pPr>
        <w:spacing w:line="360" w:lineRule="auto"/>
        <w:rPr>
          <w:rFonts w:ascii="Times New Roman" w:hAnsi="Times New Roman"/>
          <w:sz w:val="24"/>
          <w:szCs w:val="24"/>
        </w:rPr>
      </w:pPr>
      <w:r>
        <w:rPr>
          <w:rFonts w:ascii="Times New Roman" w:hAnsi="Times New Roman"/>
          <w:sz w:val="24"/>
          <w:szCs w:val="24"/>
        </w:rPr>
        <w:t>These actions directly address the required learning outcomes by linking external–internal context, critically evaluating strategy development under contemporary disruption, and specifying implementation factors (governance, capability building, risk controls, KPIs).</w:t>
      </w:r>
    </w:p>
    <w:p w14:paraId="72BC6704" w14:textId="77777777" w:rsidR="008375D0" w:rsidRDefault="008375D0">
      <w:pPr>
        <w:pageBreakBefore/>
        <w:rPr>
          <w:rFonts w:ascii="Times New Roman" w:hAnsi="Times New Roman"/>
          <w:b/>
          <w:bCs/>
          <w:sz w:val="24"/>
          <w:szCs w:val="24"/>
        </w:rPr>
      </w:pPr>
    </w:p>
    <w:p w14:paraId="40C8FD76" w14:textId="77777777" w:rsidR="008375D0" w:rsidRDefault="00000000">
      <w:pPr>
        <w:spacing w:line="360" w:lineRule="auto"/>
        <w:rPr>
          <w:rFonts w:ascii="Times New Roman" w:hAnsi="Times New Roman"/>
          <w:b/>
          <w:bCs/>
          <w:sz w:val="24"/>
          <w:szCs w:val="24"/>
        </w:rPr>
      </w:pPr>
      <w:r>
        <w:rPr>
          <w:rFonts w:ascii="Times New Roman" w:hAnsi="Times New Roman"/>
          <w:b/>
          <w:bCs/>
          <w:sz w:val="24"/>
          <w:szCs w:val="24"/>
        </w:rPr>
        <w:t xml:space="preserve">References </w:t>
      </w:r>
    </w:p>
    <w:p w14:paraId="79B07F31" w14:textId="77777777" w:rsidR="008375D0" w:rsidRDefault="00000000">
      <w:pPr>
        <w:spacing w:line="360" w:lineRule="auto"/>
      </w:pPr>
      <w:r>
        <w:rPr>
          <w:rFonts w:ascii="Times New Roman" w:hAnsi="Times New Roman"/>
          <w:sz w:val="24"/>
          <w:szCs w:val="24"/>
        </w:rPr>
        <w:t xml:space="preserve">ACEA (2025) </w:t>
      </w:r>
      <w:r>
        <w:rPr>
          <w:rFonts w:ascii="Times New Roman" w:hAnsi="Times New Roman"/>
          <w:i/>
          <w:iCs/>
          <w:sz w:val="24"/>
          <w:szCs w:val="24"/>
        </w:rPr>
        <w:t>Economic and Market Report: Global and EU auto industry – Full year 2024</w:t>
      </w:r>
      <w:r>
        <w:rPr>
          <w:rFonts w:ascii="Times New Roman" w:hAnsi="Times New Roman"/>
          <w:sz w:val="24"/>
          <w:szCs w:val="24"/>
        </w:rPr>
        <w:t xml:space="preserve">. Brussels: European Automobile Manufacturers’ Association. Available at: </w:t>
      </w:r>
      <w:hyperlink r:id="rId10" w:history="1">
        <w:r>
          <w:rPr>
            <w:rStyle w:val="Hyperlink"/>
            <w:rFonts w:ascii="Times New Roman" w:hAnsi="Times New Roman"/>
            <w:sz w:val="24"/>
            <w:szCs w:val="24"/>
          </w:rPr>
          <w:t>https://www.acea.auto/publication/economic-and-market-report-global-and-eu-auto-industry-full-year-2024/</w:t>
        </w:r>
      </w:hyperlink>
      <w:r>
        <w:rPr>
          <w:rFonts w:ascii="Times New Roman" w:hAnsi="Times New Roman"/>
          <w:sz w:val="24"/>
          <w:szCs w:val="24"/>
        </w:rPr>
        <w:t xml:space="preserve"> (Accessed: 22 February 2026). </w:t>
      </w:r>
    </w:p>
    <w:p w14:paraId="030C6727" w14:textId="77777777" w:rsidR="008375D0" w:rsidRDefault="00000000">
      <w:pPr>
        <w:spacing w:line="360" w:lineRule="auto"/>
      </w:pPr>
      <w:r>
        <w:rPr>
          <w:rFonts w:ascii="Times New Roman" w:hAnsi="Times New Roman"/>
          <w:sz w:val="24"/>
          <w:szCs w:val="24"/>
        </w:rPr>
        <w:t xml:space="preserve">Barney, J. (1991) ‘Firm resources and sustained competitive advantage’, </w:t>
      </w:r>
      <w:r>
        <w:rPr>
          <w:rFonts w:ascii="Times New Roman" w:hAnsi="Times New Roman"/>
          <w:i/>
          <w:iCs/>
          <w:sz w:val="24"/>
          <w:szCs w:val="24"/>
        </w:rPr>
        <w:t>Journal of Management</w:t>
      </w:r>
      <w:r>
        <w:rPr>
          <w:rFonts w:ascii="Times New Roman" w:hAnsi="Times New Roman"/>
          <w:sz w:val="24"/>
          <w:szCs w:val="24"/>
        </w:rPr>
        <w:t>, 17(1), pp. 99–120.</w:t>
      </w:r>
    </w:p>
    <w:p w14:paraId="0DDDE976" w14:textId="77777777" w:rsidR="008375D0" w:rsidRDefault="00000000">
      <w:pPr>
        <w:spacing w:line="360" w:lineRule="auto"/>
      </w:pPr>
      <w:r>
        <w:rPr>
          <w:rFonts w:ascii="Times New Roman" w:hAnsi="Times New Roman"/>
          <w:sz w:val="24"/>
          <w:szCs w:val="24"/>
        </w:rPr>
        <w:t xml:space="preserve">DfT (2025a) </w:t>
      </w:r>
      <w:r>
        <w:rPr>
          <w:rFonts w:ascii="Times New Roman" w:hAnsi="Times New Roman"/>
          <w:i/>
          <w:iCs/>
          <w:sz w:val="24"/>
          <w:szCs w:val="24"/>
        </w:rPr>
        <w:t>The vehicle emissions trading schemes: how to comply</w:t>
      </w:r>
      <w:r>
        <w:rPr>
          <w:rFonts w:ascii="Times New Roman" w:hAnsi="Times New Roman"/>
          <w:sz w:val="24"/>
          <w:szCs w:val="24"/>
        </w:rPr>
        <w:t xml:space="preserve"> (guidance). London: Department for Transport. Available at: </w:t>
      </w:r>
      <w:hyperlink r:id="rId11" w:history="1">
        <w:r>
          <w:rPr>
            <w:rStyle w:val="Hyperlink"/>
            <w:rFonts w:ascii="Times New Roman" w:hAnsi="Times New Roman"/>
            <w:sz w:val="24"/>
            <w:szCs w:val="24"/>
          </w:rPr>
          <w:t>https://assets.publishing.service.gov.uk/media/691de6480dcbf6343e9a2a63/dft-vets-guidance-25.pdf</w:t>
        </w:r>
      </w:hyperlink>
      <w:r>
        <w:rPr>
          <w:rFonts w:ascii="Times New Roman" w:hAnsi="Times New Roman"/>
          <w:sz w:val="24"/>
          <w:szCs w:val="24"/>
        </w:rPr>
        <w:t xml:space="preserve"> (Accessed: 24 February 2026). </w:t>
      </w:r>
    </w:p>
    <w:p w14:paraId="15520061" w14:textId="77777777" w:rsidR="008375D0" w:rsidRDefault="00000000">
      <w:pPr>
        <w:spacing w:line="360" w:lineRule="auto"/>
      </w:pPr>
      <w:r>
        <w:rPr>
          <w:rFonts w:ascii="Times New Roman" w:hAnsi="Times New Roman"/>
          <w:sz w:val="24"/>
          <w:szCs w:val="24"/>
        </w:rPr>
        <w:t xml:space="preserve">DfT (2025b) </w:t>
      </w:r>
      <w:r>
        <w:rPr>
          <w:rFonts w:ascii="Times New Roman" w:hAnsi="Times New Roman"/>
          <w:i/>
          <w:iCs/>
          <w:sz w:val="24"/>
          <w:szCs w:val="24"/>
        </w:rPr>
        <w:t>Electric vehicle public charging infrastructure statistics: October 2025</w:t>
      </w:r>
      <w:r>
        <w:rPr>
          <w:rFonts w:ascii="Times New Roman" w:hAnsi="Times New Roman"/>
          <w:sz w:val="24"/>
          <w:szCs w:val="24"/>
        </w:rPr>
        <w:t xml:space="preserve">. London: Department for Transport. Available at: </w:t>
      </w:r>
      <w:hyperlink r:id="rId12" w:history="1">
        <w:r>
          <w:rPr>
            <w:rStyle w:val="Hyperlink"/>
            <w:rFonts w:ascii="Times New Roman" w:hAnsi="Times New Roman"/>
            <w:sz w:val="24"/>
            <w:szCs w:val="24"/>
          </w:rPr>
          <w:t>https://www.gov.uk/government/statistics/electric-vehicle-public-chargin</w:t>
        </w:r>
        <w:bookmarkStart w:id="0" w:name="_Hlt223262013"/>
        <w:bookmarkStart w:id="1" w:name="_Hlt223262014"/>
        <w:r>
          <w:rPr>
            <w:rStyle w:val="Hyperlink"/>
            <w:rFonts w:ascii="Times New Roman" w:hAnsi="Times New Roman"/>
            <w:sz w:val="24"/>
            <w:szCs w:val="24"/>
          </w:rPr>
          <w:t>g</w:t>
        </w:r>
        <w:bookmarkEnd w:id="0"/>
        <w:bookmarkEnd w:id="1"/>
        <w:r>
          <w:rPr>
            <w:rStyle w:val="Hyperlink"/>
            <w:rFonts w:ascii="Times New Roman" w:hAnsi="Times New Roman"/>
            <w:sz w:val="24"/>
            <w:szCs w:val="24"/>
          </w:rPr>
          <w:t>-infrastructure-statistics-october-2025/electric-vehicle-public-charging-infrastructure-statistics-october-2025</w:t>
        </w:r>
      </w:hyperlink>
      <w:r>
        <w:rPr>
          <w:rFonts w:ascii="Times New Roman" w:hAnsi="Times New Roman"/>
          <w:sz w:val="24"/>
          <w:szCs w:val="24"/>
        </w:rPr>
        <w:t xml:space="preserve"> (Accessed: 21 February 2026). </w:t>
      </w:r>
    </w:p>
    <w:p w14:paraId="05E54FAD" w14:textId="77777777" w:rsidR="008375D0" w:rsidRDefault="00000000">
      <w:pPr>
        <w:spacing w:line="360" w:lineRule="auto"/>
      </w:pPr>
      <w:r>
        <w:rPr>
          <w:rFonts w:ascii="Times New Roman" w:hAnsi="Times New Roman"/>
          <w:sz w:val="24"/>
          <w:szCs w:val="24"/>
        </w:rPr>
        <w:t xml:space="preserve">Du, B., Bryson, J.R. and Qamar, A. (2025) ‘Aspiring towards automotive circularity: A critical review and research agenda’, </w:t>
      </w:r>
      <w:r>
        <w:rPr>
          <w:rFonts w:ascii="Times New Roman" w:hAnsi="Times New Roman"/>
          <w:i/>
          <w:iCs/>
          <w:sz w:val="24"/>
          <w:szCs w:val="24"/>
        </w:rPr>
        <w:t>Journal of Environmental Management</w:t>
      </w:r>
      <w:r>
        <w:rPr>
          <w:rFonts w:ascii="Times New Roman" w:hAnsi="Times New Roman"/>
          <w:sz w:val="24"/>
          <w:szCs w:val="24"/>
        </w:rPr>
        <w:t xml:space="preserve">, 380, 125150. </w:t>
      </w:r>
      <w:hyperlink r:id="rId13" w:history="1">
        <w:r>
          <w:rPr>
            <w:rStyle w:val="Hyperlink"/>
            <w:rFonts w:ascii="Times New Roman" w:hAnsi="Times New Roman"/>
            <w:sz w:val="24"/>
            <w:szCs w:val="24"/>
          </w:rPr>
          <w:t>https://doi.org/10.1016/j.jenvman.2025.125150</w:t>
        </w:r>
      </w:hyperlink>
      <w:r>
        <w:rPr>
          <w:rFonts w:ascii="Times New Roman" w:hAnsi="Times New Roman"/>
          <w:sz w:val="24"/>
          <w:szCs w:val="24"/>
        </w:rPr>
        <w:t xml:space="preserve">. </w:t>
      </w:r>
    </w:p>
    <w:p w14:paraId="492E496F" w14:textId="77777777" w:rsidR="008375D0" w:rsidRDefault="00000000">
      <w:pPr>
        <w:spacing w:line="360" w:lineRule="auto"/>
      </w:pPr>
      <w:r>
        <w:rPr>
          <w:rFonts w:ascii="Times New Roman" w:hAnsi="Times New Roman"/>
          <w:sz w:val="24"/>
          <w:szCs w:val="24"/>
        </w:rPr>
        <w:t xml:space="preserve">Eisenhardt, K.M. and Martin, J.A. (2000) ‘Dynamic capabilities: What are they?’, </w:t>
      </w:r>
      <w:r>
        <w:rPr>
          <w:rFonts w:ascii="Times New Roman" w:hAnsi="Times New Roman"/>
          <w:i/>
          <w:iCs/>
          <w:sz w:val="24"/>
          <w:szCs w:val="24"/>
        </w:rPr>
        <w:t>Strategic Management Journal</w:t>
      </w:r>
      <w:r>
        <w:rPr>
          <w:rFonts w:ascii="Times New Roman" w:hAnsi="Times New Roman"/>
          <w:sz w:val="24"/>
          <w:szCs w:val="24"/>
        </w:rPr>
        <w:t>, 21(10–11), pp. 1105–1121.</w:t>
      </w:r>
    </w:p>
    <w:p w14:paraId="0FC3F9E6" w14:textId="77777777" w:rsidR="008375D0" w:rsidRDefault="00000000">
      <w:pPr>
        <w:spacing w:line="360" w:lineRule="auto"/>
      </w:pPr>
      <w:proofErr w:type="spellStart"/>
      <w:r>
        <w:rPr>
          <w:rFonts w:ascii="Times New Roman" w:hAnsi="Times New Roman"/>
          <w:sz w:val="24"/>
          <w:szCs w:val="24"/>
        </w:rPr>
        <w:t>Gawer</w:t>
      </w:r>
      <w:proofErr w:type="spellEnd"/>
      <w:r>
        <w:rPr>
          <w:rFonts w:ascii="Times New Roman" w:hAnsi="Times New Roman"/>
          <w:sz w:val="24"/>
          <w:szCs w:val="24"/>
        </w:rPr>
        <w:t xml:space="preserve">, A. and Cusumano, M.A. (2014) ‘Industry platforms and ecosystem innovation’, </w:t>
      </w:r>
      <w:r>
        <w:rPr>
          <w:rFonts w:ascii="Times New Roman" w:hAnsi="Times New Roman"/>
          <w:i/>
          <w:iCs/>
          <w:sz w:val="24"/>
          <w:szCs w:val="24"/>
        </w:rPr>
        <w:t>Journal of Product Innovation Management</w:t>
      </w:r>
      <w:r>
        <w:rPr>
          <w:rFonts w:ascii="Times New Roman" w:hAnsi="Times New Roman"/>
          <w:sz w:val="24"/>
          <w:szCs w:val="24"/>
        </w:rPr>
        <w:t xml:space="preserve">, 31(3), pp. 417–433. </w:t>
      </w:r>
      <w:hyperlink r:id="rId14" w:history="1">
        <w:r>
          <w:rPr>
            <w:rStyle w:val="Hyperlink"/>
            <w:rFonts w:ascii="Times New Roman" w:hAnsi="Times New Roman"/>
            <w:sz w:val="24"/>
            <w:szCs w:val="24"/>
          </w:rPr>
          <w:t>https://doi.org/10.1111/jpim.12105</w:t>
        </w:r>
      </w:hyperlink>
      <w:r>
        <w:rPr>
          <w:rFonts w:ascii="Times New Roman" w:hAnsi="Times New Roman"/>
          <w:sz w:val="24"/>
          <w:szCs w:val="24"/>
        </w:rPr>
        <w:t xml:space="preserve">. </w:t>
      </w:r>
    </w:p>
    <w:p w14:paraId="6C56A679" w14:textId="77777777" w:rsidR="008375D0" w:rsidRDefault="00000000">
      <w:pPr>
        <w:spacing w:line="360" w:lineRule="auto"/>
      </w:pPr>
      <w:r>
        <w:rPr>
          <w:rFonts w:ascii="Times New Roman" w:hAnsi="Times New Roman"/>
          <w:sz w:val="24"/>
          <w:szCs w:val="24"/>
        </w:rPr>
        <w:t xml:space="preserve">Gianvincenzi, M. et al. (2024) ‘Systematic review of battery life cycle management’, </w:t>
      </w:r>
      <w:r>
        <w:rPr>
          <w:rFonts w:ascii="Times New Roman" w:hAnsi="Times New Roman"/>
          <w:i/>
          <w:iCs/>
          <w:sz w:val="24"/>
          <w:szCs w:val="24"/>
        </w:rPr>
        <w:t>Sustainability</w:t>
      </w:r>
      <w:r>
        <w:rPr>
          <w:rFonts w:ascii="Times New Roman" w:hAnsi="Times New Roman"/>
          <w:sz w:val="24"/>
          <w:szCs w:val="24"/>
        </w:rPr>
        <w:t xml:space="preserve">, 16(22), 10026. </w:t>
      </w:r>
      <w:hyperlink r:id="rId15" w:history="1">
        <w:r>
          <w:rPr>
            <w:rStyle w:val="Hyperlink"/>
            <w:rFonts w:ascii="Times New Roman" w:hAnsi="Times New Roman"/>
            <w:sz w:val="24"/>
            <w:szCs w:val="24"/>
          </w:rPr>
          <w:t>https://doi.org/10.3390/su162210026</w:t>
        </w:r>
      </w:hyperlink>
      <w:r>
        <w:rPr>
          <w:rFonts w:ascii="Times New Roman" w:hAnsi="Times New Roman"/>
          <w:sz w:val="24"/>
          <w:szCs w:val="24"/>
        </w:rPr>
        <w:t xml:space="preserve">. </w:t>
      </w:r>
    </w:p>
    <w:p w14:paraId="533D5975" w14:textId="77777777" w:rsidR="008375D0" w:rsidRDefault="00000000">
      <w:pPr>
        <w:spacing w:line="360" w:lineRule="auto"/>
      </w:pPr>
      <w:r>
        <w:rPr>
          <w:rFonts w:ascii="Times New Roman" w:hAnsi="Times New Roman"/>
          <w:sz w:val="24"/>
          <w:szCs w:val="24"/>
        </w:rPr>
        <w:t xml:space="preserve">Grant, R.M. (1991) ‘The resource-based theory of competitive advantage: Implications for strategy formulation’, </w:t>
      </w:r>
      <w:r>
        <w:rPr>
          <w:rFonts w:ascii="Times New Roman" w:hAnsi="Times New Roman"/>
          <w:i/>
          <w:iCs/>
          <w:sz w:val="24"/>
          <w:szCs w:val="24"/>
        </w:rPr>
        <w:t>California Management Review</w:t>
      </w:r>
      <w:r>
        <w:rPr>
          <w:rFonts w:ascii="Times New Roman" w:hAnsi="Times New Roman"/>
          <w:sz w:val="24"/>
          <w:szCs w:val="24"/>
        </w:rPr>
        <w:t>, 33(3), pp. 114–135.</w:t>
      </w:r>
    </w:p>
    <w:p w14:paraId="739DADC0" w14:textId="77777777" w:rsidR="008375D0" w:rsidRDefault="00000000">
      <w:pPr>
        <w:spacing w:line="360" w:lineRule="auto"/>
      </w:pPr>
      <w:r>
        <w:rPr>
          <w:rFonts w:ascii="Times New Roman" w:hAnsi="Times New Roman"/>
          <w:sz w:val="24"/>
          <w:szCs w:val="24"/>
        </w:rPr>
        <w:lastRenderedPageBreak/>
        <w:t xml:space="preserve">Huang, W.J. and </w:t>
      </w:r>
      <w:proofErr w:type="spellStart"/>
      <w:r>
        <w:rPr>
          <w:rFonts w:ascii="Times New Roman" w:hAnsi="Times New Roman"/>
          <w:sz w:val="24"/>
          <w:szCs w:val="24"/>
        </w:rPr>
        <w:t>Ichikohji</w:t>
      </w:r>
      <w:proofErr w:type="spellEnd"/>
      <w:r>
        <w:rPr>
          <w:rFonts w:ascii="Times New Roman" w:hAnsi="Times New Roman"/>
          <w:sz w:val="24"/>
          <w:szCs w:val="24"/>
        </w:rPr>
        <w:t xml:space="preserve">, T. (2023) ‘A review and analysis of the business model innovation literature’, </w:t>
      </w:r>
      <w:proofErr w:type="spellStart"/>
      <w:r>
        <w:rPr>
          <w:rFonts w:ascii="Times New Roman" w:hAnsi="Times New Roman"/>
          <w:i/>
          <w:iCs/>
          <w:sz w:val="24"/>
          <w:szCs w:val="24"/>
        </w:rPr>
        <w:t>Heliyon</w:t>
      </w:r>
      <w:proofErr w:type="spellEnd"/>
      <w:r>
        <w:rPr>
          <w:rFonts w:ascii="Times New Roman" w:hAnsi="Times New Roman"/>
          <w:sz w:val="24"/>
          <w:szCs w:val="24"/>
        </w:rPr>
        <w:t xml:space="preserve">, 9(8), e18269. </w:t>
      </w:r>
      <w:hyperlink r:id="rId16" w:history="1">
        <w:r>
          <w:rPr>
            <w:rStyle w:val="Hyperlink"/>
            <w:rFonts w:ascii="Times New Roman" w:hAnsi="Times New Roman"/>
            <w:sz w:val="24"/>
            <w:szCs w:val="24"/>
          </w:rPr>
          <w:t>https://doi.org/10.1016/j.heliyon.2023.e18269</w:t>
        </w:r>
      </w:hyperlink>
      <w:r>
        <w:rPr>
          <w:rFonts w:ascii="Times New Roman" w:hAnsi="Times New Roman"/>
          <w:sz w:val="24"/>
          <w:szCs w:val="24"/>
        </w:rPr>
        <w:t xml:space="preserve">. </w:t>
      </w:r>
    </w:p>
    <w:p w14:paraId="031F8D33" w14:textId="77777777" w:rsidR="008375D0" w:rsidRDefault="00000000">
      <w:pPr>
        <w:spacing w:line="360" w:lineRule="auto"/>
      </w:pPr>
      <w:r>
        <w:rPr>
          <w:rFonts w:ascii="Times New Roman" w:hAnsi="Times New Roman"/>
          <w:sz w:val="24"/>
          <w:szCs w:val="24"/>
        </w:rPr>
        <w:t xml:space="preserve">Johnson, G., Scholes, K. and Whittington, R. (2020) </w:t>
      </w:r>
      <w:r>
        <w:rPr>
          <w:rFonts w:ascii="Times New Roman" w:hAnsi="Times New Roman"/>
          <w:i/>
          <w:iCs/>
          <w:sz w:val="24"/>
          <w:szCs w:val="24"/>
        </w:rPr>
        <w:t>Exploring Corporate Strategy</w:t>
      </w:r>
      <w:r>
        <w:rPr>
          <w:rFonts w:ascii="Times New Roman" w:hAnsi="Times New Roman"/>
          <w:sz w:val="24"/>
          <w:szCs w:val="24"/>
        </w:rPr>
        <w:t xml:space="preserve">. 12th </w:t>
      </w:r>
      <w:proofErr w:type="spellStart"/>
      <w:r>
        <w:rPr>
          <w:rFonts w:ascii="Times New Roman" w:hAnsi="Times New Roman"/>
          <w:sz w:val="24"/>
          <w:szCs w:val="24"/>
        </w:rPr>
        <w:t>edn</w:t>
      </w:r>
      <w:proofErr w:type="spellEnd"/>
      <w:r>
        <w:rPr>
          <w:rFonts w:ascii="Times New Roman" w:hAnsi="Times New Roman"/>
          <w:sz w:val="24"/>
          <w:szCs w:val="24"/>
        </w:rPr>
        <w:t>. Harlow: Pearson.</w:t>
      </w:r>
    </w:p>
    <w:p w14:paraId="6C78871C" w14:textId="77777777" w:rsidR="008375D0" w:rsidRDefault="00000000">
      <w:pPr>
        <w:spacing w:line="360" w:lineRule="auto"/>
      </w:pPr>
      <w:r>
        <w:rPr>
          <w:rFonts w:ascii="Times New Roman" w:hAnsi="Times New Roman"/>
          <w:sz w:val="24"/>
          <w:szCs w:val="24"/>
        </w:rPr>
        <w:t xml:space="preserve">JLR (2021) ‘Jaguar Land Rover reimagines the future of modern luxury by design’. Available at: </w:t>
      </w:r>
      <w:hyperlink r:id="rId17" w:history="1">
        <w:r>
          <w:rPr>
            <w:rStyle w:val="Hyperlink"/>
            <w:rFonts w:ascii="Times New Roman" w:hAnsi="Times New Roman"/>
            <w:sz w:val="24"/>
            <w:szCs w:val="24"/>
          </w:rPr>
          <w:t>https://media.jaguarlandrover.com/news/2021/02/jaguar-land-rover-reimagines-future-modern-luxury-design</w:t>
        </w:r>
      </w:hyperlink>
      <w:r>
        <w:rPr>
          <w:rFonts w:ascii="Times New Roman" w:hAnsi="Times New Roman"/>
          <w:sz w:val="24"/>
          <w:szCs w:val="24"/>
        </w:rPr>
        <w:t xml:space="preserve"> (Accessed: 26 February 2026). </w:t>
      </w:r>
    </w:p>
    <w:p w14:paraId="66E4361B" w14:textId="77777777" w:rsidR="008375D0" w:rsidRDefault="00000000">
      <w:pPr>
        <w:spacing w:line="360" w:lineRule="auto"/>
      </w:pPr>
      <w:r>
        <w:rPr>
          <w:rFonts w:ascii="Times New Roman" w:hAnsi="Times New Roman"/>
          <w:sz w:val="24"/>
          <w:szCs w:val="24"/>
        </w:rPr>
        <w:t xml:space="preserve">JLR (2025a) ‘Sustainability’. Available at: </w:t>
      </w:r>
      <w:hyperlink r:id="rId18" w:history="1">
        <w:r>
          <w:rPr>
            <w:rStyle w:val="Hyperlink"/>
            <w:rFonts w:ascii="Times New Roman" w:hAnsi="Times New Roman"/>
            <w:sz w:val="24"/>
            <w:szCs w:val="24"/>
          </w:rPr>
          <w:t>https://www.jlr.com/sustainability</w:t>
        </w:r>
      </w:hyperlink>
      <w:r>
        <w:rPr>
          <w:rFonts w:ascii="Times New Roman" w:hAnsi="Times New Roman"/>
          <w:sz w:val="24"/>
          <w:szCs w:val="24"/>
        </w:rPr>
        <w:t xml:space="preserve"> (Accessed: 22 February 2026). </w:t>
      </w:r>
    </w:p>
    <w:p w14:paraId="5BFCA12B" w14:textId="77777777" w:rsidR="008375D0" w:rsidRDefault="00000000">
      <w:pPr>
        <w:spacing w:line="360" w:lineRule="auto"/>
      </w:pPr>
      <w:r>
        <w:rPr>
          <w:rFonts w:ascii="Times New Roman" w:hAnsi="Times New Roman"/>
          <w:sz w:val="24"/>
          <w:szCs w:val="24"/>
        </w:rPr>
        <w:t xml:space="preserve">JLR (2025b) </w:t>
      </w:r>
      <w:r>
        <w:rPr>
          <w:rFonts w:ascii="Times New Roman" w:hAnsi="Times New Roman"/>
          <w:i/>
          <w:iCs/>
          <w:sz w:val="24"/>
          <w:szCs w:val="24"/>
        </w:rPr>
        <w:t>Annual Report 2025</w:t>
      </w:r>
      <w:r>
        <w:rPr>
          <w:rFonts w:ascii="Times New Roman" w:hAnsi="Times New Roman"/>
          <w:sz w:val="24"/>
          <w:szCs w:val="24"/>
        </w:rPr>
        <w:t xml:space="preserve">. Available at: </w:t>
      </w:r>
      <w:hyperlink r:id="rId19" w:history="1">
        <w:r>
          <w:rPr>
            <w:rStyle w:val="Hyperlink"/>
            <w:rFonts w:ascii="Times New Roman" w:hAnsi="Times New Roman"/>
            <w:sz w:val="24"/>
            <w:szCs w:val="24"/>
          </w:rPr>
          <w:t>https://www.jlr.com/annual-report-2025</w:t>
        </w:r>
      </w:hyperlink>
      <w:r>
        <w:rPr>
          <w:rFonts w:ascii="Times New Roman" w:hAnsi="Times New Roman"/>
          <w:sz w:val="24"/>
          <w:szCs w:val="24"/>
        </w:rPr>
        <w:t xml:space="preserve"> (Accessed: 22 February 2026). </w:t>
      </w:r>
    </w:p>
    <w:p w14:paraId="05BFD607" w14:textId="77777777" w:rsidR="008375D0" w:rsidRDefault="00000000">
      <w:pPr>
        <w:spacing w:line="360" w:lineRule="auto"/>
      </w:pPr>
      <w:r>
        <w:rPr>
          <w:rFonts w:ascii="Times New Roman" w:hAnsi="Times New Roman"/>
          <w:sz w:val="24"/>
          <w:szCs w:val="24"/>
        </w:rPr>
        <w:t xml:space="preserve">Neri, A., </w:t>
      </w:r>
      <w:proofErr w:type="spellStart"/>
      <w:r>
        <w:rPr>
          <w:rFonts w:ascii="Times New Roman" w:hAnsi="Times New Roman"/>
          <w:sz w:val="24"/>
          <w:szCs w:val="24"/>
        </w:rPr>
        <w:t>Butturi</w:t>
      </w:r>
      <w:proofErr w:type="spellEnd"/>
      <w:r>
        <w:rPr>
          <w:rFonts w:ascii="Times New Roman" w:hAnsi="Times New Roman"/>
          <w:sz w:val="24"/>
          <w:szCs w:val="24"/>
        </w:rPr>
        <w:t xml:space="preserve">, M.A. and Gamberini, R. (2024) ‘Sustainable management of electric vehicle battery remanufacturing: A systematic literature review and future directions’, </w:t>
      </w:r>
      <w:r>
        <w:rPr>
          <w:rFonts w:ascii="Times New Roman" w:hAnsi="Times New Roman"/>
          <w:i/>
          <w:iCs/>
          <w:sz w:val="24"/>
          <w:szCs w:val="24"/>
        </w:rPr>
        <w:t>Journal of Manufacturing Systems</w:t>
      </w:r>
      <w:r>
        <w:rPr>
          <w:rFonts w:ascii="Times New Roman" w:hAnsi="Times New Roman"/>
          <w:sz w:val="24"/>
          <w:szCs w:val="24"/>
        </w:rPr>
        <w:t xml:space="preserve">, 77, pp. 859–874. </w:t>
      </w:r>
      <w:hyperlink r:id="rId20" w:history="1">
        <w:r>
          <w:rPr>
            <w:rStyle w:val="Hyperlink"/>
            <w:rFonts w:ascii="Times New Roman" w:hAnsi="Times New Roman"/>
            <w:sz w:val="24"/>
            <w:szCs w:val="24"/>
          </w:rPr>
          <w:t>https://doi.org/10.1016/j.jmsy.2024.10.006</w:t>
        </w:r>
      </w:hyperlink>
      <w:r>
        <w:rPr>
          <w:rFonts w:ascii="Times New Roman" w:hAnsi="Times New Roman"/>
          <w:sz w:val="24"/>
          <w:szCs w:val="24"/>
        </w:rPr>
        <w:t xml:space="preserve">. </w:t>
      </w:r>
    </w:p>
    <w:p w14:paraId="2B827122" w14:textId="77777777" w:rsidR="008375D0" w:rsidRDefault="00000000">
      <w:pPr>
        <w:spacing w:line="360" w:lineRule="auto"/>
      </w:pPr>
      <w:r>
        <w:rPr>
          <w:rFonts w:ascii="Times New Roman" w:hAnsi="Times New Roman"/>
          <w:sz w:val="24"/>
          <w:szCs w:val="24"/>
        </w:rPr>
        <w:t xml:space="preserve">O’Reilly, C.A. and Tushman, M.L. (2013) ‘Organizational ambidexterity: Past, present, and future’, </w:t>
      </w:r>
      <w:r>
        <w:rPr>
          <w:rFonts w:ascii="Times New Roman" w:hAnsi="Times New Roman"/>
          <w:i/>
          <w:iCs/>
          <w:sz w:val="24"/>
          <w:szCs w:val="24"/>
        </w:rPr>
        <w:t>Academy of Management Perspectives</w:t>
      </w:r>
      <w:r>
        <w:rPr>
          <w:rFonts w:ascii="Times New Roman" w:hAnsi="Times New Roman"/>
          <w:sz w:val="24"/>
          <w:szCs w:val="24"/>
        </w:rPr>
        <w:t xml:space="preserve">, 27(4), pp. 324–338. </w:t>
      </w:r>
      <w:hyperlink r:id="rId21" w:history="1">
        <w:r>
          <w:rPr>
            <w:rStyle w:val="Hyperlink"/>
            <w:rFonts w:ascii="Times New Roman" w:hAnsi="Times New Roman"/>
            <w:sz w:val="24"/>
            <w:szCs w:val="24"/>
          </w:rPr>
          <w:t>https://doi.org/10.5465/amp.2013.0025</w:t>
        </w:r>
      </w:hyperlink>
      <w:r>
        <w:rPr>
          <w:rFonts w:ascii="Times New Roman" w:hAnsi="Times New Roman"/>
          <w:sz w:val="24"/>
          <w:szCs w:val="24"/>
        </w:rPr>
        <w:t>.</w:t>
      </w:r>
    </w:p>
    <w:p w14:paraId="463AEDBB" w14:textId="77777777" w:rsidR="008375D0" w:rsidRDefault="00000000">
      <w:pPr>
        <w:spacing w:line="360" w:lineRule="auto"/>
      </w:pPr>
      <w:r>
        <w:rPr>
          <w:rFonts w:ascii="Times New Roman" w:hAnsi="Times New Roman"/>
          <w:sz w:val="24"/>
          <w:szCs w:val="24"/>
        </w:rPr>
        <w:t xml:space="preserve">Porter, M.E. (1979) ‘How competitive forces shape strategy’, </w:t>
      </w:r>
      <w:r>
        <w:rPr>
          <w:rFonts w:ascii="Times New Roman" w:hAnsi="Times New Roman"/>
          <w:i/>
          <w:iCs/>
          <w:sz w:val="24"/>
          <w:szCs w:val="24"/>
        </w:rPr>
        <w:t>Harvard Business Review</w:t>
      </w:r>
      <w:r>
        <w:rPr>
          <w:rFonts w:ascii="Times New Roman" w:hAnsi="Times New Roman"/>
          <w:sz w:val="24"/>
          <w:szCs w:val="24"/>
        </w:rPr>
        <w:t>, 57(2), pp. 137–145.</w:t>
      </w:r>
    </w:p>
    <w:p w14:paraId="5DBF0A9B" w14:textId="77777777" w:rsidR="008375D0" w:rsidRDefault="00000000">
      <w:pPr>
        <w:spacing w:line="360" w:lineRule="auto"/>
      </w:pPr>
      <w:r>
        <w:rPr>
          <w:rFonts w:ascii="Times New Roman" w:hAnsi="Times New Roman"/>
          <w:sz w:val="24"/>
          <w:szCs w:val="24"/>
        </w:rPr>
        <w:t xml:space="preserve">Porter, M.E. (2008) ‘The five competitive forces that shape strategy’, </w:t>
      </w:r>
      <w:r>
        <w:rPr>
          <w:rFonts w:ascii="Times New Roman" w:hAnsi="Times New Roman"/>
          <w:i/>
          <w:iCs/>
          <w:sz w:val="24"/>
          <w:szCs w:val="24"/>
        </w:rPr>
        <w:t>Harvard Business Review</w:t>
      </w:r>
      <w:r>
        <w:rPr>
          <w:rFonts w:ascii="Times New Roman" w:hAnsi="Times New Roman"/>
          <w:sz w:val="24"/>
          <w:szCs w:val="24"/>
        </w:rPr>
        <w:t>, 86(1), pp. 78–93.</w:t>
      </w:r>
    </w:p>
    <w:p w14:paraId="0506B6D3" w14:textId="77777777" w:rsidR="008375D0" w:rsidRDefault="00000000">
      <w:pPr>
        <w:spacing w:line="360" w:lineRule="auto"/>
      </w:pPr>
      <w:r>
        <w:rPr>
          <w:rFonts w:ascii="Times New Roman" w:hAnsi="Times New Roman"/>
          <w:sz w:val="24"/>
          <w:szCs w:val="24"/>
        </w:rPr>
        <w:t xml:space="preserve">Ramani, V. et al. (2022) ‘Understanding systemic disruption from the Covid-19-induced semiconductor shortage for the auto industry’, </w:t>
      </w:r>
      <w:r>
        <w:rPr>
          <w:rFonts w:ascii="Times New Roman" w:hAnsi="Times New Roman"/>
          <w:i/>
          <w:iCs/>
          <w:sz w:val="24"/>
          <w:szCs w:val="24"/>
        </w:rPr>
        <w:t>Omega</w:t>
      </w:r>
      <w:r>
        <w:rPr>
          <w:rFonts w:ascii="Times New Roman" w:hAnsi="Times New Roman"/>
          <w:sz w:val="24"/>
          <w:szCs w:val="24"/>
        </w:rPr>
        <w:t xml:space="preserve">, 109, 102619. </w:t>
      </w:r>
      <w:hyperlink r:id="rId22" w:history="1">
        <w:r>
          <w:rPr>
            <w:rStyle w:val="Hyperlink"/>
            <w:rFonts w:ascii="Times New Roman" w:hAnsi="Times New Roman"/>
            <w:sz w:val="24"/>
            <w:szCs w:val="24"/>
          </w:rPr>
          <w:t>https://doi.org/10.1016/j.omega.2022.102619</w:t>
        </w:r>
      </w:hyperlink>
      <w:r>
        <w:rPr>
          <w:rFonts w:ascii="Times New Roman" w:hAnsi="Times New Roman"/>
          <w:sz w:val="24"/>
          <w:szCs w:val="24"/>
        </w:rPr>
        <w:t xml:space="preserve">. </w:t>
      </w:r>
    </w:p>
    <w:p w14:paraId="6DA0804F" w14:textId="77777777" w:rsidR="008375D0" w:rsidRDefault="00000000">
      <w:pPr>
        <w:spacing w:line="360" w:lineRule="auto"/>
      </w:pPr>
      <w:r>
        <w:rPr>
          <w:rFonts w:ascii="Times New Roman" w:hAnsi="Times New Roman"/>
          <w:sz w:val="24"/>
          <w:szCs w:val="24"/>
        </w:rPr>
        <w:t xml:space="preserve">Ramos, M.R. and Ruiz-Gálvez, M.E. (2024) ‘The transformation of the automotive industry toward electrification and its impact on global value chains: Inter-plant competition, employment, and supply chains’, </w:t>
      </w:r>
      <w:r>
        <w:rPr>
          <w:rFonts w:ascii="Times New Roman" w:hAnsi="Times New Roman"/>
          <w:i/>
          <w:iCs/>
          <w:sz w:val="24"/>
          <w:szCs w:val="24"/>
        </w:rPr>
        <w:t>European Research on Management and Business Economics</w:t>
      </w:r>
      <w:r>
        <w:rPr>
          <w:rFonts w:ascii="Times New Roman" w:hAnsi="Times New Roman"/>
          <w:sz w:val="24"/>
          <w:szCs w:val="24"/>
        </w:rPr>
        <w:t xml:space="preserve">, 30, 100242. </w:t>
      </w:r>
      <w:hyperlink r:id="rId23" w:history="1">
        <w:r>
          <w:rPr>
            <w:rStyle w:val="Hyperlink"/>
            <w:rFonts w:ascii="Times New Roman" w:hAnsi="Times New Roman"/>
            <w:sz w:val="24"/>
            <w:szCs w:val="24"/>
          </w:rPr>
          <w:t>https://doi.org/10.1016/j.iedeen.2024.100242</w:t>
        </w:r>
      </w:hyperlink>
      <w:r>
        <w:rPr>
          <w:rFonts w:ascii="Times New Roman" w:hAnsi="Times New Roman"/>
          <w:sz w:val="24"/>
          <w:szCs w:val="24"/>
        </w:rPr>
        <w:t xml:space="preserve">. </w:t>
      </w:r>
    </w:p>
    <w:p w14:paraId="416757BA" w14:textId="77777777" w:rsidR="008375D0" w:rsidRDefault="00000000">
      <w:pPr>
        <w:spacing w:line="360" w:lineRule="auto"/>
      </w:pPr>
      <w:proofErr w:type="spellStart"/>
      <w:r>
        <w:rPr>
          <w:rFonts w:ascii="Times New Roman" w:hAnsi="Times New Roman"/>
          <w:sz w:val="24"/>
          <w:szCs w:val="24"/>
        </w:rPr>
        <w:lastRenderedPageBreak/>
        <w:t>Rumelt</w:t>
      </w:r>
      <w:proofErr w:type="spellEnd"/>
      <w:r>
        <w:rPr>
          <w:rFonts w:ascii="Times New Roman" w:hAnsi="Times New Roman"/>
          <w:sz w:val="24"/>
          <w:szCs w:val="24"/>
        </w:rPr>
        <w:t xml:space="preserve">, R.P. (2011) </w:t>
      </w:r>
      <w:r>
        <w:rPr>
          <w:rFonts w:ascii="Times New Roman" w:hAnsi="Times New Roman"/>
          <w:i/>
          <w:iCs/>
          <w:sz w:val="24"/>
          <w:szCs w:val="24"/>
        </w:rPr>
        <w:t>Good Strategy/Bad Strategy: The Difference and Why It Matters</w:t>
      </w:r>
      <w:r>
        <w:rPr>
          <w:rFonts w:ascii="Times New Roman" w:hAnsi="Times New Roman"/>
          <w:sz w:val="24"/>
          <w:szCs w:val="24"/>
        </w:rPr>
        <w:t>. New York: Crown Business.</w:t>
      </w:r>
    </w:p>
    <w:p w14:paraId="349D4C51" w14:textId="77777777" w:rsidR="008375D0" w:rsidRDefault="00000000">
      <w:pPr>
        <w:spacing w:line="360" w:lineRule="auto"/>
      </w:pPr>
      <w:r>
        <w:rPr>
          <w:rFonts w:ascii="Times New Roman" w:hAnsi="Times New Roman"/>
          <w:sz w:val="24"/>
          <w:szCs w:val="24"/>
        </w:rPr>
        <w:t xml:space="preserve">SMMT (2026) ‘UK new car market breaches two million as almost one in four buyers go electric’. London: Society of Motor Manufacturers and Traders. Available at: </w:t>
      </w:r>
      <w:hyperlink r:id="rId24" w:history="1">
        <w:r>
          <w:rPr>
            <w:rStyle w:val="Hyperlink"/>
            <w:rFonts w:ascii="Times New Roman" w:hAnsi="Times New Roman"/>
            <w:sz w:val="24"/>
            <w:szCs w:val="24"/>
          </w:rPr>
          <w:t>https://www.smmt.co.uk/uk-new-car-market-breaches-two-million-as-almost-one-in-four-buyers-go-electric/</w:t>
        </w:r>
      </w:hyperlink>
      <w:r>
        <w:rPr>
          <w:rFonts w:ascii="Times New Roman" w:hAnsi="Times New Roman"/>
          <w:sz w:val="24"/>
          <w:szCs w:val="24"/>
        </w:rPr>
        <w:t xml:space="preserve"> (Accessed: 23 February 2026). </w:t>
      </w:r>
    </w:p>
    <w:p w14:paraId="11859FC9" w14:textId="77777777" w:rsidR="008375D0" w:rsidRDefault="00000000">
      <w:pPr>
        <w:spacing w:line="360" w:lineRule="auto"/>
      </w:pPr>
      <w:r>
        <w:rPr>
          <w:rFonts w:ascii="Times New Roman" w:hAnsi="Times New Roman"/>
          <w:sz w:val="24"/>
          <w:szCs w:val="24"/>
        </w:rPr>
        <w:t xml:space="preserve">Teece, D.J. (2007) ‘Explicating dynamic capabilities: The nature and </w:t>
      </w:r>
      <w:proofErr w:type="spellStart"/>
      <w:r>
        <w:rPr>
          <w:rFonts w:ascii="Times New Roman" w:hAnsi="Times New Roman"/>
          <w:sz w:val="24"/>
          <w:szCs w:val="24"/>
        </w:rPr>
        <w:t>microfoundations</w:t>
      </w:r>
      <w:proofErr w:type="spellEnd"/>
      <w:r>
        <w:rPr>
          <w:rFonts w:ascii="Times New Roman" w:hAnsi="Times New Roman"/>
          <w:sz w:val="24"/>
          <w:szCs w:val="24"/>
        </w:rPr>
        <w:t xml:space="preserve"> of (sustainable) enterprise performance’, </w:t>
      </w:r>
      <w:r>
        <w:rPr>
          <w:rFonts w:ascii="Times New Roman" w:hAnsi="Times New Roman"/>
          <w:i/>
          <w:iCs/>
          <w:sz w:val="24"/>
          <w:szCs w:val="24"/>
        </w:rPr>
        <w:t>Strategic Management Journal</w:t>
      </w:r>
      <w:r>
        <w:rPr>
          <w:rFonts w:ascii="Times New Roman" w:hAnsi="Times New Roman"/>
          <w:sz w:val="24"/>
          <w:szCs w:val="24"/>
        </w:rPr>
        <w:t>, 28(13), pp. 1319–1350.</w:t>
      </w:r>
    </w:p>
    <w:p w14:paraId="4E4FAC20" w14:textId="77777777" w:rsidR="008375D0" w:rsidRDefault="00000000">
      <w:pPr>
        <w:spacing w:line="360" w:lineRule="auto"/>
      </w:pPr>
      <w:r>
        <w:rPr>
          <w:rFonts w:ascii="Times New Roman" w:hAnsi="Times New Roman"/>
          <w:sz w:val="24"/>
          <w:szCs w:val="24"/>
        </w:rPr>
        <w:t xml:space="preserve">Zott, C., Amit, R. and Massa, L. (2011) ‘The business model: Recent developments and future research’, </w:t>
      </w:r>
      <w:r>
        <w:rPr>
          <w:rFonts w:ascii="Times New Roman" w:hAnsi="Times New Roman"/>
          <w:i/>
          <w:iCs/>
          <w:sz w:val="24"/>
          <w:szCs w:val="24"/>
        </w:rPr>
        <w:t>Journal of Management</w:t>
      </w:r>
      <w:r>
        <w:rPr>
          <w:rFonts w:ascii="Times New Roman" w:hAnsi="Times New Roman"/>
          <w:sz w:val="24"/>
          <w:szCs w:val="24"/>
        </w:rPr>
        <w:t xml:space="preserve">, 37(4), pp. 1019–1042. </w:t>
      </w:r>
      <w:hyperlink r:id="rId25" w:history="1">
        <w:r>
          <w:rPr>
            <w:rStyle w:val="Hyperlink"/>
            <w:rFonts w:ascii="Times New Roman" w:hAnsi="Times New Roman"/>
            <w:sz w:val="24"/>
            <w:szCs w:val="24"/>
          </w:rPr>
          <w:t>https://doi.org/10.1177/0149206311406265</w:t>
        </w:r>
      </w:hyperlink>
      <w:r>
        <w:rPr>
          <w:rFonts w:ascii="Times New Roman" w:hAnsi="Times New Roman"/>
          <w:sz w:val="24"/>
          <w:szCs w:val="24"/>
        </w:rPr>
        <w:t xml:space="preserve">. </w:t>
      </w:r>
    </w:p>
    <w:p w14:paraId="618B13C0" w14:textId="77777777" w:rsidR="008375D0" w:rsidRDefault="008375D0">
      <w:pPr>
        <w:spacing w:line="360" w:lineRule="auto"/>
        <w:rPr>
          <w:rFonts w:ascii="Times New Roman" w:hAnsi="Times New Roman"/>
          <w:sz w:val="24"/>
          <w:szCs w:val="24"/>
        </w:rPr>
      </w:pPr>
    </w:p>
    <w:p w14:paraId="2F819B92" w14:textId="77777777" w:rsidR="008375D0" w:rsidRDefault="008375D0"/>
    <w:p w14:paraId="1A39FC52" w14:textId="77777777" w:rsidR="008375D0" w:rsidRDefault="008375D0"/>
    <w:sectPr w:rsidR="008375D0">
      <w:headerReference w:type="default" r:id="rId26"/>
      <w:footerReference w:type="default" r:id="rId2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CFC14" w14:textId="77777777" w:rsidR="00684A9A" w:rsidRDefault="00684A9A">
      <w:pPr>
        <w:spacing w:after="0" w:line="240" w:lineRule="auto"/>
      </w:pPr>
      <w:r>
        <w:separator/>
      </w:r>
    </w:p>
  </w:endnote>
  <w:endnote w:type="continuationSeparator" w:id="0">
    <w:p w14:paraId="159D1D5F" w14:textId="77777777" w:rsidR="00684A9A" w:rsidRDefault="00684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DDAD34" w14:textId="77777777" w:rsidR="00000000" w:rsidRDefault="00000000">
    <w:pPr>
      <w:pStyle w:val="Footer"/>
      <w:jc w:val="center"/>
    </w:pPr>
    <w:r>
      <w:fldChar w:fldCharType="begin"/>
    </w:r>
    <w:r>
      <w:instrText xml:space="preserve"> PAGE </w:instrText>
    </w:r>
    <w:r>
      <w:fldChar w:fldCharType="separate"/>
    </w:r>
    <w:r>
      <w:t>2</w:t>
    </w:r>
    <w:r>
      <w:fldChar w:fldCharType="end"/>
    </w:r>
  </w:p>
  <w:p w14:paraId="0C4A5B7E"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01E03" w14:textId="77777777" w:rsidR="00684A9A" w:rsidRDefault="00684A9A">
      <w:pPr>
        <w:spacing w:after="0" w:line="240" w:lineRule="auto"/>
      </w:pPr>
      <w:r>
        <w:rPr>
          <w:color w:val="000000"/>
        </w:rPr>
        <w:separator/>
      </w:r>
    </w:p>
  </w:footnote>
  <w:footnote w:type="continuationSeparator" w:id="0">
    <w:p w14:paraId="485484F8" w14:textId="77777777" w:rsidR="00684A9A" w:rsidRDefault="00684A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34D639" w14:textId="77777777" w:rsidR="00000000" w:rsidRDefault="00000000">
    <w:pPr>
      <w:pStyle w:val="Header"/>
    </w:pPr>
    <w:r>
      <w:rPr>
        <w:rFonts w:ascii="Times New Roman" w:hAnsi="Times New Roman"/>
        <w:noProof/>
        <w:sz w:val="24"/>
        <w:szCs w:val="24"/>
        <w:lang w:val="en-GB" w:eastAsia="en-GB"/>
      </w:rPr>
      <w:drawing>
        <wp:inline distT="0" distB="0" distL="0" distR="0" wp14:anchorId="47C19B97" wp14:editId="697AB9BC">
          <wp:extent cx="1813556" cy="723903"/>
          <wp:effectExtent l="0" t="0" r="0" b="0"/>
          <wp:docPr id="200326225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alphaModFix amt="50000"/>
                  </a:blip>
                  <a:srcRect/>
                  <a:stretch>
                    <a:fillRect/>
                  </a:stretch>
                </pic:blipFill>
                <pic:spPr>
                  <a:xfrm>
                    <a:off x="0" y="0"/>
                    <a:ext cx="1813556" cy="723903"/>
                  </a:xfrm>
                  <a:prstGeom prst="rect">
                    <a:avLst/>
                  </a:prstGeom>
                  <a:noFill/>
                  <a:ln>
                    <a:noFill/>
                    <a:prstDash/>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6867E3"/>
    <w:multiLevelType w:val="multilevel"/>
    <w:tmpl w:val="917EF3F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E4F6402"/>
    <w:multiLevelType w:val="multilevel"/>
    <w:tmpl w:val="B8762A7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419327943">
    <w:abstractNumId w:val="0"/>
  </w:num>
  <w:num w:numId="2" w16cid:durableId="6445107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375D0"/>
    <w:rsid w:val="00684A9A"/>
    <w:rsid w:val="00714F0C"/>
    <w:rsid w:val="00816B6B"/>
    <w:rsid w:val="008375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D38ED"/>
  <w15:docId w15:val="{5F9D611D-FE9C-4526-83AB-10C6B6255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IN"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9" w:lineRule="auto"/>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Aptos" w:eastAsia="Aptos" w:hAnsi="Aptos" w:cs="Times New Roman"/>
      <w:kern w:val="3"/>
    </w:rPr>
  </w:style>
  <w:style w:type="paragraph" w:customStyle="1" w:styleId="TableParagraph">
    <w:name w:val="Table Paragraph"/>
    <w:basedOn w:val="Normal"/>
    <w:pPr>
      <w:widowControl w:val="0"/>
      <w:autoSpaceDE w:val="0"/>
      <w:spacing w:after="0" w:line="240" w:lineRule="auto"/>
      <w:ind w:left="107"/>
    </w:pPr>
    <w:rPr>
      <w:rFonts w:ascii="Arial" w:eastAsia="Arial" w:hAnsi="Arial" w:cs="Arial"/>
      <w:kern w:val="0"/>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Aptos" w:eastAsia="Aptos" w:hAnsi="Aptos" w:cs="Times New Roman"/>
      <w:kern w:val="3"/>
    </w:rPr>
  </w:style>
  <w:style w:type="character" w:styleId="FollowedHyperlink">
    <w:name w:val="FollowedHyperlink"/>
    <w:basedOn w:val="DefaultParagraphFont"/>
    <w:rPr>
      <w:color w:val="96607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jenvman.2025.125150" TargetMode="External"/><Relationship Id="rId18" Type="http://schemas.openxmlformats.org/officeDocument/2006/relationships/hyperlink" Target="https://www.jlr.com/sustainability"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5465/amp.2013.0025" TargetMode="External"/><Relationship Id="rId7" Type="http://schemas.openxmlformats.org/officeDocument/2006/relationships/image" Target="media/image1.png"/><Relationship Id="rId12" Type="http://schemas.openxmlformats.org/officeDocument/2006/relationships/hyperlink" Target="https://www.gov.uk/government/statistics/electric-vehicle-public-charging-infrastructure-statistics-october-2025/electric-vehicle-public-charging-infrastructure-statistics-october-2025" TargetMode="External"/><Relationship Id="rId17" Type="http://schemas.openxmlformats.org/officeDocument/2006/relationships/hyperlink" Target="https://media.jaguarlandrover.com/news/2021/02/jaguar-land-rover-reimagines-future-modern-luxury-design" TargetMode="External"/><Relationship Id="rId25" Type="http://schemas.openxmlformats.org/officeDocument/2006/relationships/hyperlink" Target="https://doi.org/10.1177/0149206311406265" TargetMode="External"/><Relationship Id="rId2" Type="http://schemas.openxmlformats.org/officeDocument/2006/relationships/styles" Target="styles.xml"/><Relationship Id="rId16" Type="http://schemas.openxmlformats.org/officeDocument/2006/relationships/hyperlink" Target="https://doi.org/10.1016/j.heliyon.2023.e18269" TargetMode="External"/><Relationship Id="rId20" Type="http://schemas.openxmlformats.org/officeDocument/2006/relationships/hyperlink" Target="https://doi.org/10.1016/j.jmsy.2024.10.006"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691de6480dcbf6343e9a2a63/dft-vets-guidance-25.pdf" TargetMode="External"/><Relationship Id="rId24" Type="http://schemas.openxmlformats.org/officeDocument/2006/relationships/hyperlink" Target="https://www.smmt.co.uk/uk-new-car-market-breaches-two-million-as-almost-one-in-four-buyers-go-electric/" TargetMode="External"/><Relationship Id="rId5" Type="http://schemas.openxmlformats.org/officeDocument/2006/relationships/footnotes" Target="footnotes.xml"/><Relationship Id="rId15" Type="http://schemas.openxmlformats.org/officeDocument/2006/relationships/hyperlink" Target="https://doi.org/10.3390/su162210026" TargetMode="External"/><Relationship Id="rId23" Type="http://schemas.openxmlformats.org/officeDocument/2006/relationships/hyperlink" Target="https://doi.org/10.1016/j.iedeen.2024.100242" TargetMode="External"/><Relationship Id="rId28" Type="http://schemas.openxmlformats.org/officeDocument/2006/relationships/fontTable" Target="fontTable.xml"/><Relationship Id="rId10" Type="http://schemas.openxmlformats.org/officeDocument/2006/relationships/hyperlink" Target="https://www.acea.auto/publication/economic-and-market-report-global-and-eu-auto-industry-full-year-2024/" TargetMode="External"/><Relationship Id="rId19" Type="http://schemas.openxmlformats.org/officeDocument/2006/relationships/hyperlink" Target="https://www.jlr.com/annual-report-202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11/jpim.12105" TargetMode="External"/><Relationship Id="rId22" Type="http://schemas.openxmlformats.org/officeDocument/2006/relationships/hyperlink" Target="https://doi.org/10.1016/j.omega.2022.102619"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3755</Words>
  <Characters>21404</Characters>
  <Application>Microsoft Office Word</Application>
  <DocSecurity>0</DocSecurity>
  <Lines>178</Lines>
  <Paragraphs>50</Paragraphs>
  <ScaleCrop>false</ScaleCrop>
  <Company/>
  <LinksUpToDate>false</LinksUpToDate>
  <CharactersWithSpaces>25109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Rajwinder Kaur</dc:creator>
  <dc:description/>
  <cp:lastModifiedBy>deep kaur</cp:lastModifiedBy>
  <cp:revision>2</cp:revision>
  <dcterms:created xsi:type="dcterms:W3CDTF">2026-03-01T12:56:00Z</dcterms:created>
  <dcterms:modified xsi:type="dcterms:W3CDTF">2026-03-01T12:56:00Z</dcterms:modified>
</cp:coreProperties>
</file>