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23104" w14:textId="444F6A41" w:rsidR="00FC0C58" w:rsidRDefault="00FC0C58" w:rsidP="00EA6AE2">
      <w:pPr>
        <w:rPr>
          <w:rFonts w:ascii="Arial" w:hAnsi="Arial" w:cs="Arial"/>
          <w:sz w:val="96"/>
          <w:szCs w:val="96"/>
        </w:rPr>
      </w:pPr>
    </w:p>
    <w:p w14:paraId="35AC0692" w14:textId="0ECE2366" w:rsidR="00FC0C58" w:rsidRPr="00EA6AE2" w:rsidRDefault="00FC0C58" w:rsidP="00EA6AE2">
      <w:pPr>
        <w:jc w:val="center"/>
        <w:rPr>
          <w:rFonts w:ascii="Arial" w:hAnsi="Arial" w:cs="Arial"/>
          <w:sz w:val="56"/>
          <w:szCs w:val="56"/>
        </w:rPr>
      </w:pPr>
      <w:r w:rsidRPr="00EA6AE2">
        <w:rPr>
          <w:rFonts w:ascii="Arial" w:hAnsi="Arial" w:cs="Arial"/>
          <w:sz w:val="56"/>
          <w:szCs w:val="56"/>
        </w:rPr>
        <w:t>Analysing the difference in anxiety before and after a</w:t>
      </w:r>
      <w:r w:rsidR="001B4064" w:rsidRPr="00EA6AE2">
        <w:rPr>
          <w:rFonts w:ascii="Arial" w:hAnsi="Arial" w:cs="Arial"/>
          <w:sz w:val="56"/>
          <w:szCs w:val="56"/>
        </w:rPr>
        <w:t xml:space="preserve"> </w:t>
      </w:r>
      <w:r w:rsidRPr="00EA6AE2">
        <w:rPr>
          <w:rFonts w:ascii="Arial" w:hAnsi="Arial" w:cs="Arial"/>
          <w:sz w:val="56"/>
          <w:szCs w:val="56"/>
        </w:rPr>
        <w:t xml:space="preserve">CBT </w:t>
      </w:r>
      <w:r w:rsidR="001B4064" w:rsidRPr="00EA6AE2">
        <w:rPr>
          <w:rFonts w:ascii="Arial" w:hAnsi="Arial" w:cs="Arial"/>
          <w:sz w:val="56"/>
          <w:szCs w:val="56"/>
        </w:rPr>
        <w:t>short-course</w:t>
      </w:r>
    </w:p>
    <w:p w14:paraId="6169E91A" w14:textId="3720737F" w:rsidR="001B4064" w:rsidRDefault="001B4064" w:rsidP="00FC0C58">
      <w:pPr>
        <w:jc w:val="center"/>
        <w:rPr>
          <w:rFonts w:ascii="Arial" w:hAnsi="Arial" w:cs="Arial"/>
          <w:sz w:val="96"/>
          <w:szCs w:val="96"/>
        </w:rPr>
      </w:pPr>
    </w:p>
    <w:p w14:paraId="72FB9BEF" w14:textId="399A26FF" w:rsidR="001B4064" w:rsidRDefault="001B4064" w:rsidP="00FC0C58">
      <w:pPr>
        <w:jc w:val="center"/>
        <w:rPr>
          <w:rFonts w:ascii="Arial" w:hAnsi="Arial" w:cs="Arial"/>
          <w:sz w:val="96"/>
          <w:szCs w:val="96"/>
        </w:rPr>
      </w:pPr>
    </w:p>
    <w:p w14:paraId="69D6D22F" w14:textId="714A5533" w:rsidR="001B4064" w:rsidRDefault="001B4064" w:rsidP="00FC0C58">
      <w:pPr>
        <w:jc w:val="center"/>
        <w:rPr>
          <w:rFonts w:ascii="Arial" w:hAnsi="Arial" w:cs="Arial"/>
          <w:sz w:val="96"/>
          <w:szCs w:val="96"/>
        </w:rPr>
      </w:pPr>
    </w:p>
    <w:p w14:paraId="4BB37698" w14:textId="1530AB37" w:rsidR="001B4064" w:rsidRDefault="001B4064" w:rsidP="00FC0C58">
      <w:pPr>
        <w:jc w:val="center"/>
        <w:rPr>
          <w:rFonts w:ascii="Arial" w:hAnsi="Arial" w:cs="Arial"/>
          <w:sz w:val="24"/>
          <w:szCs w:val="24"/>
        </w:rPr>
      </w:pPr>
    </w:p>
    <w:p w14:paraId="07252870" w14:textId="378D00CB" w:rsidR="001B4064" w:rsidRDefault="001B4064" w:rsidP="00FC0C58">
      <w:pPr>
        <w:jc w:val="center"/>
        <w:rPr>
          <w:rFonts w:ascii="Arial" w:hAnsi="Arial" w:cs="Arial"/>
          <w:sz w:val="24"/>
          <w:szCs w:val="24"/>
        </w:rPr>
      </w:pPr>
    </w:p>
    <w:p w14:paraId="462294B5" w14:textId="77777777" w:rsidR="00D23E8A" w:rsidRDefault="00D23E8A" w:rsidP="00260A09">
      <w:pPr>
        <w:rPr>
          <w:rFonts w:ascii="Arial" w:hAnsi="Arial" w:cs="Arial"/>
          <w:b/>
          <w:bCs/>
          <w:sz w:val="24"/>
          <w:szCs w:val="24"/>
        </w:rPr>
      </w:pPr>
    </w:p>
    <w:p w14:paraId="69741FA2" w14:textId="77777777" w:rsidR="00D23E8A" w:rsidRDefault="00D23E8A" w:rsidP="00260A09">
      <w:pPr>
        <w:rPr>
          <w:rFonts w:ascii="Arial" w:hAnsi="Arial" w:cs="Arial"/>
          <w:b/>
          <w:bCs/>
          <w:sz w:val="24"/>
          <w:szCs w:val="24"/>
        </w:rPr>
      </w:pPr>
    </w:p>
    <w:p w14:paraId="2672A0EF" w14:textId="77777777" w:rsidR="00D23E8A" w:rsidRDefault="00D23E8A" w:rsidP="00260A09">
      <w:pPr>
        <w:rPr>
          <w:rFonts w:ascii="Arial" w:hAnsi="Arial" w:cs="Arial"/>
          <w:b/>
          <w:bCs/>
          <w:sz w:val="24"/>
          <w:szCs w:val="24"/>
        </w:rPr>
      </w:pPr>
    </w:p>
    <w:p w14:paraId="63B9FE3D" w14:textId="77777777" w:rsidR="00D23E8A" w:rsidRDefault="00D23E8A" w:rsidP="00260A09">
      <w:pPr>
        <w:rPr>
          <w:rFonts w:ascii="Arial" w:hAnsi="Arial" w:cs="Arial"/>
          <w:b/>
          <w:bCs/>
          <w:sz w:val="24"/>
          <w:szCs w:val="24"/>
        </w:rPr>
      </w:pPr>
    </w:p>
    <w:p w14:paraId="24209C8C" w14:textId="77777777" w:rsidR="00EA6AE2" w:rsidRDefault="00EA6AE2" w:rsidP="00D11D4E">
      <w:pPr>
        <w:jc w:val="center"/>
        <w:rPr>
          <w:rFonts w:ascii="Arial" w:hAnsi="Arial" w:cs="Arial"/>
          <w:b/>
          <w:bCs/>
          <w:sz w:val="24"/>
          <w:szCs w:val="24"/>
        </w:rPr>
      </w:pPr>
    </w:p>
    <w:p w14:paraId="4D09EEBB" w14:textId="77777777" w:rsidR="00EA6AE2" w:rsidRDefault="00EA6AE2" w:rsidP="00D11D4E">
      <w:pPr>
        <w:jc w:val="center"/>
        <w:rPr>
          <w:rFonts w:ascii="Arial" w:hAnsi="Arial" w:cs="Arial"/>
          <w:b/>
          <w:bCs/>
          <w:sz w:val="24"/>
          <w:szCs w:val="24"/>
        </w:rPr>
      </w:pPr>
    </w:p>
    <w:p w14:paraId="6D0CC532" w14:textId="77777777" w:rsidR="00EA6AE2" w:rsidRDefault="00EA6AE2" w:rsidP="00D11D4E">
      <w:pPr>
        <w:jc w:val="center"/>
        <w:rPr>
          <w:rFonts w:ascii="Arial" w:hAnsi="Arial" w:cs="Arial"/>
          <w:b/>
          <w:bCs/>
          <w:sz w:val="24"/>
          <w:szCs w:val="24"/>
        </w:rPr>
      </w:pPr>
    </w:p>
    <w:p w14:paraId="00A79E48" w14:textId="77777777" w:rsidR="00EA6AE2" w:rsidRDefault="00EA6AE2" w:rsidP="00D11D4E">
      <w:pPr>
        <w:jc w:val="center"/>
        <w:rPr>
          <w:rFonts w:ascii="Arial" w:hAnsi="Arial" w:cs="Arial"/>
          <w:b/>
          <w:bCs/>
          <w:sz w:val="24"/>
          <w:szCs w:val="24"/>
        </w:rPr>
      </w:pPr>
    </w:p>
    <w:p w14:paraId="12A244DE" w14:textId="77777777" w:rsidR="00EA6AE2" w:rsidRDefault="00EA6AE2" w:rsidP="00D11D4E">
      <w:pPr>
        <w:jc w:val="center"/>
        <w:rPr>
          <w:rFonts w:ascii="Arial" w:hAnsi="Arial" w:cs="Arial"/>
          <w:b/>
          <w:bCs/>
          <w:sz w:val="24"/>
          <w:szCs w:val="24"/>
        </w:rPr>
      </w:pPr>
    </w:p>
    <w:p w14:paraId="77415885" w14:textId="77777777" w:rsidR="00EA6AE2" w:rsidRDefault="00EA6AE2" w:rsidP="00D11D4E">
      <w:pPr>
        <w:jc w:val="center"/>
        <w:rPr>
          <w:rFonts w:ascii="Arial" w:hAnsi="Arial" w:cs="Arial"/>
          <w:b/>
          <w:bCs/>
          <w:sz w:val="24"/>
          <w:szCs w:val="24"/>
        </w:rPr>
      </w:pPr>
    </w:p>
    <w:p w14:paraId="5DEB7984" w14:textId="77777777" w:rsidR="00EA6AE2" w:rsidRDefault="00EA6AE2" w:rsidP="00D11D4E">
      <w:pPr>
        <w:jc w:val="center"/>
        <w:rPr>
          <w:rFonts w:ascii="Arial" w:hAnsi="Arial" w:cs="Arial"/>
          <w:b/>
          <w:bCs/>
          <w:sz w:val="24"/>
          <w:szCs w:val="24"/>
        </w:rPr>
      </w:pPr>
    </w:p>
    <w:p w14:paraId="2CA6C9F6" w14:textId="77777777" w:rsidR="00EA6AE2" w:rsidRDefault="00EA6AE2" w:rsidP="00D11D4E">
      <w:pPr>
        <w:jc w:val="center"/>
        <w:rPr>
          <w:rFonts w:ascii="Arial" w:hAnsi="Arial" w:cs="Arial"/>
          <w:b/>
          <w:bCs/>
          <w:sz w:val="24"/>
          <w:szCs w:val="24"/>
        </w:rPr>
      </w:pPr>
    </w:p>
    <w:p w14:paraId="02B310F1" w14:textId="77777777" w:rsidR="00EA6AE2" w:rsidRDefault="00EA6AE2" w:rsidP="00D11D4E">
      <w:pPr>
        <w:jc w:val="center"/>
        <w:rPr>
          <w:rFonts w:ascii="Arial" w:hAnsi="Arial" w:cs="Arial"/>
          <w:b/>
          <w:bCs/>
          <w:sz w:val="24"/>
          <w:szCs w:val="24"/>
        </w:rPr>
      </w:pPr>
    </w:p>
    <w:p w14:paraId="397D7253" w14:textId="159EA881" w:rsidR="00260A09" w:rsidRPr="00260A09" w:rsidRDefault="00260A09" w:rsidP="009F7880">
      <w:pPr>
        <w:spacing w:line="360" w:lineRule="auto"/>
        <w:jc w:val="center"/>
        <w:rPr>
          <w:rFonts w:ascii="Arial" w:hAnsi="Arial" w:cs="Arial"/>
          <w:b/>
          <w:bCs/>
          <w:sz w:val="24"/>
          <w:szCs w:val="24"/>
        </w:rPr>
      </w:pPr>
      <w:r w:rsidRPr="00260A09">
        <w:rPr>
          <w:rFonts w:ascii="Arial" w:hAnsi="Arial" w:cs="Arial"/>
          <w:b/>
          <w:bCs/>
          <w:sz w:val="24"/>
          <w:szCs w:val="24"/>
        </w:rPr>
        <w:lastRenderedPageBreak/>
        <w:t>Introduction</w:t>
      </w:r>
    </w:p>
    <w:p w14:paraId="77C26BDB" w14:textId="78B0B46E" w:rsidR="000B55D1" w:rsidRDefault="00CF7649" w:rsidP="009F7880">
      <w:pPr>
        <w:spacing w:line="360" w:lineRule="auto"/>
        <w:rPr>
          <w:rFonts w:ascii="Arial" w:hAnsi="Arial" w:cs="Arial"/>
          <w:sz w:val="24"/>
          <w:szCs w:val="24"/>
        </w:rPr>
      </w:pPr>
      <w:r>
        <w:rPr>
          <w:rFonts w:ascii="Arial" w:hAnsi="Arial" w:cs="Arial"/>
          <w:sz w:val="24"/>
          <w:szCs w:val="24"/>
        </w:rPr>
        <w:t xml:space="preserve">This report will discuss generalised anxiety disorder (GAD) and will review whether there is a difference in the levels of anxiety felt for participants before and after a </w:t>
      </w:r>
      <w:r w:rsidR="007F2E8A">
        <w:rPr>
          <w:rFonts w:ascii="Arial" w:hAnsi="Arial" w:cs="Arial"/>
          <w:sz w:val="24"/>
          <w:szCs w:val="24"/>
        </w:rPr>
        <w:t>six</w:t>
      </w:r>
      <w:r w:rsidR="00EA79CA">
        <w:rPr>
          <w:rFonts w:ascii="Arial" w:hAnsi="Arial" w:cs="Arial"/>
          <w:sz w:val="24"/>
          <w:szCs w:val="24"/>
        </w:rPr>
        <w:t xml:space="preserve">-week </w:t>
      </w:r>
      <w:r>
        <w:rPr>
          <w:rFonts w:ascii="Arial" w:hAnsi="Arial" w:cs="Arial"/>
          <w:sz w:val="24"/>
          <w:szCs w:val="24"/>
        </w:rPr>
        <w:t xml:space="preserve">short-course of cognitive behavioural therapy (CBT). </w:t>
      </w:r>
    </w:p>
    <w:p w14:paraId="37A02935" w14:textId="28F69F33" w:rsidR="00CF7649" w:rsidRDefault="00EA79CA" w:rsidP="009F7880">
      <w:pPr>
        <w:spacing w:line="360" w:lineRule="auto"/>
        <w:rPr>
          <w:rFonts w:ascii="Arial" w:hAnsi="Arial" w:cs="Arial"/>
          <w:sz w:val="24"/>
          <w:szCs w:val="24"/>
        </w:rPr>
      </w:pPr>
      <w:r>
        <w:rPr>
          <w:rFonts w:ascii="Arial" w:hAnsi="Arial" w:cs="Arial"/>
          <w:sz w:val="24"/>
          <w:szCs w:val="24"/>
        </w:rPr>
        <w:t>Linden et al. (2005)</w:t>
      </w:r>
      <w:r w:rsidR="00B40B68">
        <w:rPr>
          <w:rFonts w:ascii="Arial" w:hAnsi="Arial" w:cs="Arial"/>
          <w:sz w:val="24"/>
          <w:szCs w:val="24"/>
        </w:rPr>
        <w:t xml:space="preserve">, </w:t>
      </w:r>
      <w:r>
        <w:rPr>
          <w:rFonts w:ascii="Arial" w:hAnsi="Arial" w:cs="Arial"/>
          <w:sz w:val="24"/>
          <w:szCs w:val="24"/>
        </w:rPr>
        <w:t xml:space="preserve">suggested GAD </w:t>
      </w:r>
      <w:r w:rsidR="00E805AC">
        <w:rPr>
          <w:rFonts w:ascii="Arial" w:hAnsi="Arial" w:cs="Arial"/>
          <w:sz w:val="24"/>
          <w:szCs w:val="24"/>
        </w:rPr>
        <w:t xml:space="preserve">is </w:t>
      </w:r>
      <w:r>
        <w:rPr>
          <w:rFonts w:ascii="Arial" w:hAnsi="Arial" w:cs="Arial"/>
          <w:sz w:val="24"/>
          <w:szCs w:val="24"/>
        </w:rPr>
        <w:t xml:space="preserve">one of the most widespread mental disorders. </w:t>
      </w:r>
      <w:r w:rsidR="00CF7649">
        <w:rPr>
          <w:rFonts w:ascii="Arial" w:hAnsi="Arial" w:cs="Arial"/>
          <w:sz w:val="24"/>
          <w:szCs w:val="24"/>
        </w:rPr>
        <w:t xml:space="preserve">The DSM-5 states </w:t>
      </w:r>
      <w:r w:rsidR="001D2FAD">
        <w:rPr>
          <w:rFonts w:ascii="Arial" w:hAnsi="Arial" w:cs="Arial"/>
          <w:sz w:val="24"/>
          <w:szCs w:val="24"/>
        </w:rPr>
        <w:t>GAD</w:t>
      </w:r>
      <w:r w:rsidR="00CF7649">
        <w:rPr>
          <w:rFonts w:ascii="Arial" w:hAnsi="Arial" w:cs="Arial"/>
          <w:sz w:val="24"/>
          <w:szCs w:val="24"/>
        </w:rPr>
        <w:t xml:space="preserve"> is classified by having excessive anxiety and worry</w:t>
      </w:r>
      <w:r w:rsidR="00E805AC">
        <w:rPr>
          <w:rFonts w:ascii="Arial" w:hAnsi="Arial" w:cs="Arial"/>
          <w:sz w:val="24"/>
          <w:szCs w:val="24"/>
        </w:rPr>
        <w:t>,</w:t>
      </w:r>
      <w:r w:rsidR="00CF7649">
        <w:rPr>
          <w:rFonts w:ascii="Arial" w:hAnsi="Arial" w:cs="Arial"/>
          <w:sz w:val="24"/>
          <w:szCs w:val="24"/>
        </w:rPr>
        <w:t xml:space="preserve"> occurring more days than not for at least 6 months, about a number of events or activities</w:t>
      </w:r>
      <w:r w:rsidR="00E805AC">
        <w:rPr>
          <w:rFonts w:ascii="Arial" w:hAnsi="Arial" w:cs="Arial"/>
          <w:sz w:val="24"/>
          <w:szCs w:val="24"/>
        </w:rPr>
        <w:t xml:space="preserve">. Additionally, the patient must be </w:t>
      </w:r>
      <w:r w:rsidR="00CF7649">
        <w:rPr>
          <w:rFonts w:ascii="Arial" w:hAnsi="Arial" w:cs="Arial"/>
          <w:sz w:val="24"/>
          <w:szCs w:val="24"/>
        </w:rPr>
        <w:t>finding it challenging to control the worry and</w:t>
      </w:r>
      <w:r w:rsidR="00E805AC">
        <w:rPr>
          <w:rFonts w:ascii="Arial" w:hAnsi="Arial" w:cs="Arial"/>
          <w:sz w:val="24"/>
          <w:szCs w:val="24"/>
        </w:rPr>
        <w:t xml:space="preserve"> needs to be</w:t>
      </w:r>
      <w:r w:rsidR="00CF7649">
        <w:rPr>
          <w:rFonts w:ascii="Arial" w:hAnsi="Arial" w:cs="Arial"/>
          <w:sz w:val="24"/>
          <w:szCs w:val="24"/>
        </w:rPr>
        <w:t xml:space="preserve"> displaying three or more symptoms including feelings of restlessness, being easily fatigued or difficulty concentrating</w:t>
      </w:r>
      <w:r w:rsidR="008C5096">
        <w:rPr>
          <w:rFonts w:ascii="Arial" w:hAnsi="Arial" w:cs="Arial"/>
          <w:sz w:val="24"/>
          <w:szCs w:val="24"/>
        </w:rPr>
        <w:t xml:space="preserve"> </w:t>
      </w:r>
      <w:r w:rsidR="00CB7715">
        <w:rPr>
          <w:rFonts w:ascii="Arial" w:hAnsi="Arial" w:cs="Arial"/>
          <w:sz w:val="24"/>
          <w:szCs w:val="24"/>
        </w:rPr>
        <w:t>(</w:t>
      </w:r>
      <w:r w:rsidR="002E5D27">
        <w:rPr>
          <w:rFonts w:ascii="Arial" w:hAnsi="Arial" w:cs="Arial"/>
          <w:sz w:val="24"/>
          <w:szCs w:val="24"/>
        </w:rPr>
        <w:t>CBHSQ</w:t>
      </w:r>
      <w:r w:rsidR="00CB7715">
        <w:rPr>
          <w:rFonts w:ascii="Arial" w:hAnsi="Arial" w:cs="Arial"/>
          <w:sz w:val="24"/>
          <w:szCs w:val="24"/>
        </w:rPr>
        <w:t>, 2016).</w:t>
      </w:r>
      <w:r w:rsidR="00EA2E3A">
        <w:rPr>
          <w:rFonts w:ascii="Arial" w:hAnsi="Arial" w:cs="Arial"/>
          <w:sz w:val="24"/>
          <w:szCs w:val="24"/>
        </w:rPr>
        <w:t xml:space="preserve"> The A</w:t>
      </w:r>
      <w:r w:rsidR="009C766A">
        <w:rPr>
          <w:rFonts w:ascii="Arial" w:hAnsi="Arial" w:cs="Arial"/>
          <w:sz w:val="24"/>
          <w:szCs w:val="24"/>
        </w:rPr>
        <w:t>merican Psychological Association (APA)</w:t>
      </w:r>
      <w:r w:rsidR="00EA2E3A">
        <w:rPr>
          <w:rFonts w:ascii="Arial" w:hAnsi="Arial" w:cs="Arial"/>
          <w:sz w:val="24"/>
          <w:szCs w:val="24"/>
        </w:rPr>
        <w:t xml:space="preserve"> stated GAD can be defined as “pathological worry” (Covin, et al., 2008).</w:t>
      </w:r>
    </w:p>
    <w:p w14:paraId="570691B2" w14:textId="5FD94AC8" w:rsidR="000B55D1" w:rsidRDefault="001D2FAD" w:rsidP="009F7880">
      <w:pPr>
        <w:spacing w:line="360" w:lineRule="auto"/>
        <w:rPr>
          <w:rFonts w:ascii="Arial" w:hAnsi="Arial" w:cs="Arial"/>
          <w:sz w:val="24"/>
          <w:szCs w:val="24"/>
        </w:rPr>
      </w:pPr>
      <w:r>
        <w:rPr>
          <w:rFonts w:ascii="Arial" w:hAnsi="Arial" w:cs="Arial"/>
          <w:sz w:val="24"/>
          <w:szCs w:val="24"/>
        </w:rPr>
        <w:t>CBT</w:t>
      </w:r>
      <w:r w:rsidR="000B55D1">
        <w:rPr>
          <w:rFonts w:ascii="Arial" w:hAnsi="Arial" w:cs="Arial"/>
          <w:sz w:val="24"/>
          <w:szCs w:val="24"/>
        </w:rPr>
        <w:t xml:space="preserve"> is psychological treatment used to treat mental disorders such as anxiety</w:t>
      </w:r>
      <w:r w:rsidR="00E805AC">
        <w:rPr>
          <w:rFonts w:ascii="Arial" w:hAnsi="Arial" w:cs="Arial"/>
          <w:sz w:val="24"/>
          <w:szCs w:val="24"/>
        </w:rPr>
        <w:t>, depression</w:t>
      </w:r>
      <w:r>
        <w:rPr>
          <w:rFonts w:ascii="Arial" w:hAnsi="Arial" w:cs="Arial"/>
          <w:sz w:val="24"/>
          <w:szCs w:val="24"/>
        </w:rPr>
        <w:t xml:space="preserve"> and e</w:t>
      </w:r>
      <w:r w:rsidR="00E805AC">
        <w:rPr>
          <w:rFonts w:ascii="Arial" w:hAnsi="Arial" w:cs="Arial"/>
          <w:sz w:val="24"/>
          <w:szCs w:val="24"/>
        </w:rPr>
        <w:t xml:space="preserve">ating disorders (APA, 2017). The </w:t>
      </w:r>
      <w:r w:rsidR="009C766A">
        <w:rPr>
          <w:rFonts w:ascii="Arial" w:hAnsi="Arial" w:cs="Arial"/>
          <w:sz w:val="24"/>
          <w:szCs w:val="24"/>
        </w:rPr>
        <w:t xml:space="preserve">APA </w:t>
      </w:r>
      <w:r w:rsidR="00E805AC">
        <w:rPr>
          <w:rFonts w:ascii="Arial" w:hAnsi="Arial" w:cs="Arial"/>
          <w:sz w:val="24"/>
          <w:szCs w:val="24"/>
        </w:rPr>
        <w:t>stated numerous studies suggest CBT leads to a</w:t>
      </w:r>
      <w:r w:rsidR="0041408C">
        <w:rPr>
          <w:rFonts w:ascii="Arial" w:hAnsi="Arial" w:cs="Arial"/>
          <w:sz w:val="24"/>
          <w:szCs w:val="24"/>
        </w:rPr>
        <w:t>n</w:t>
      </w:r>
      <w:r w:rsidR="00E805AC">
        <w:rPr>
          <w:rFonts w:ascii="Arial" w:hAnsi="Arial" w:cs="Arial"/>
          <w:sz w:val="24"/>
          <w:szCs w:val="24"/>
        </w:rPr>
        <w:t xml:space="preserve"> </w:t>
      </w:r>
      <w:r w:rsidR="006352AC">
        <w:rPr>
          <w:rFonts w:ascii="Arial" w:hAnsi="Arial" w:cs="Arial"/>
          <w:sz w:val="24"/>
          <w:szCs w:val="24"/>
        </w:rPr>
        <w:t xml:space="preserve">improved level of functioning and better quality of life for individuals. </w:t>
      </w:r>
    </w:p>
    <w:p w14:paraId="376436C0" w14:textId="2E16B8B1" w:rsidR="001B4064" w:rsidRDefault="00260A09" w:rsidP="009F7880">
      <w:pPr>
        <w:spacing w:line="360" w:lineRule="auto"/>
        <w:rPr>
          <w:rFonts w:ascii="Arial" w:hAnsi="Arial" w:cs="Arial"/>
          <w:sz w:val="24"/>
          <w:szCs w:val="24"/>
        </w:rPr>
      </w:pPr>
      <w:r>
        <w:rPr>
          <w:rFonts w:ascii="Arial" w:hAnsi="Arial" w:cs="Arial"/>
          <w:sz w:val="24"/>
          <w:szCs w:val="24"/>
        </w:rPr>
        <w:t>According to Stefan et al. (2019)</w:t>
      </w:r>
      <w:r w:rsidR="001D2FAD">
        <w:rPr>
          <w:rFonts w:ascii="Arial" w:hAnsi="Arial" w:cs="Arial"/>
          <w:sz w:val="24"/>
          <w:szCs w:val="24"/>
        </w:rPr>
        <w:t>,</w:t>
      </w:r>
      <w:r>
        <w:rPr>
          <w:rFonts w:ascii="Arial" w:hAnsi="Arial" w:cs="Arial"/>
          <w:sz w:val="24"/>
          <w:szCs w:val="24"/>
        </w:rPr>
        <w:t xml:space="preserve"> </w:t>
      </w:r>
      <w:r w:rsidR="00CF7649">
        <w:rPr>
          <w:rFonts w:ascii="Arial" w:hAnsi="Arial" w:cs="Arial"/>
          <w:sz w:val="24"/>
          <w:szCs w:val="24"/>
        </w:rPr>
        <w:t>CBT</w:t>
      </w:r>
      <w:r>
        <w:rPr>
          <w:rFonts w:ascii="Arial" w:hAnsi="Arial" w:cs="Arial"/>
          <w:sz w:val="24"/>
          <w:szCs w:val="24"/>
        </w:rPr>
        <w:t xml:space="preserve"> is thought to be the “golden standard” treatment for </w:t>
      </w:r>
      <w:r w:rsidR="00CF7649">
        <w:rPr>
          <w:rFonts w:ascii="Arial" w:hAnsi="Arial" w:cs="Arial"/>
          <w:sz w:val="24"/>
          <w:szCs w:val="24"/>
        </w:rPr>
        <w:t xml:space="preserve">GAD. </w:t>
      </w:r>
      <w:r w:rsidR="00882AE0">
        <w:rPr>
          <w:rFonts w:ascii="Arial" w:hAnsi="Arial" w:cs="Arial"/>
          <w:sz w:val="24"/>
          <w:szCs w:val="24"/>
        </w:rPr>
        <w:t xml:space="preserve">This is enhanced by Chambless and Hollon (1998), who said CBT is currently considered an “empirically/research-supported treatment” for </w:t>
      </w:r>
      <w:r w:rsidR="009C766A">
        <w:rPr>
          <w:rFonts w:ascii="Arial" w:hAnsi="Arial" w:cs="Arial"/>
          <w:sz w:val="24"/>
          <w:szCs w:val="24"/>
        </w:rPr>
        <w:t>GAD</w:t>
      </w:r>
      <w:r w:rsidR="00882AE0">
        <w:rPr>
          <w:rFonts w:ascii="Arial" w:hAnsi="Arial" w:cs="Arial"/>
          <w:sz w:val="24"/>
          <w:szCs w:val="24"/>
        </w:rPr>
        <w:t xml:space="preserve">. </w:t>
      </w:r>
      <w:r w:rsidR="000B55D1">
        <w:rPr>
          <w:rFonts w:ascii="Arial" w:hAnsi="Arial" w:cs="Arial"/>
          <w:sz w:val="24"/>
          <w:szCs w:val="24"/>
        </w:rPr>
        <w:t>On the contrary, p</w:t>
      </w:r>
      <w:r w:rsidR="00882AE0">
        <w:rPr>
          <w:rFonts w:ascii="Arial" w:hAnsi="Arial" w:cs="Arial"/>
          <w:sz w:val="24"/>
          <w:szCs w:val="24"/>
        </w:rPr>
        <w:t xml:space="preserve">revious studies have shown </w:t>
      </w:r>
      <w:r w:rsidR="000B55D1">
        <w:rPr>
          <w:rFonts w:ascii="Arial" w:hAnsi="Arial" w:cs="Arial"/>
          <w:sz w:val="24"/>
          <w:szCs w:val="24"/>
        </w:rPr>
        <w:t xml:space="preserve">only </w:t>
      </w:r>
      <w:r w:rsidR="00882AE0">
        <w:rPr>
          <w:rFonts w:ascii="Arial" w:hAnsi="Arial" w:cs="Arial"/>
          <w:sz w:val="24"/>
          <w:szCs w:val="24"/>
        </w:rPr>
        <w:t xml:space="preserve">50% of patients achieve a strong level of functioning after the psychotherapeutic treatment (Erickson &amp; Newman, 2005). </w:t>
      </w:r>
    </w:p>
    <w:p w14:paraId="348340C6" w14:textId="2749988F" w:rsidR="007F2E8A" w:rsidRDefault="00B66E6B" w:rsidP="009F7880">
      <w:pPr>
        <w:spacing w:line="360" w:lineRule="auto"/>
        <w:rPr>
          <w:rFonts w:ascii="Arial" w:hAnsi="Arial" w:cs="Arial"/>
          <w:sz w:val="24"/>
          <w:szCs w:val="24"/>
        </w:rPr>
      </w:pPr>
      <w:r>
        <w:rPr>
          <w:rFonts w:ascii="Arial" w:hAnsi="Arial" w:cs="Arial"/>
          <w:sz w:val="24"/>
          <w:szCs w:val="24"/>
        </w:rPr>
        <w:t>Up until 2005, around 15 research studies had been carried out on the effectiveness of psychotherapy for GAD. Meta-analysis has shown CBT has proven superior over other psychological treatments of GAD (Linden et al., 2005).</w:t>
      </w:r>
      <w:r w:rsidR="00133A5E">
        <w:rPr>
          <w:rFonts w:ascii="Arial" w:hAnsi="Arial" w:cs="Arial"/>
          <w:sz w:val="24"/>
          <w:szCs w:val="24"/>
        </w:rPr>
        <w:t xml:space="preserve"> </w:t>
      </w:r>
      <w:r w:rsidR="00F46F57">
        <w:rPr>
          <w:rFonts w:ascii="Arial" w:hAnsi="Arial" w:cs="Arial"/>
          <w:sz w:val="24"/>
          <w:szCs w:val="24"/>
        </w:rPr>
        <w:t xml:space="preserve">Randomised clinical trials for CBT and GAD have been published since 1967, with multiple reviews stating CBT is the leading psychotherapy treatment for </w:t>
      </w:r>
      <w:r w:rsidR="009C766A">
        <w:rPr>
          <w:rFonts w:ascii="Arial" w:hAnsi="Arial" w:cs="Arial"/>
          <w:sz w:val="24"/>
          <w:szCs w:val="24"/>
        </w:rPr>
        <w:t>GAD</w:t>
      </w:r>
      <w:r w:rsidR="00F46F57">
        <w:rPr>
          <w:rFonts w:ascii="Arial" w:hAnsi="Arial" w:cs="Arial"/>
          <w:sz w:val="24"/>
          <w:szCs w:val="24"/>
        </w:rPr>
        <w:t xml:space="preserve"> (Marom &amp; Hermesh, 2003). </w:t>
      </w:r>
      <w:r w:rsidR="00133A5E">
        <w:rPr>
          <w:rFonts w:ascii="Arial" w:hAnsi="Arial" w:cs="Arial"/>
          <w:sz w:val="24"/>
          <w:szCs w:val="24"/>
        </w:rPr>
        <w:t xml:space="preserve">The current literature suggests CBT has positive results for phobic and social anxiety as well as </w:t>
      </w:r>
      <w:r w:rsidR="009C766A">
        <w:rPr>
          <w:rFonts w:ascii="Arial" w:hAnsi="Arial" w:cs="Arial"/>
          <w:sz w:val="24"/>
          <w:szCs w:val="24"/>
        </w:rPr>
        <w:t>GAD</w:t>
      </w:r>
      <w:r w:rsidR="00133A5E">
        <w:rPr>
          <w:rFonts w:ascii="Arial" w:hAnsi="Arial" w:cs="Arial"/>
          <w:sz w:val="24"/>
          <w:szCs w:val="24"/>
        </w:rPr>
        <w:t xml:space="preserve">. </w:t>
      </w:r>
    </w:p>
    <w:p w14:paraId="46BE84AB" w14:textId="6802170B" w:rsidR="0040251B" w:rsidRDefault="00E87A9F" w:rsidP="009F7880">
      <w:pPr>
        <w:spacing w:line="360" w:lineRule="auto"/>
        <w:rPr>
          <w:rFonts w:ascii="Arial" w:hAnsi="Arial" w:cs="Arial"/>
          <w:sz w:val="24"/>
          <w:szCs w:val="24"/>
        </w:rPr>
      </w:pPr>
      <w:r w:rsidRPr="008E2745">
        <w:rPr>
          <w:rFonts w:ascii="Arial" w:hAnsi="Arial" w:cs="Arial"/>
          <w:sz w:val="24"/>
          <w:szCs w:val="24"/>
        </w:rPr>
        <w:t xml:space="preserve">CBT is based </w:t>
      </w:r>
      <w:r w:rsidR="008E2745">
        <w:rPr>
          <w:rFonts w:ascii="Arial" w:hAnsi="Arial" w:cs="Arial"/>
          <w:sz w:val="24"/>
          <w:szCs w:val="24"/>
        </w:rPr>
        <w:t>upon individuals experiencing unhelpful ways of thinking and learned patterns of unhelpful behaviour</w:t>
      </w:r>
      <w:r w:rsidR="000432DF">
        <w:rPr>
          <w:rFonts w:ascii="Arial" w:hAnsi="Arial" w:cs="Arial"/>
          <w:sz w:val="24"/>
          <w:szCs w:val="24"/>
        </w:rPr>
        <w:t xml:space="preserve"> (APA, 2017).</w:t>
      </w:r>
      <w:r w:rsidR="0040251B">
        <w:rPr>
          <w:rFonts w:ascii="Arial" w:hAnsi="Arial" w:cs="Arial"/>
          <w:sz w:val="24"/>
          <w:szCs w:val="24"/>
        </w:rPr>
        <w:t xml:space="preserve"> The aim of CBT is to change negative </w:t>
      </w:r>
      <w:r w:rsidR="0040251B">
        <w:rPr>
          <w:rFonts w:ascii="Arial" w:hAnsi="Arial" w:cs="Arial"/>
          <w:sz w:val="24"/>
          <w:szCs w:val="24"/>
        </w:rPr>
        <w:lastRenderedPageBreak/>
        <w:t xml:space="preserve">thinking and behavioural patterns; this is achieved by </w:t>
      </w:r>
      <w:r w:rsidR="00B40B68">
        <w:rPr>
          <w:rFonts w:ascii="Arial" w:hAnsi="Arial" w:cs="Arial"/>
          <w:sz w:val="24"/>
          <w:szCs w:val="24"/>
        </w:rPr>
        <w:t>exploring</w:t>
      </w:r>
      <w:r w:rsidR="0040251B">
        <w:rPr>
          <w:rFonts w:ascii="Arial" w:hAnsi="Arial" w:cs="Arial"/>
          <w:sz w:val="24"/>
          <w:szCs w:val="24"/>
        </w:rPr>
        <w:t xml:space="preserve"> problem-solving skills to cope with challenging situations, learning to develop a sense of confidence in the clients’ own abilities and by learning to recognise distortions in thinking</w:t>
      </w:r>
      <w:r w:rsidR="009C766A">
        <w:rPr>
          <w:rFonts w:ascii="Arial" w:hAnsi="Arial" w:cs="Arial"/>
          <w:sz w:val="24"/>
          <w:szCs w:val="24"/>
        </w:rPr>
        <w:t xml:space="preserve"> </w:t>
      </w:r>
      <w:r w:rsidR="0040251B">
        <w:rPr>
          <w:rFonts w:ascii="Arial" w:hAnsi="Arial" w:cs="Arial"/>
          <w:sz w:val="24"/>
          <w:szCs w:val="24"/>
        </w:rPr>
        <w:t>which create problems</w:t>
      </w:r>
      <w:r w:rsidR="009C766A">
        <w:rPr>
          <w:rFonts w:ascii="Arial" w:hAnsi="Arial" w:cs="Arial"/>
          <w:sz w:val="24"/>
          <w:szCs w:val="24"/>
        </w:rPr>
        <w:t>,</w:t>
      </w:r>
      <w:r w:rsidR="0040251B">
        <w:rPr>
          <w:rFonts w:ascii="Arial" w:hAnsi="Arial" w:cs="Arial"/>
          <w:sz w:val="24"/>
          <w:szCs w:val="24"/>
        </w:rPr>
        <w:t xml:space="preserve"> whilst gaining a better understanding of the behaviour and motivation of others (APA, 2017).</w:t>
      </w:r>
    </w:p>
    <w:p w14:paraId="233A0EBF" w14:textId="6572859D" w:rsidR="00B22588" w:rsidRDefault="0040251B" w:rsidP="009F7880">
      <w:pPr>
        <w:spacing w:line="360" w:lineRule="auto"/>
        <w:rPr>
          <w:rFonts w:ascii="Arial" w:hAnsi="Arial" w:cs="Arial"/>
          <w:sz w:val="24"/>
          <w:szCs w:val="24"/>
        </w:rPr>
      </w:pPr>
      <w:r>
        <w:rPr>
          <w:rFonts w:ascii="Arial" w:hAnsi="Arial" w:cs="Arial"/>
          <w:sz w:val="24"/>
          <w:szCs w:val="24"/>
        </w:rPr>
        <w:t xml:space="preserve">CBT treatment includes the client facing their fears rather than avoiding them, using role play to prepare for potential problems in life and learning to </w:t>
      </w:r>
      <w:r w:rsidR="001D2FAD">
        <w:rPr>
          <w:rFonts w:ascii="Arial" w:hAnsi="Arial" w:cs="Arial"/>
          <w:sz w:val="24"/>
          <w:szCs w:val="24"/>
        </w:rPr>
        <w:t xml:space="preserve">remain </w:t>
      </w:r>
      <w:r>
        <w:rPr>
          <w:rFonts w:ascii="Arial" w:hAnsi="Arial" w:cs="Arial"/>
          <w:sz w:val="24"/>
          <w:szCs w:val="24"/>
        </w:rPr>
        <w:t>calm. The role of CBT is to enable the client to be their own therapist. In order for CBT sessions to work effectively, the clients’ history needs to be known (APA, 2017).</w:t>
      </w:r>
      <w:r w:rsidR="00B22588">
        <w:rPr>
          <w:rFonts w:ascii="Arial" w:hAnsi="Arial" w:cs="Arial"/>
          <w:sz w:val="24"/>
          <w:szCs w:val="24"/>
        </w:rPr>
        <w:t xml:space="preserve"> The main components of CBT </w:t>
      </w:r>
      <w:r w:rsidR="00BD0D9E">
        <w:rPr>
          <w:rFonts w:ascii="Arial" w:hAnsi="Arial" w:cs="Arial"/>
          <w:sz w:val="24"/>
          <w:szCs w:val="24"/>
        </w:rPr>
        <w:t>include</w:t>
      </w:r>
      <w:r w:rsidR="00B22588">
        <w:rPr>
          <w:rFonts w:ascii="Arial" w:hAnsi="Arial" w:cs="Arial"/>
          <w:sz w:val="24"/>
          <w:szCs w:val="24"/>
        </w:rPr>
        <w:t xml:space="preserve"> “exposure, reduction of safety behaviours, attention focus modification and cognitive restructuring”</w:t>
      </w:r>
      <w:r w:rsidR="001258A6">
        <w:rPr>
          <w:rFonts w:ascii="Arial" w:hAnsi="Arial" w:cs="Arial"/>
          <w:sz w:val="24"/>
          <w:szCs w:val="24"/>
        </w:rPr>
        <w:t xml:space="preserve"> (Marom &amp; Hermesh, 2003).</w:t>
      </w:r>
    </w:p>
    <w:p w14:paraId="1CDEA61C" w14:textId="2447C0C4" w:rsidR="002E2F2F" w:rsidRDefault="00BD0D9E" w:rsidP="009F7880">
      <w:pPr>
        <w:spacing w:line="360" w:lineRule="auto"/>
        <w:rPr>
          <w:rFonts w:ascii="Arial" w:hAnsi="Arial" w:cs="Arial"/>
          <w:sz w:val="24"/>
          <w:szCs w:val="24"/>
        </w:rPr>
      </w:pPr>
      <w:r>
        <w:rPr>
          <w:rFonts w:ascii="Arial" w:hAnsi="Arial" w:cs="Arial"/>
          <w:sz w:val="24"/>
          <w:szCs w:val="24"/>
        </w:rPr>
        <w:t xml:space="preserve">Existing research studies have been conducted using the Hamilton Anxiety Ratings Scale </w:t>
      </w:r>
      <w:r w:rsidR="00563EAC">
        <w:rPr>
          <w:rFonts w:ascii="Arial" w:hAnsi="Arial" w:cs="Arial"/>
          <w:sz w:val="24"/>
          <w:szCs w:val="24"/>
        </w:rPr>
        <w:t xml:space="preserve">(Covin, et al., 2008) </w:t>
      </w:r>
      <w:r w:rsidR="00814168">
        <w:rPr>
          <w:rFonts w:ascii="Arial" w:hAnsi="Arial" w:cs="Arial"/>
          <w:sz w:val="24"/>
          <w:szCs w:val="24"/>
        </w:rPr>
        <w:t>alongside the Penn State Worry questionnaire</w:t>
      </w:r>
      <w:r w:rsidR="00563EAC">
        <w:rPr>
          <w:rFonts w:ascii="Arial" w:hAnsi="Arial" w:cs="Arial"/>
          <w:sz w:val="24"/>
          <w:szCs w:val="24"/>
        </w:rPr>
        <w:t xml:space="preserve"> (Dugas, et al., 2003)</w:t>
      </w:r>
      <w:r w:rsidR="002E2F2F">
        <w:rPr>
          <w:rFonts w:ascii="Arial" w:hAnsi="Arial" w:cs="Arial"/>
          <w:sz w:val="24"/>
          <w:szCs w:val="24"/>
        </w:rPr>
        <w:t>. Other studies have used Anxiety Disorders Interview Schedule (ADIS-IV); Worry and Anxiety Questionnaire (WAQ); Intolerance of Uncertainty Scale (IUS); Beck Anxiety Inventory (BAI); Beck Depression Inventory (BDI) and Social Adjustment Scale (SAS) (Dugas, et al., 2003). Whereas</w:t>
      </w:r>
      <w:r w:rsidR="00814168">
        <w:rPr>
          <w:rFonts w:ascii="Arial" w:hAnsi="Arial" w:cs="Arial"/>
          <w:sz w:val="24"/>
          <w:szCs w:val="24"/>
        </w:rPr>
        <w:t xml:space="preserve"> this report will use the Wilcoxon Signed Ranks Test and participants will complete the Anxiety Symptoms Questionnaire to see whether there is a difference in the levels of anxiety in participants before and after a CBT short-course. </w:t>
      </w:r>
    </w:p>
    <w:p w14:paraId="6FBAEF4D" w14:textId="772D41B9" w:rsidR="009C766A" w:rsidRDefault="009C766A" w:rsidP="009F7880">
      <w:pPr>
        <w:spacing w:line="360" w:lineRule="auto"/>
        <w:rPr>
          <w:rFonts w:ascii="Arial" w:hAnsi="Arial" w:cs="Arial"/>
          <w:sz w:val="24"/>
          <w:szCs w:val="24"/>
        </w:rPr>
      </w:pPr>
      <w:r>
        <w:rPr>
          <w:rFonts w:ascii="Arial" w:hAnsi="Arial" w:cs="Arial"/>
          <w:sz w:val="24"/>
          <w:szCs w:val="24"/>
        </w:rPr>
        <w:t>In research conducted by Dugas et al. (2003), a study with 52 GAD patients received 14 sessions of CBT in small groups of 4-6 participants. A wait-list control and treatment group design were used for the study. Results show the treatment group had improved greater on all dependant variables</w:t>
      </w:r>
      <w:r w:rsidR="001D2FAD">
        <w:rPr>
          <w:rFonts w:ascii="Arial" w:hAnsi="Arial" w:cs="Arial"/>
          <w:sz w:val="24"/>
          <w:szCs w:val="24"/>
        </w:rPr>
        <w:t xml:space="preserve">. </w:t>
      </w:r>
      <w:r>
        <w:rPr>
          <w:rFonts w:ascii="Arial" w:hAnsi="Arial" w:cs="Arial"/>
          <w:sz w:val="24"/>
          <w:szCs w:val="24"/>
        </w:rPr>
        <w:t>Participants in the treatment group continued to make further improvements over the follow up period of 2 years.</w:t>
      </w:r>
    </w:p>
    <w:p w14:paraId="26D7DD98" w14:textId="753FD928" w:rsidR="00260A09" w:rsidRDefault="007F2E8A" w:rsidP="009F7880">
      <w:pPr>
        <w:spacing w:line="360" w:lineRule="auto"/>
        <w:rPr>
          <w:rFonts w:ascii="Arial" w:hAnsi="Arial" w:cs="Arial"/>
          <w:sz w:val="24"/>
          <w:szCs w:val="24"/>
        </w:rPr>
      </w:pPr>
      <w:r>
        <w:rPr>
          <w:rFonts w:ascii="Arial" w:hAnsi="Arial" w:cs="Arial"/>
          <w:sz w:val="24"/>
          <w:szCs w:val="24"/>
        </w:rPr>
        <w:t>It is hypothesised that levels of self-reported anxiety will be significantly lower following the completion of a six-week CBT short-course.</w:t>
      </w:r>
    </w:p>
    <w:p w14:paraId="7C78CD93" w14:textId="41736F12" w:rsidR="00260A09" w:rsidRDefault="00260A09" w:rsidP="00260A09">
      <w:pPr>
        <w:rPr>
          <w:rFonts w:ascii="Arial" w:hAnsi="Arial" w:cs="Arial"/>
          <w:sz w:val="24"/>
          <w:szCs w:val="24"/>
        </w:rPr>
      </w:pPr>
    </w:p>
    <w:p w14:paraId="3E7F3608" w14:textId="3148A859" w:rsidR="00DA3D34" w:rsidRDefault="0046759C" w:rsidP="00DA3D34">
      <w:pPr>
        <w:jc w:val="center"/>
        <w:rPr>
          <w:rFonts w:ascii="Arial" w:hAnsi="Arial" w:cs="Arial"/>
          <w:b/>
          <w:bCs/>
          <w:sz w:val="24"/>
          <w:szCs w:val="24"/>
        </w:rPr>
      </w:pPr>
      <w:r w:rsidRPr="0046759C">
        <w:rPr>
          <w:rFonts w:ascii="Arial" w:hAnsi="Arial" w:cs="Arial"/>
          <w:b/>
          <w:bCs/>
          <w:sz w:val="24"/>
          <w:szCs w:val="24"/>
        </w:rPr>
        <w:t>Method</w:t>
      </w:r>
    </w:p>
    <w:p w14:paraId="6AEFB89C" w14:textId="13E3F5B6" w:rsidR="00D712F8" w:rsidRPr="001F0C7B" w:rsidRDefault="00D712F8" w:rsidP="00D712F8">
      <w:pPr>
        <w:rPr>
          <w:rFonts w:ascii="Arial" w:hAnsi="Arial" w:cs="Arial"/>
          <w:i/>
          <w:iCs/>
          <w:sz w:val="24"/>
          <w:szCs w:val="24"/>
        </w:rPr>
      </w:pPr>
      <w:r w:rsidRPr="001F0C7B">
        <w:rPr>
          <w:rFonts w:ascii="Arial" w:hAnsi="Arial" w:cs="Arial"/>
          <w:i/>
          <w:iCs/>
          <w:sz w:val="24"/>
          <w:szCs w:val="24"/>
        </w:rPr>
        <w:t>Participants</w:t>
      </w:r>
    </w:p>
    <w:p w14:paraId="552F2B97" w14:textId="346DB552" w:rsidR="002C2E3B" w:rsidRDefault="006424BF" w:rsidP="009F7880">
      <w:pPr>
        <w:spacing w:line="360" w:lineRule="auto"/>
        <w:ind w:left="720"/>
        <w:rPr>
          <w:rFonts w:ascii="Arial" w:hAnsi="Arial" w:cs="Arial"/>
          <w:sz w:val="24"/>
          <w:szCs w:val="24"/>
        </w:rPr>
      </w:pPr>
      <w:r>
        <w:rPr>
          <w:rFonts w:ascii="Arial" w:hAnsi="Arial" w:cs="Arial"/>
          <w:sz w:val="24"/>
          <w:szCs w:val="24"/>
        </w:rPr>
        <w:lastRenderedPageBreak/>
        <w:t xml:space="preserve">The sample was made up of </w:t>
      </w:r>
      <w:r w:rsidR="0071240C">
        <w:rPr>
          <w:rFonts w:ascii="Arial" w:hAnsi="Arial" w:cs="Arial"/>
          <w:sz w:val="24"/>
          <w:szCs w:val="24"/>
        </w:rPr>
        <w:t>24 participants</w:t>
      </w:r>
      <w:r>
        <w:rPr>
          <w:rFonts w:ascii="Arial" w:hAnsi="Arial" w:cs="Arial"/>
          <w:sz w:val="24"/>
          <w:szCs w:val="24"/>
        </w:rPr>
        <w:t xml:space="preserve"> (N=24)</w:t>
      </w:r>
      <w:r w:rsidR="0071240C">
        <w:rPr>
          <w:rFonts w:ascii="Arial" w:hAnsi="Arial" w:cs="Arial"/>
          <w:sz w:val="24"/>
          <w:szCs w:val="24"/>
        </w:rPr>
        <w:t xml:space="preserve">, this was made up by 11 males and 13 females. The ages of participants ranged from 19-63. The mean </w:t>
      </w:r>
      <w:r w:rsidR="00F52CA4">
        <w:rPr>
          <w:rFonts w:ascii="Arial" w:hAnsi="Arial" w:cs="Arial"/>
          <w:sz w:val="24"/>
          <w:szCs w:val="24"/>
        </w:rPr>
        <w:t xml:space="preserve">(M) </w:t>
      </w:r>
      <w:r w:rsidR="0071240C">
        <w:rPr>
          <w:rFonts w:ascii="Arial" w:hAnsi="Arial" w:cs="Arial"/>
          <w:sz w:val="24"/>
          <w:szCs w:val="24"/>
        </w:rPr>
        <w:t>of ages was 27.93</w:t>
      </w:r>
      <w:r>
        <w:rPr>
          <w:rFonts w:ascii="Arial" w:hAnsi="Arial" w:cs="Arial"/>
          <w:sz w:val="24"/>
          <w:szCs w:val="24"/>
        </w:rPr>
        <w:t xml:space="preserve">, </w:t>
      </w:r>
      <w:r w:rsidR="0071240C">
        <w:rPr>
          <w:rFonts w:ascii="Arial" w:hAnsi="Arial" w:cs="Arial"/>
          <w:sz w:val="24"/>
          <w:szCs w:val="24"/>
        </w:rPr>
        <w:t xml:space="preserve">giving a standard deviation </w:t>
      </w:r>
      <w:r w:rsidR="00F52CA4">
        <w:rPr>
          <w:rFonts w:ascii="Arial" w:hAnsi="Arial" w:cs="Arial"/>
          <w:sz w:val="24"/>
          <w:szCs w:val="24"/>
        </w:rPr>
        <w:t xml:space="preserve">(SD) </w:t>
      </w:r>
      <w:r w:rsidR="0071240C">
        <w:rPr>
          <w:rFonts w:ascii="Arial" w:hAnsi="Arial" w:cs="Arial"/>
          <w:sz w:val="24"/>
          <w:szCs w:val="24"/>
        </w:rPr>
        <w:t xml:space="preserve">of 11.24. Seven of the 24 participants had been clinically diagnosed with an anxiety disorder prior to the study, the remaining 17 had not. </w:t>
      </w:r>
    </w:p>
    <w:p w14:paraId="269A1500" w14:textId="4B87221E" w:rsidR="00D505E2" w:rsidRPr="001F0C7B" w:rsidRDefault="00D505E2" w:rsidP="00D712F8">
      <w:pPr>
        <w:rPr>
          <w:rFonts w:ascii="Arial" w:hAnsi="Arial" w:cs="Arial"/>
          <w:i/>
          <w:iCs/>
          <w:sz w:val="24"/>
          <w:szCs w:val="24"/>
        </w:rPr>
      </w:pPr>
      <w:r w:rsidRPr="001F0C7B">
        <w:rPr>
          <w:rFonts w:ascii="Arial" w:hAnsi="Arial" w:cs="Arial"/>
          <w:i/>
          <w:iCs/>
          <w:sz w:val="24"/>
          <w:szCs w:val="24"/>
        </w:rPr>
        <w:t>Design</w:t>
      </w:r>
    </w:p>
    <w:p w14:paraId="1A34C061" w14:textId="20268A8E" w:rsidR="00D505E2" w:rsidRDefault="00D505E2" w:rsidP="009F7880">
      <w:pPr>
        <w:spacing w:line="360" w:lineRule="auto"/>
        <w:ind w:left="720"/>
        <w:rPr>
          <w:rFonts w:ascii="Arial" w:hAnsi="Arial" w:cs="Arial"/>
          <w:sz w:val="24"/>
          <w:szCs w:val="24"/>
        </w:rPr>
      </w:pPr>
      <w:r>
        <w:rPr>
          <w:rFonts w:ascii="Arial" w:hAnsi="Arial" w:cs="Arial"/>
          <w:sz w:val="24"/>
          <w:szCs w:val="24"/>
        </w:rPr>
        <w:t>The design was within-subjects, and all participants completed the Anxiety Symptoms Questionnaire (ASQ) both before and after taking part in a six-week CBT short-course. The independent variable was the completion of the ASQ, before and after the CBT short-course and the dependent variable was the intensity of anxiety symptoms reported.</w:t>
      </w:r>
    </w:p>
    <w:p w14:paraId="019E26E2" w14:textId="6CEF9061" w:rsidR="00D505E2" w:rsidRDefault="00D505E2" w:rsidP="009F7880">
      <w:pPr>
        <w:spacing w:line="360" w:lineRule="auto"/>
        <w:ind w:left="720"/>
        <w:rPr>
          <w:rFonts w:ascii="Arial" w:hAnsi="Arial" w:cs="Arial"/>
          <w:sz w:val="24"/>
          <w:szCs w:val="24"/>
        </w:rPr>
      </w:pPr>
      <w:r>
        <w:rPr>
          <w:rFonts w:ascii="Arial" w:hAnsi="Arial" w:cs="Arial"/>
          <w:sz w:val="24"/>
          <w:szCs w:val="24"/>
        </w:rPr>
        <w:t>The Wilcoxon Signed Ranks Test was used to analyse the data.</w:t>
      </w:r>
    </w:p>
    <w:p w14:paraId="3D82D2D9" w14:textId="7267728C" w:rsidR="00D505E2" w:rsidRDefault="00D505E2" w:rsidP="00D712F8">
      <w:pPr>
        <w:rPr>
          <w:rFonts w:ascii="Arial" w:hAnsi="Arial" w:cs="Arial"/>
          <w:i/>
          <w:iCs/>
          <w:sz w:val="24"/>
          <w:szCs w:val="24"/>
        </w:rPr>
      </w:pPr>
      <w:r w:rsidRPr="001F0C7B">
        <w:rPr>
          <w:rFonts w:ascii="Arial" w:hAnsi="Arial" w:cs="Arial"/>
          <w:i/>
          <w:iCs/>
          <w:sz w:val="24"/>
          <w:szCs w:val="24"/>
        </w:rPr>
        <w:t>Materials</w:t>
      </w:r>
    </w:p>
    <w:p w14:paraId="05A25016" w14:textId="2ED297E9" w:rsidR="001F0C7B" w:rsidRDefault="00B36CFC" w:rsidP="009F7880">
      <w:pPr>
        <w:spacing w:line="360" w:lineRule="auto"/>
        <w:ind w:left="720"/>
        <w:rPr>
          <w:rFonts w:ascii="Arial" w:hAnsi="Arial" w:cs="Arial"/>
          <w:sz w:val="24"/>
          <w:szCs w:val="24"/>
        </w:rPr>
      </w:pPr>
      <w:r w:rsidRPr="00B36CFC">
        <w:rPr>
          <w:rFonts w:ascii="Arial" w:hAnsi="Arial" w:cs="Arial"/>
          <w:sz w:val="24"/>
          <w:szCs w:val="24"/>
        </w:rPr>
        <w:t>The Anxiety Symptoms Questionnaire (ASQ)</w:t>
      </w:r>
      <w:r w:rsidR="00F36977">
        <w:rPr>
          <w:rFonts w:ascii="Arial" w:hAnsi="Arial" w:cs="Arial"/>
          <w:sz w:val="24"/>
          <w:szCs w:val="24"/>
        </w:rPr>
        <w:t xml:space="preserve"> (see Appendix C)</w:t>
      </w:r>
      <w:r w:rsidRPr="00B36CFC">
        <w:rPr>
          <w:rFonts w:ascii="Arial" w:hAnsi="Arial" w:cs="Arial"/>
          <w:sz w:val="24"/>
          <w:szCs w:val="24"/>
        </w:rPr>
        <w:t xml:space="preserve"> by Ba</w:t>
      </w:r>
      <w:r>
        <w:rPr>
          <w:rFonts w:ascii="Arial" w:hAnsi="Arial" w:cs="Arial"/>
          <w:sz w:val="24"/>
          <w:szCs w:val="24"/>
        </w:rPr>
        <w:t>ker et al. (2019) was used to collect data on participants self-reported intensity of anxiety levels. The full ASQ assesses both intensity and frequency of symptoms, however, only intensity data was used for analysis</w:t>
      </w:r>
      <w:r w:rsidR="00F52CA4">
        <w:rPr>
          <w:rFonts w:ascii="Arial" w:hAnsi="Arial" w:cs="Arial"/>
          <w:sz w:val="24"/>
          <w:szCs w:val="24"/>
        </w:rPr>
        <w:t xml:space="preserve"> in this study</w:t>
      </w:r>
      <w:r w:rsidR="008B0B13">
        <w:rPr>
          <w:rFonts w:ascii="Arial" w:hAnsi="Arial" w:cs="Arial"/>
          <w:sz w:val="24"/>
          <w:szCs w:val="24"/>
        </w:rPr>
        <w:t>.</w:t>
      </w:r>
    </w:p>
    <w:p w14:paraId="4E40C999" w14:textId="7A297229" w:rsidR="00B36CFC" w:rsidRDefault="00B36CFC" w:rsidP="009F7880">
      <w:pPr>
        <w:spacing w:line="360" w:lineRule="auto"/>
        <w:ind w:left="720"/>
        <w:rPr>
          <w:rFonts w:ascii="Arial" w:hAnsi="Arial" w:cs="Arial"/>
          <w:sz w:val="24"/>
          <w:szCs w:val="24"/>
        </w:rPr>
      </w:pPr>
      <w:r>
        <w:rPr>
          <w:rFonts w:ascii="Arial" w:hAnsi="Arial" w:cs="Arial"/>
          <w:sz w:val="24"/>
          <w:szCs w:val="24"/>
        </w:rPr>
        <w:t xml:space="preserve">The ASQ contains 17 questions and relates to the intensity of symptoms of anxiety within the past week. The scoring mechanism ranges from none (0) - extreme distress (10). The possible range of total scores for intensity is 0 being the lowest possible score and 170 being the highest possible score. The highest score represents the participants have been undergoing extreme distress frequently within the past week. </w:t>
      </w:r>
    </w:p>
    <w:p w14:paraId="60D848F8" w14:textId="07EEFBBB" w:rsidR="00D505E2" w:rsidRDefault="00B36CFC" w:rsidP="009F7880">
      <w:pPr>
        <w:spacing w:line="360" w:lineRule="auto"/>
        <w:ind w:left="720"/>
        <w:rPr>
          <w:rFonts w:ascii="Arial" w:hAnsi="Arial" w:cs="Arial"/>
          <w:sz w:val="24"/>
          <w:szCs w:val="24"/>
        </w:rPr>
      </w:pPr>
      <w:r>
        <w:rPr>
          <w:rFonts w:ascii="Arial" w:hAnsi="Arial" w:cs="Arial"/>
          <w:sz w:val="24"/>
          <w:szCs w:val="24"/>
        </w:rPr>
        <w:t>In order to complete the questionnaire, participants were asked to read each statement on the ASQ and fill each box with a number corresponding to the scale which best described their experience relating to the intensity of such symptoms.</w:t>
      </w:r>
    </w:p>
    <w:p w14:paraId="763BF0A6" w14:textId="72C21844" w:rsidR="00B36CFC" w:rsidRDefault="00B36CFC" w:rsidP="009F7880">
      <w:pPr>
        <w:spacing w:line="360" w:lineRule="auto"/>
        <w:ind w:left="720"/>
        <w:rPr>
          <w:rFonts w:ascii="Arial" w:hAnsi="Arial" w:cs="Arial"/>
          <w:sz w:val="24"/>
          <w:szCs w:val="24"/>
        </w:rPr>
      </w:pPr>
      <w:r>
        <w:rPr>
          <w:rFonts w:ascii="Arial" w:hAnsi="Arial" w:cs="Arial"/>
          <w:sz w:val="24"/>
          <w:szCs w:val="24"/>
        </w:rPr>
        <w:t xml:space="preserve">An example question is, within the past week has the participant felt ‘muscle tension or tightness’. </w:t>
      </w:r>
    </w:p>
    <w:p w14:paraId="3020CC7E" w14:textId="6DE310C9" w:rsidR="00B36CFC" w:rsidRDefault="00B36CFC" w:rsidP="00D712F8">
      <w:pPr>
        <w:rPr>
          <w:rFonts w:ascii="Arial" w:hAnsi="Arial" w:cs="Arial"/>
          <w:i/>
          <w:iCs/>
          <w:sz w:val="24"/>
          <w:szCs w:val="24"/>
        </w:rPr>
      </w:pPr>
      <w:r w:rsidRPr="00B36CFC">
        <w:rPr>
          <w:rFonts w:ascii="Arial" w:hAnsi="Arial" w:cs="Arial"/>
          <w:i/>
          <w:iCs/>
          <w:sz w:val="24"/>
          <w:szCs w:val="24"/>
        </w:rPr>
        <w:t>Procedure</w:t>
      </w:r>
    </w:p>
    <w:p w14:paraId="3B07EFBF" w14:textId="174E20EA" w:rsidR="00B36CFC" w:rsidRDefault="00F52CA4" w:rsidP="009F7880">
      <w:pPr>
        <w:spacing w:line="360" w:lineRule="auto"/>
        <w:ind w:left="720"/>
        <w:rPr>
          <w:rFonts w:ascii="Arial" w:hAnsi="Arial" w:cs="Arial"/>
          <w:sz w:val="24"/>
          <w:szCs w:val="24"/>
        </w:rPr>
      </w:pPr>
      <w:r>
        <w:rPr>
          <w:rFonts w:ascii="Arial" w:hAnsi="Arial" w:cs="Arial"/>
          <w:sz w:val="24"/>
          <w:szCs w:val="24"/>
        </w:rPr>
        <w:lastRenderedPageBreak/>
        <w:t>A volunteer sample of members of the public were notified by a</w:t>
      </w:r>
      <w:r w:rsidR="007F1260">
        <w:rPr>
          <w:rFonts w:ascii="Arial" w:hAnsi="Arial" w:cs="Arial"/>
          <w:sz w:val="24"/>
          <w:szCs w:val="24"/>
        </w:rPr>
        <w:t>n advertisement poster for the study was placed within a self-help group for individuals experiencing symptoms of anxiet</w:t>
      </w:r>
      <w:r>
        <w:rPr>
          <w:rFonts w:ascii="Arial" w:hAnsi="Arial" w:cs="Arial"/>
          <w:sz w:val="24"/>
          <w:szCs w:val="24"/>
        </w:rPr>
        <w:t>y</w:t>
      </w:r>
      <w:r w:rsidR="007F1260">
        <w:rPr>
          <w:rFonts w:ascii="Arial" w:hAnsi="Arial" w:cs="Arial"/>
          <w:sz w:val="24"/>
          <w:szCs w:val="24"/>
        </w:rPr>
        <w:t>. Participants interested in the study were encouraged to contact the lead researcher to receive further information about the necessary requirements of the study.</w:t>
      </w:r>
    </w:p>
    <w:p w14:paraId="3213306C" w14:textId="4AB63891" w:rsidR="008B0C89" w:rsidRDefault="008B0C89" w:rsidP="009F7880">
      <w:pPr>
        <w:spacing w:line="360" w:lineRule="auto"/>
        <w:ind w:left="720"/>
        <w:rPr>
          <w:rFonts w:ascii="Arial" w:hAnsi="Arial" w:cs="Arial"/>
          <w:sz w:val="24"/>
          <w:szCs w:val="24"/>
        </w:rPr>
      </w:pPr>
      <w:r>
        <w:rPr>
          <w:rFonts w:ascii="Arial" w:hAnsi="Arial" w:cs="Arial"/>
          <w:sz w:val="24"/>
          <w:szCs w:val="24"/>
        </w:rPr>
        <w:t>Each interested individual was sent full study information via email. Participants were informed they would be required to participate in a six-week short-course of CBT aimed at helping them manage their anxiety symptoms. They were also told they would be asked to complete a short anxiety questionnaire before and after participating in the CBT short-course.</w:t>
      </w:r>
      <w:r w:rsidR="00F36977">
        <w:rPr>
          <w:rFonts w:ascii="Arial" w:hAnsi="Arial" w:cs="Arial"/>
          <w:sz w:val="24"/>
          <w:szCs w:val="24"/>
        </w:rPr>
        <w:t xml:space="preserve"> Participants were sent a consent form (see Appendix A).</w:t>
      </w:r>
    </w:p>
    <w:p w14:paraId="07734680" w14:textId="0CB42F0E" w:rsidR="001A08B1" w:rsidRDefault="001A08B1" w:rsidP="009F7880">
      <w:pPr>
        <w:spacing w:line="360" w:lineRule="auto"/>
        <w:ind w:left="720"/>
        <w:rPr>
          <w:rFonts w:ascii="Arial" w:hAnsi="Arial" w:cs="Arial"/>
          <w:sz w:val="24"/>
          <w:szCs w:val="24"/>
        </w:rPr>
      </w:pPr>
      <w:r>
        <w:rPr>
          <w:rFonts w:ascii="Arial" w:hAnsi="Arial" w:cs="Arial"/>
          <w:sz w:val="24"/>
          <w:szCs w:val="24"/>
        </w:rPr>
        <w:t>On day one of their CBT sessions, all participants completed the ASQ to assess the intensity of their anxiety symptoms prior to taking part in the course. After completion of the final sixth session, participants were once again asked to complete the ASQ.</w:t>
      </w:r>
    </w:p>
    <w:p w14:paraId="004FFBA5" w14:textId="286BCC0D" w:rsidR="001A08B1" w:rsidRDefault="001A08B1" w:rsidP="009F7880">
      <w:pPr>
        <w:spacing w:line="360" w:lineRule="auto"/>
        <w:ind w:left="720"/>
        <w:rPr>
          <w:rFonts w:ascii="Arial" w:hAnsi="Arial" w:cs="Arial"/>
          <w:sz w:val="24"/>
          <w:szCs w:val="24"/>
        </w:rPr>
      </w:pPr>
      <w:r>
        <w:rPr>
          <w:rFonts w:ascii="Arial" w:hAnsi="Arial" w:cs="Arial"/>
          <w:sz w:val="24"/>
          <w:szCs w:val="24"/>
        </w:rPr>
        <w:t xml:space="preserve">Participants were thanked for their participation in the study and were provided with the opportunity to ask any questions. A debrief form </w:t>
      </w:r>
      <w:r w:rsidR="00F36977">
        <w:rPr>
          <w:rFonts w:ascii="Arial" w:hAnsi="Arial" w:cs="Arial"/>
          <w:sz w:val="24"/>
          <w:szCs w:val="24"/>
        </w:rPr>
        <w:t xml:space="preserve">(see Appendix B) </w:t>
      </w:r>
      <w:r>
        <w:rPr>
          <w:rFonts w:ascii="Arial" w:hAnsi="Arial" w:cs="Arial"/>
          <w:sz w:val="24"/>
          <w:szCs w:val="24"/>
        </w:rPr>
        <w:t>was then provided to participants outlining the aims of the study.</w:t>
      </w:r>
    </w:p>
    <w:p w14:paraId="4A7FCBB7" w14:textId="77777777" w:rsidR="00DA3D34" w:rsidRDefault="00DA3D34" w:rsidP="00A10CB8">
      <w:pPr>
        <w:ind w:left="720"/>
        <w:rPr>
          <w:rFonts w:ascii="Arial" w:hAnsi="Arial" w:cs="Arial"/>
          <w:sz w:val="24"/>
          <w:szCs w:val="24"/>
        </w:rPr>
      </w:pPr>
    </w:p>
    <w:p w14:paraId="1FF0C4FE" w14:textId="1B526ECF" w:rsidR="001A08B1" w:rsidRDefault="0039712F" w:rsidP="00D11D4E">
      <w:pPr>
        <w:jc w:val="center"/>
        <w:rPr>
          <w:rFonts w:ascii="Arial" w:hAnsi="Arial" w:cs="Arial"/>
          <w:b/>
          <w:bCs/>
          <w:sz w:val="24"/>
          <w:szCs w:val="24"/>
        </w:rPr>
      </w:pPr>
      <w:r w:rsidRPr="0039712F">
        <w:rPr>
          <w:rFonts w:ascii="Arial" w:hAnsi="Arial" w:cs="Arial"/>
          <w:b/>
          <w:bCs/>
          <w:sz w:val="24"/>
          <w:szCs w:val="24"/>
        </w:rPr>
        <w:t>Results</w:t>
      </w:r>
    </w:p>
    <w:p w14:paraId="6A5D35E7" w14:textId="44F90DBA" w:rsidR="00D11D4E" w:rsidRDefault="00445EDD" w:rsidP="009F7880">
      <w:pPr>
        <w:spacing w:line="360" w:lineRule="auto"/>
        <w:rPr>
          <w:rFonts w:ascii="Arial" w:hAnsi="Arial" w:cs="Arial"/>
          <w:sz w:val="24"/>
          <w:szCs w:val="24"/>
        </w:rPr>
      </w:pPr>
      <w:r w:rsidRPr="00445EDD">
        <w:rPr>
          <w:rFonts w:ascii="Arial" w:hAnsi="Arial" w:cs="Arial"/>
          <w:sz w:val="24"/>
          <w:szCs w:val="24"/>
        </w:rPr>
        <w:t xml:space="preserve">A Wilcoxon Signed Ranks Test was conducted to determine whether the intensity of anxiety symptoms reported by participants reduced following the completion of a six-week short-course of CBT. The value of </w:t>
      </w:r>
      <w:r w:rsidRPr="00445EDD">
        <w:rPr>
          <w:rFonts w:ascii="Arial" w:hAnsi="Arial" w:cs="Arial"/>
          <w:i/>
          <w:iCs/>
          <w:sz w:val="24"/>
          <w:szCs w:val="24"/>
        </w:rPr>
        <w:t>W</w:t>
      </w:r>
      <w:r w:rsidRPr="00445EDD">
        <w:rPr>
          <w:rFonts w:ascii="Arial" w:hAnsi="Arial" w:cs="Arial"/>
          <w:sz w:val="24"/>
          <w:szCs w:val="24"/>
        </w:rPr>
        <w:t xml:space="preserve"> was calculated as the smaller of W+ and W-, and therefore </w:t>
      </w:r>
      <w:r w:rsidRPr="00445EDD">
        <w:rPr>
          <w:rFonts w:ascii="Arial" w:hAnsi="Arial" w:cs="Arial"/>
          <w:i/>
          <w:iCs/>
          <w:sz w:val="24"/>
          <w:szCs w:val="24"/>
        </w:rPr>
        <w:t>W</w:t>
      </w:r>
      <w:r w:rsidRPr="00445EDD">
        <w:rPr>
          <w:rFonts w:ascii="Arial" w:hAnsi="Arial" w:cs="Arial"/>
          <w:sz w:val="24"/>
          <w:szCs w:val="24"/>
        </w:rPr>
        <w:t xml:space="preserve"> was equal to 81.5. The critical value of </w:t>
      </w:r>
      <w:r w:rsidRPr="00445EDD">
        <w:rPr>
          <w:rFonts w:ascii="Arial" w:hAnsi="Arial" w:cs="Arial"/>
          <w:i/>
          <w:iCs/>
          <w:sz w:val="24"/>
          <w:szCs w:val="24"/>
        </w:rPr>
        <w:t>W</w:t>
      </w:r>
      <w:r w:rsidRPr="00445EDD">
        <w:rPr>
          <w:rFonts w:ascii="Arial" w:hAnsi="Arial" w:cs="Arial"/>
          <w:sz w:val="24"/>
          <w:szCs w:val="24"/>
        </w:rPr>
        <w:t xml:space="preserve"> as indicated by the critical values table for 24 participants was 91, and so it has been observed that there is a significant difference in participants anxiety symptom intensity. The median scores indicate that intensity of symptoms was lower following the completion of the CBT short-course (median before = 52.5 and median after = 49) and so the hypothesis can be accepted.</w:t>
      </w:r>
      <w:r w:rsidR="00D11D4E">
        <w:rPr>
          <w:rFonts w:ascii="Arial" w:hAnsi="Arial" w:cs="Arial"/>
          <w:sz w:val="24"/>
          <w:szCs w:val="24"/>
        </w:rPr>
        <w:t xml:space="preserve"> </w:t>
      </w:r>
    </w:p>
    <w:p w14:paraId="219068D2" w14:textId="64B37C5A" w:rsidR="00AD1F3E" w:rsidRDefault="00AD1F3E" w:rsidP="00D11D4E"/>
    <w:p w14:paraId="04A56357" w14:textId="77777777" w:rsidR="00DA3D34" w:rsidRDefault="00DA3D34" w:rsidP="00DA3D34"/>
    <w:p w14:paraId="5A059513" w14:textId="4B6F3732" w:rsidR="000B55D1" w:rsidRPr="000B55D1" w:rsidRDefault="00260A09" w:rsidP="00DA3D34">
      <w:pPr>
        <w:jc w:val="center"/>
        <w:rPr>
          <w:rFonts w:ascii="Arial" w:hAnsi="Arial" w:cs="Arial"/>
          <w:b/>
          <w:bCs/>
          <w:sz w:val="24"/>
          <w:szCs w:val="24"/>
        </w:rPr>
      </w:pPr>
      <w:r w:rsidRPr="00260A09">
        <w:rPr>
          <w:rFonts w:ascii="Arial" w:hAnsi="Arial" w:cs="Arial"/>
          <w:b/>
          <w:bCs/>
          <w:sz w:val="24"/>
          <w:szCs w:val="24"/>
        </w:rPr>
        <w:lastRenderedPageBreak/>
        <w:t>Refere</w:t>
      </w:r>
      <w:r w:rsidR="000B55D1">
        <w:rPr>
          <w:rFonts w:ascii="Arial" w:hAnsi="Arial" w:cs="Arial"/>
          <w:b/>
          <w:bCs/>
          <w:sz w:val="24"/>
          <w:szCs w:val="24"/>
        </w:rPr>
        <w:t>n</w:t>
      </w:r>
      <w:r w:rsidRPr="00260A09">
        <w:rPr>
          <w:rFonts w:ascii="Arial" w:hAnsi="Arial" w:cs="Arial"/>
          <w:b/>
          <w:bCs/>
          <w:sz w:val="24"/>
          <w:szCs w:val="24"/>
        </w:rPr>
        <w:t>ces</w:t>
      </w:r>
    </w:p>
    <w:p w14:paraId="38D36C9C" w14:textId="538B9C8A" w:rsidR="000B55D1" w:rsidRPr="0007329A" w:rsidRDefault="000B55D1" w:rsidP="009F7880">
      <w:pPr>
        <w:spacing w:line="360" w:lineRule="auto"/>
        <w:rPr>
          <w:rFonts w:ascii="Arial" w:hAnsi="Arial" w:cs="Arial"/>
          <w:color w:val="000000" w:themeColor="text1"/>
          <w:sz w:val="24"/>
          <w:szCs w:val="24"/>
        </w:rPr>
      </w:pPr>
      <w:r w:rsidRPr="0007329A">
        <w:rPr>
          <w:rFonts w:ascii="Arial" w:hAnsi="Arial" w:cs="Arial"/>
          <w:color w:val="000000" w:themeColor="text1"/>
          <w:sz w:val="24"/>
          <w:szCs w:val="24"/>
        </w:rPr>
        <w:t xml:space="preserve">American Psychological Association (APA). (2017). </w:t>
      </w:r>
      <w:r w:rsidRPr="0007329A">
        <w:rPr>
          <w:rFonts w:ascii="Arial" w:hAnsi="Arial" w:cs="Arial"/>
          <w:i/>
          <w:iCs/>
          <w:color w:val="000000" w:themeColor="text1"/>
          <w:sz w:val="24"/>
          <w:szCs w:val="24"/>
        </w:rPr>
        <w:t>What is cognitive behavioural therapy?</w:t>
      </w:r>
      <w:r w:rsidRPr="0007329A">
        <w:rPr>
          <w:rFonts w:ascii="Arial" w:hAnsi="Arial" w:cs="Arial"/>
          <w:color w:val="000000" w:themeColor="text1"/>
          <w:sz w:val="24"/>
          <w:szCs w:val="24"/>
        </w:rPr>
        <w:t xml:space="preserve"> </w:t>
      </w:r>
      <w:hyperlink r:id="rId6" w:history="1">
        <w:r w:rsidR="00B22588" w:rsidRPr="0007329A">
          <w:rPr>
            <w:rStyle w:val="Hyperlink"/>
            <w:rFonts w:ascii="Arial" w:hAnsi="Arial" w:cs="Arial"/>
            <w:sz w:val="24"/>
            <w:szCs w:val="24"/>
          </w:rPr>
          <w:t>https://www.apa.org/ptsd-guideline/patients-and-families/cognitive-behavioral</w:t>
        </w:r>
      </w:hyperlink>
      <w:r w:rsidR="00B22588" w:rsidRPr="0007329A">
        <w:rPr>
          <w:rFonts w:ascii="Arial" w:hAnsi="Arial" w:cs="Arial"/>
          <w:color w:val="000000" w:themeColor="text1"/>
          <w:sz w:val="24"/>
          <w:szCs w:val="24"/>
        </w:rPr>
        <w:t xml:space="preserve"> </w:t>
      </w:r>
    </w:p>
    <w:p w14:paraId="7A5E571B" w14:textId="496CBA08" w:rsidR="00BE3ABB" w:rsidRPr="0007329A" w:rsidRDefault="0007329A" w:rsidP="009F7880">
      <w:pPr>
        <w:spacing w:line="360" w:lineRule="auto"/>
        <w:rPr>
          <w:rFonts w:ascii="Arial" w:hAnsi="Arial" w:cs="Arial"/>
          <w:color w:val="000000" w:themeColor="text1"/>
          <w:sz w:val="24"/>
          <w:szCs w:val="24"/>
          <w:lang w:val="de-DE"/>
        </w:rPr>
      </w:pPr>
      <w:r>
        <w:rPr>
          <w:rFonts w:ascii="Arial" w:hAnsi="Arial" w:cs="Arial"/>
          <w:color w:val="000000" w:themeColor="text1"/>
          <w:sz w:val="24"/>
          <w:szCs w:val="24"/>
        </w:rPr>
        <w:t>C</w:t>
      </w:r>
      <w:r w:rsidR="001653A2" w:rsidRPr="0007329A">
        <w:rPr>
          <w:rFonts w:ascii="Arial" w:hAnsi="Arial" w:cs="Arial"/>
          <w:color w:val="000000" w:themeColor="text1"/>
          <w:sz w:val="24"/>
          <w:szCs w:val="24"/>
        </w:rPr>
        <w:t>enter for Behavioral Health Statistics and Quality</w:t>
      </w:r>
      <w:r w:rsidR="002E5D27" w:rsidRPr="0007329A">
        <w:rPr>
          <w:rFonts w:ascii="Arial" w:hAnsi="Arial" w:cs="Arial"/>
          <w:color w:val="000000" w:themeColor="text1"/>
          <w:sz w:val="24"/>
          <w:szCs w:val="24"/>
        </w:rPr>
        <w:t xml:space="preserve"> (CBHSQ)</w:t>
      </w:r>
      <w:r w:rsidR="00D23E8A" w:rsidRPr="0007329A">
        <w:rPr>
          <w:rFonts w:ascii="Arial" w:hAnsi="Arial" w:cs="Arial"/>
          <w:color w:val="000000" w:themeColor="text1"/>
          <w:sz w:val="24"/>
          <w:szCs w:val="24"/>
        </w:rPr>
        <w:t xml:space="preserve">. (2016). </w:t>
      </w:r>
      <w:r w:rsidR="00D23E8A" w:rsidRPr="0007329A">
        <w:rPr>
          <w:rFonts w:ascii="Arial" w:hAnsi="Arial" w:cs="Arial"/>
          <w:i/>
          <w:iCs/>
          <w:color w:val="000000" w:themeColor="text1"/>
          <w:sz w:val="24"/>
          <w:szCs w:val="24"/>
        </w:rPr>
        <w:t xml:space="preserve">Impact of the DSM-IV to DSM-5 Changes on the National Survey on Drug Use and Health. </w:t>
      </w:r>
      <w:r w:rsidR="00D23E8A" w:rsidRPr="0007329A">
        <w:rPr>
          <w:rFonts w:ascii="Arial" w:hAnsi="Arial" w:cs="Arial"/>
          <w:color w:val="000000" w:themeColor="text1"/>
          <w:sz w:val="24"/>
          <w:szCs w:val="24"/>
          <w:lang w:val="de-DE"/>
        </w:rPr>
        <w:t xml:space="preserve">SAMHSA. </w:t>
      </w:r>
      <w:hyperlink r:id="rId7" w:history="1">
        <w:r w:rsidR="00D23E8A" w:rsidRPr="0007329A">
          <w:rPr>
            <w:rStyle w:val="Hyperlink"/>
            <w:rFonts w:ascii="Arial" w:hAnsi="Arial" w:cs="Arial"/>
            <w:sz w:val="24"/>
            <w:szCs w:val="24"/>
            <w:lang w:val="de-DE"/>
          </w:rPr>
          <w:t>https://www.ncbi.nlm.nih.gov/books/NBK519697/pdf/Bookshelf_NBK519697.pdf</w:t>
        </w:r>
      </w:hyperlink>
      <w:r w:rsidR="00D23E8A" w:rsidRPr="0007329A">
        <w:rPr>
          <w:rFonts w:ascii="Arial" w:hAnsi="Arial" w:cs="Arial"/>
          <w:color w:val="000000" w:themeColor="text1"/>
          <w:sz w:val="24"/>
          <w:szCs w:val="24"/>
          <w:lang w:val="de-DE"/>
        </w:rPr>
        <w:t xml:space="preserve"> </w:t>
      </w:r>
    </w:p>
    <w:p w14:paraId="2FECA9EB" w14:textId="2DC0786B" w:rsidR="004D4488" w:rsidRPr="0007329A" w:rsidRDefault="00E5362C" w:rsidP="009F7880">
      <w:pPr>
        <w:spacing w:line="360" w:lineRule="auto"/>
        <w:rPr>
          <w:rFonts w:ascii="Arial" w:hAnsi="Arial" w:cs="Arial"/>
          <w:color w:val="000000" w:themeColor="text1"/>
          <w:sz w:val="28"/>
          <w:szCs w:val="28"/>
        </w:rPr>
      </w:pPr>
      <w:r w:rsidRPr="0007329A">
        <w:rPr>
          <w:rFonts w:ascii="Arial" w:hAnsi="Arial" w:cs="Arial"/>
          <w:color w:val="000000" w:themeColor="text1"/>
          <w:sz w:val="24"/>
          <w:szCs w:val="24"/>
        </w:rPr>
        <w:t xml:space="preserve">Chambless, D.L., Hollon, S.D. (1998). Defining empirically supported therapies. </w:t>
      </w:r>
      <w:r w:rsidRPr="0007329A">
        <w:rPr>
          <w:rFonts w:ascii="Arial" w:hAnsi="Arial" w:cs="Arial"/>
          <w:i/>
          <w:iCs/>
          <w:color w:val="000000" w:themeColor="text1"/>
          <w:sz w:val="24"/>
          <w:szCs w:val="24"/>
        </w:rPr>
        <w:t xml:space="preserve">Journal of Consulting and Clinical Psychology, </w:t>
      </w:r>
      <w:r w:rsidRPr="0007329A">
        <w:rPr>
          <w:rFonts w:ascii="Arial" w:hAnsi="Arial" w:cs="Arial"/>
          <w:color w:val="000000" w:themeColor="text1"/>
          <w:sz w:val="24"/>
          <w:szCs w:val="24"/>
        </w:rPr>
        <w:t>66(1), 7-18.</w:t>
      </w:r>
      <w:r w:rsidR="00EC02AF" w:rsidRPr="0007329A">
        <w:rPr>
          <w:rFonts w:ascii="Arial" w:hAnsi="Arial" w:cs="Arial"/>
          <w:color w:val="000000" w:themeColor="text1"/>
          <w:sz w:val="24"/>
          <w:szCs w:val="24"/>
        </w:rPr>
        <w:t xml:space="preserve"> </w:t>
      </w:r>
      <w:r w:rsidR="00EC02AF" w:rsidRPr="0007329A">
        <w:rPr>
          <w:rFonts w:ascii="Arial" w:hAnsi="Arial" w:cs="Arial"/>
          <w:color w:val="000000" w:themeColor="text1"/>
          <w:sz w:val="24"/>
          <w:szCs w:val="24"/>
          <w:shd w:val="clear" w:color="auto" w:fill="FFFFFF"/>
        </w:rPr>
        <w:t>DOI: 10.1037/0022-006X.66.1.7</w:t>
      </w:r>
    </w:p>
    <w:p w14:paraId="1F7DF95B" w14:textId="6E518993" w:rsidR="00EA2E3A" w:rsidRPr="0007329A" w:rsidRDefault="00EA2E3A" w:rsidP="009F7880">
      <w:pPr>
        <w:spacing w:line="360" w:lineRule="auto"/>
        <w:rPr>
          <w:rFonts w:ascii="Arial" w:hAnsi="Arial" w:cs="Arial"/>
          <w:color w:val="000000" w:themeColor="text1"/>
          <w:sz w:val="24"/>
          <w:szCs w:val="24"/>
        </w:rPr>
      </w:pPr>
      <w:r w:rsidRPr="0007329A">
        <w:rPr>
          <w:rFonts w:ascii="Arial" w:hAnsi="Arial" w:cs="Arial"/>
          <w:color w:val="000000" w:themeColor="text1"/>
          <w:sz w:val="24"/>
          <w:szCs w:val="24"/>
        </w:rPr>
        <w:t xml:space="preserve">Covin, R., Ouimet, A.J., Seeds, P.M., Dozois, D.J.A. (2008). A meta-analysis of CBT for pathological worry among clients with GAD. </w:t>
      </w:r>
      <w:r w:rsidRPr="0007329A">
        <w:rPr>
          <w:rFonts w:ascii="Arial" w:hAnsi="Arial" w:cs="Arial"/>
          <w:i/>
          <w:iCs/>
          <w:color w:val="000000" w:themeColor="text1"/>
          <w:sz w:val="24"/>
          <w:szCs w:val="24"/>
        </w:rPr>
        <w:t>Journal of Anxiety Disorders, 22</w:t>
      </w:r>
      <w:r w:rsidRPr="0007329A">
        <w:rPr>
          <w:rFonts w:ascii="Arial" w:hAnsi="Arial" w:cs="Arial"/>
          <w:color w:val="000000" w:themeColor="text1"/>
          <w:sz w:val="24"/>
          <w:szCs w:val="24"/>
        </w:rPr>
        <w:t xml:space="preserve">(1), 108-116. </w:t>
      </w:r>
      <w:hyperlink r:id="rId8" w:history="1">
        <w:r w:rsidRPr="0007329A">
          <w:rPr>
            <w:rStyle w:val="Hyperlink"/>
            <w:rFonts w:ascii="Arial" w:hAnsi="Arial" w:cs="Arial"/>
            <w:sz w:val="24"/>
            <w:szCs w:val="24"/>
          </w:rPr>
          <w:t>https://doi-org.ezproxy.uwtsd.ac.uk/10.1016/j.janxdis.2007.01.002</w:t>
        </w:r>
      </w:hyperlink>
      <w:r w:rsidRPr="0007329A">
        <w:rPr>
          <w:rFonts w:ascii="Arial" w:hAnsi="Arial" w:cs="Arial"/>
          <w:color w:val="000000" w:themeColor="text1"/>
          <w:sz w:val="24"/>
          <w:szCs w:val="24"/>
        </w:rPr>
        <w:t xml:space="preserve"> </w:t>
      </w:r>
    </w:p>
    <w:p w14:paraId="67A551FD" w14:textId="401F924D" w:rsidR="00563EAC" w:rsidRPr="0007329A" w:rsidRDefault="00563EAC" w:rsidP="009F7880">
      <w:pPr>
        <w:spacing w:line="360" w:lineRule="auto"/>
        <w:rPr>
          <w:rFonts w:ascii="Arial" w:hAnsi="Arial" w:cs="Arial"/>
          <w:color w:val="000000" w:themeColor="text1"/>
          <w:sz w:val="24"/>
          <w:szCs w:val="24"/>
        </w:rPr>
      </w:pPr>
      <w:r w:rsidRPr="0007329A">
        <w:rPr>
          <w:rFonts w:ascii="Arial" w:hAnsi="Arial" w:cs="Arial"/>
          <w:color w:val="000000" w:themeColor="text1"/>
          <w:sz w:val="24"/>
          <w:szCs w:val="24"/>
          <w:lang w:val="fr-FR"/>
        </w:rPr>
        <w:t>Dugas, M.J., Freeston, M.H., Ladouceur, R., L</w:t>
      </w:r>
      <w:r w:rsidRPr="0007329A">
        <w:rPr>
          <w:rFonts w:ascii="Arial" w:hAnsi="Arial" w:cs="Arial"/>
          <w:sz w:val="24"/>
          <w:szCs w:val="24"/>
          <w:lang w:val="fr-FR"/>
        </w:rPr>
        <w:t>ég</w:t>
      </w:r>
      <w:r w:rsidRPr="0007329A">
        <w:rPr>
          <w:rFonts w:ascii="Arial" w:hAnsi="Arial" w:cs="Arial"/>
          <w:color w:val="000000" w:themeColor="text1"/>
          <w:sz w:val="24"/>
          <w:szCs w:val="24"/>
          <w:lang w:val="fr-FR"/>
        </w:rPr>
        <w:t xml:space="preserve">er, E., Langlois, F., Provencher, M.D., Boisvert, J-M. </w:t>
      </w:r>
      <w:r w:rsidRPr="0007329A">
        <w:rPr>
          <w:rFonts w:ascii="Arial" w:hAnsi="Arial" w:cs="Arial"/>
          <w:color w:val="000000" w:themeColor="text1"/>
          <w:sz w:val="24"/>
          <w:szCs w:val="24"/>
        </w:rPr>
        <w:t xml:space="preserve">(2003). Group cognitive behavioral therapy for generalized anxiety disorder: treatment outcome and long-term follow up. </w:t>
      </w:r>
      <w:r w:rsidRPr="0007329A">
        <w:rPr>
          <w:rFonts w:ascii="Arial" w:hAnsi="Arial" w:cs="Arial"/>
          <w:i/>
          <w:iCs/>
          <w:color w:val="000000" w:themeColor="text1"/>
          <w:sz w:val="24"/>
          <w:szCs w:val="24"/>
        </w:rPr>
        <w:t>Journal of Consulting and Clinical Psychology, 71</w:t>
      </w:r>
      <w:r w:rsidRPr="0007329A">
        <w:rPr>
          <w:rFonts w:ascii="Arial" w:hAnsi="Arial" w:cs="Arial"/>
          <w:color w:val="000000" w:themeColor="text1"/>
          <w:sz w:val="24"/>
          <w:szCs w:val="24"/>
        </w:rPr>
        <w:t>(4), 821-825. DOI: 10.1037/0022-006X.71.4.821</w:t>
      </w:r>
    </w:p>
    <w:p w14:paraId="4AFAA2D9" w14:textId="5BDB4ADD" w:rsidR="00B22588" w:rsidRPr="0007329A" w:rsidRDefault="002C3526" w:rsidP="009F7880">
      <w:pPr>
        <w:spacing w:line="360" w:lineRule="auto"/>
        <w:rPr>
          <w:rFonts w:ascii="Arial" w:hAnsi="Arial" w:cs="Arial"/>
          <w:color w:val="000000" w:themeColor="text1"/>
          <w:sz w:val="24"/>
          <w:szCs w:val="24"/>
        </w:rPr>
      </w:pPr>
      <w:r w:rsidRPr="0007329A">
        <w:rPr>
          <w:rFonts w:ascii="Arial" w:hAnsi="Arial" w:cs="Arial"/>
          <w:color w:val="000000" w:themeColor="text1"/>
          <w:sz w:val="24"/>
          <w:szCs w:val="24"/>
        </w:rPr>
        <w:t xml:space="preserve">Erickson, T.M., Newman, M.G. (2005). Cognitive behavioural psychotherapy for generalized anxiety disorder: a primer. </w:t>
      </w:r>
      <w:r w:rsidRPr="0007329A">
        <w:rPr>
          <w:rFonts w:ascii="Arial" w:hAnsi="Arial" w:cs="Arial"/>
          <w:i/>
          <w:iCs/>
          <w:color w:val="000000" w:themeColor="text1"/>
          <w:sz w:val="24"/>
          <w:szCs w:val="24"/>
        </w:rPr>
        <w:t>Future-Drugs</w:t>
      </w:r>
      <w:r w:rsidRPr="0007329A">
        <w:rPr>
          <w:rFonts w:ascii="Arial" w:hAnsi="Arial" w:cs="Arial"/>
          <w:color w:val="000000" w:themeColor="text1"/>
          <w:sz w:val="24"/>
          <w:szCs w:val="24"/>
        </w:rPr>
        <w:t>, 5(2), 247-257. DOI: 10.1586/14737175.5.2.247</w:t>
      </w:r>
    </w:p>
    <w:p w14:paraId="5F33C720" w14:textId="529DCA6A" w:rsidR="00D23E8A" w:rsidRPr="0007329A" w:rsidRDefault="00B22588" w:rsidP="009F7880">
      <w:pPr>
        <w:spacing w:line="360" w:lineRule="auto"/>
        <w:rPr>
          <w:rFonts w:ascii="Arial" w:hAnsi="Arial" w:cs="Arial"/>
          <w:color w:val="000000" w:themeColor="text1"/>
          <w:sz w:val="24"/>
          <w:szCs w:val="24"/>
        </w:rPr>
      </w:pPr>
      <w:r w:rsidRPr="0007329A">
        <w:rPr>
          <w:rFonts w:ascii="Arial" w:hAnsi="Arial" w:cs="Arial"/>
          <w:color w:val="000000" w:themeColor="text1"/>
          <w:sz w:val="24"/>
          <w:szCs w:val="24"/>
        </w:rPr>
        <w:t xml:space="preserve">Marom, S., Hermesh, H. (2003). Cognitive behavior therapy (CBT) in anxiety disorders. </w:t>
      </w:r>
      <w:r w:rsidRPr="0007329A">
        <w:rPr>
          <w:rFonts w:ascii="Arial" w:hAnsi="Arial" w:cs="Arial"/>
          <w:i/>
          <w:iCs/>
          <w:color w:val="000000" w:themeColor="text1"/>
          <w:sz w:val="24"/>
          <w:szCs w:val="24"/>
        </w:rPr>
        <w:t>The Israel Journal of Psychiatry and Related Sciences, 40</w:t>
      </w:r>
      <w:r w:rsidRPr="0007329A">
        <w:rPr>
          <w:rFonts w:ascii="Arial" w:hAnsi="Arial" w:cs="Arial"/>
          <w:color w:val="000000" w:themeColor="text1"/>
          <w:sz w:val="24"/>
          <w:szCs w:val="24"/>
        </w:rPr>
        <w:t xml:space="preserve">(2), 135-144. </w:t>
      </w:r>
      <w:hyperlink r:id="rId9" w:history="1">
        <w:r w:rsidRPr="0007329A">
          <w:rPr>
            <w:rStyle w:val="Hyperlink"/>
            <w:rFonts w:ascii="Arial" w:hAnsi="Arial" w:cs="Arial"/>
            <w:sz w:val="24"/>
            <w:szCs w:val="24"/>
            <w:shd w:val="clear" w:color="auto" w:fill="FFFFFF"/>
          </w:rPr>
          <w:t>https://www.proquest.com/scholarly-journals/cognitive-behavior-therapy-cbt-anxiety-disorders/docview/230594811/se-2</w:t>
        </w:r>
      </w:hyperlink>
      <w:r w:rsidRPr="0007329A">
        <w:rPr>
          <w:rFonts w:ascii="Arial" w:hAnsi="Arial" w:cs="Arial"/>
          <w:color w:val="000000" w:themeColor="text1"/>
          <w:sz w:val="24"/>
          <w:szCs w:val="24"/>
          <w:shd w:val="clear" w:color="auto" w:fill="FFFFFF"/>
        </w:rPr>
        <w:t xml:space="preserve"> </w:t>
      </w:r>
    </w:p>
    <w:p w14:paraId="0808E919" w14:textId="31A982CC" w:rsidR="00876C81" w:rsidRDefault="00876C81" w:rsidP="009F7880">
      <w:pPr>
        <w:spacing w:line="360" w:lineRule="auto"/>
        <w:rPr>
          <w:rFonts w:ascii="Arial" w:hAnsi="Arial" w:cs="Arial"/>
          <w:color w:val="000000" w:themeColor="text1"/>
          <w:sz w:val="24"/>
          <w:szCs w:val="24"/>
        </w:rPr>
      </w:pPr>
      <w:r w:rsidRPr="0007329A">
        <w:rPr>
          <w:rFonts w:ascii="Arial" w:hAnsi="Arial" w:cs="Arial"/>
          <w:sz w:val="24"/>
          <w:szCs w:val="24"/>
          <w:lang w:val="it-IT"/>
        </w:rPr>
        <w:t xml:space="preserve">Stefan, S., Cristea, I. A., Tatar, A.S., David, D. (2019). </w:t>
      </w:r>
      <w:r w:rsidRPr="0007329A">
        <w:rPr>
          <w:rFonts w:ascii="Arial" w:hAnsi="Arial" w:cs="Arial"/>
          <w:sz w:val="24"/>
          <w:szCs w:val="24"/>
        </w:rPr>
        <w:t xml:space="preserve">Cognitive-behavioral therapy (CBT) for generalized anxiety disorder: Contrasting various CBT approaches in a randomized clinical trial. </w:t>
      </w:r>
      <w:r w:rsidRPr="0007329A">
        <w:rPr>
          <w:rFonts w:ascii="Arial" w:hAnsi="Arial" w:cs="Arial"/>
          <w:i/>
          <w:iCs/>
          <w:sz w:val="24"/>
          <w:szCs w:val="24"/>
        </w:rPr>
        <w:t xml:space="preserve">Journal of Clinical Psychology, 75, </w:t>
      </w:r>
      <w:r w:rsidRPr="0007329A">
        <w:rPr>
          <w:rFonts w:ascii="Arial" w:hAnsi="Arial" w:cs="Arial"/>
          <w:sz w:val="24"/>
          <w:szCs w:val="24"/>
        </w:rPr>
        <w:t>1188-1202.</w:t>
      </w:r>
      <w:r w:rsidRPr="0007329A">
        <w:rPr>
          <w:rFonts w:ascii="Arial" w:hAnsi="Arial" w:cs="Arial"/>
          <w:i/>
          <w:iCs/>
          <w:sz w:val="24"/>
          <w:szCs w:val="24"/>
        </w:rPr>
        <w:t xml:space="preserve"> </w:t>
      </w:r>
      <w:r w:rsidRPr="0007329A">
        <w:rPr>
          <w:rFonts w:ascii="Arial" w:hAnsi="Arial" w:cs="Arial"/>
          <w:color w:val="000000" w:themeColor="text1"/>
          <w:sz w:val="24"/>
          <w:szCs w:val="24"/>
        </w:rPr>
        <w:t>DOI: 10.1002/jclp.22779</w:t>
      </w:r>
    </w:p>
    <w:p w14:paraId="0B787ABE" w14:textId="77777777" w:rsidR="009F7880" w:rsidRDefault="009F7880" w:rsidP="009F7880">
      <w:pPr>
        <w:rPr>
          <w:rFonts w:ascii="Arial" w:hAnsi="Arial" w:cs="Arial"/>
          <w:color w:val="000000" w:themeColor="text1"/>
          <w:sz w:val="24"/>
          <w:szCs w:val="24"/>
        </w:rPr>
      </w:pPr>
    </w:p>
    <w:p w14:paraId="22D9A36C" w14:textId="1E966A4B" w:rsidR="00D50190" w:rsidRDefault="00D50190" w:rsidP="009F7880">
      <w:pPr>
        <w:jc w:val="center"/>
        <w:rPr>
          <w:rFonts w:ascii="Arial" w:hAnsi="Arial" w:cs="Arial"/>
          <w:b/>
          <w:bCs/>
          <w:color w:val="000000" w:themeColor="text1"/>
          <w:sz w:val="24"/>
          <w:szCs w:val="24"/>
        </w:rPr>
      </w:pPr>
      <w:r w:rsidRPr="00D50190">
        <w:rPr>
          <w:rFonts w:ascii="Arial" w:hAnsi="Arial" w:cs="Arial"/>
          <w:b/>
          <w:bCs/>
          <w:color w:val="000000" w:themeColor="text1"/>
          <w:sz w:val="24"/>
          <w:szCs w:val="24"/>
        </w:rPr>
        <w:lastRenderedPageBreak/>
        <w:t>Appendices</w:t>
      </w:r>
    </w:p>
    <w:p w14:paraId="17E736CA" w14:textId="77777777" w:rsidR="00463A51" w:rsidRDefault="00463A51" w:rsidP="00D50190">
      <w:pPr>
        <w:jc w:val="center"/>
        <w:rPr>
          <w:rFonts w:ascii="Arial" w:hAnsi="Arial" w:cs="Arial"/>
          <w:b/>
          <w:bCs/>
          <w:color w:val="000000" w:themeColor="text1"/>
          <w:sz w:val="24"/>
          <w:szCs w:val="24"/>
        </w:rPr>
      </w:pPr>
    </w:p>
    <w:p w14:paraId="1CF42CAB" w14:textId="63F24EA6" w:rsidR="00463A51" w:rsidRDefault="00AA62F8" w:rsidP="00D50190">
      <w:pPr>
        <w:rPr>
          <w:rFonts w:ascii="Arial" w:hAnsi="Arial" w:cs="Arial"/>
          <w:i/>
          <w:iCs/>
          <w:color w:val="000000" w:themeColor="text1"/>
          <w:sz w:val="24"/>
          <w:szCs w:val="24"/>
        </w:rPr>
      </w:pPr>
      <w:r>
        <w:rPr>
          <w:rFonts w:ascii="Arial" w:hAnsi="Arial" w:cs="Arial"/>
          <w:i/>
          <w:iCs/>
          <w:color w:val="000000" w:themeColor="text1"/>
          <w:sz w:val="24"/>
          <w:szCs w:val="24"/>
        </w:rPr>
        <w:t xml:space="preserve">Appendix A: </w:t>
      </w:r>
      <w:r w:rsidR="00D50190" w:rsidRPr="00D50190">
        <w:rPr>
          <w:rFonts w:ascii="Arial" w:hAnsi="Arial" w:cs="Arial"/>
          <w:i/>
          <w:iCs/>
          <w:color w:val="000000" w:themeColor="text1"/>
          <w:sz w:val="24"/>
          <w:szCs w:val="24"/>
        </w:rPr>
        <w:t>Consent form</w:t>
      </w:r>
    </w:p>
    <w:p w14:paraId="2943C57B" w14:textId="43BF2FB0" w:rsidR="00D50190" w:rsidRDefault="00537D9F" w:rsidP="00D50190">
      <w:pPr>
        <w:rPr>
          <w:rFonts w:ascii="Arial" w:hAnsi="Arial" w:cs="Arial"/>
          <w:i/>
          <w:iCs/>
          <w:color w:val="000000" w:themeColor="text1"/>
          <w:sz w:val="24"/>
          <w:szCs w:val="24"/>
        </w:rPr>
      </w:pPr>
      <w:r w:rsidRPr="00537D9F">
        <w:rPr>
          <w:rFonts w:ascii="Arial" w:hAnsi="Arial" w:cs="Arial"/>
          <w:i/>
          <w:iCs/>
          <w:noProof/>
          <w:color w:val="000000" w:themeColor="text1"/>
          <w:sz w:val="24"/>
          <w:szCs w:val="24"/>
        </w:rPr>
        <w:drawing>
          <wp:anchor distT="0" distB="0" distL="114300" distR="114300" simplePos="0" relativeHeight="251658240" behindDoc="0" locked="0" layoutInCell="1" allowOverlap="1" wp14:anchorId="4FDC290A" wp14:editId="26696B83">
            <wp:simplePos x="0" y="0"/>
            <wp:positionH relativeFrom="column">
              <wp:posOffset>-502920</wp:posOffset>
            </wp:positionH>
            <wp:positionV relativeFrom="paragraph">
              <wp:posOffset>0</wp:posOffset>
            </wp:positionV>
            <wp:extent cx="6830695" cy="4770120"/>
            <wp:effectExtent l="0" t="0" r="8255" b="0"/>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830695" cy="4770120"/>
                    </a:xfrm>
                    <a:prstGeom prst="rect">
                      <a:avLst/>
                    </a:prstGeom>
                  </pic:spPr>
                </pic:pic>
              </a:graphicData>
            </a:graphic>
            <wp14:sizeRelH relativeFrom="margin">
              <wp14:pctWidth>0</wp14:pctWidth>
            </wp14:sizeRelH>
            <wp14:sizeRelV relativeFrom="margin">
              <wp14:pctHeight>0</wp14:pctHeight>
            </wp14:sizeRelV>
          </wp:anchor>
        </w:drawing>
      </w:r>
    </w:p>
    <w:p w14:paraId="32DEC616" w14:textId="77777777" w:rsidR="00463A51" w:rsidRDefault="00463A51" w:rsidP="00D50190">
      <w:pPr>
        <w:rPr>
          <w:rFonts w:ascii="Arial" w:hAnsi="Arial" w:cs="Arial"/>
          <w:i/>
          <w:iCs/>
          <w:color w:val="000000" w:themeColor="text1"/>
          <w:sz w:val="24"/>
          <w:szCs w:val="24"/>
        </w:rPr>
      </w:pPr>
    </w:p>
    <w:p w14:paraId="784C47CC" w14:textId="77777777" w:rsidR="00463A51" w:rsidRDefault="00463A51" w:rsidP="00D50190">
      <w:pPr>
        <w:rPr>
          <w:rFonts w:ascii="Arial" w:hAnsi="Arial" w:cs="Arial"/>
          <w:i/>
          <w:iCs/>
          <w:color w:val="000000" w:themeColor="text1"/>
          <w:sz w:val="24"/>
          <w:szCs w:val="24"/>
        </w:rPr>
      </w:pPr>
    </w:p>
    <w:p w14:paraId="2F7FF0E2" w14:textId="77777777" w:rsidR="00463A51" w:rsidRDefault="00463A51" w:rsidP="00D50190">
      <w:pPr>
        <w:rPr>
          <w:rFonts w:ascii="Arial" w:hAnsi="Arial" w:cs="Arial"/>
          <w:i/>
          <w:iCs/>
          <w:color w:val="000000" w:themeColor="text1"/>
          <w:sz w:val="24"/>
          <w:szCs w:val="24"/>
        </w:rPr>
      </w:pPr>
    </w:p>
    <w:p w14:paraId="35E928E9" w14:textId="77777777" w:rsidR="00463A51" w:rsidRDefault="00463A51" w:rsidP="00D50190">
      <w:pPr>
        <w:rPr>
          <w:rFonts w:ascii="Arial" w:hAnsi="Arial" w:cs="Arial"/>
          <w:i/>
          <w:iCs/>
          <w:color w:val="000000" w:themeColor="text1"/>
          <w:sz w:val="24"/>
          <w:szCs w:val="24"/>
        </w:rPr>
      </w:pPr>
    </w:p>
    <w:p w14:paraId="5FD3F21B" w14:textId="77777777" w:rsidR="00463A51" w:rsidRDefault="00463A51" w:rsidP="00D50190">
      <w:pPr>
        <w:rPr>
          <w:rFonts w:ascii="Arial" w:hAnsi="Arial" w:cs="Arial"/>
          <w:i/>
          <w:iCs/>
          <w:color w:val="000000" w:themeColor="text1"/>
          <w:sz w:val="24"/>
          <w:szCs w:val="24"/>
        </w:rPr>
      </w:pPr>
    </w:p>
    <w:p w14:paraId="3BC951E5" w14:textId="77777777" w:rsidR="00463A51" w:rsidRDefault="00463A51" w:rsidP="00D50190">
      <w:pPr>
        <w:rPr>
          <w:rFonts w:ascii="Arial" w:hAnsi="Arial" w:cs="Arial"/>
          <w:i/>
          <w:iCs/>
          <w:color w:val="000000" w:themeColor="text1"/>
          <w:sz w:val="24"/>
          <w:szCs w:val="24"/>
        </w:rPr>
      </w:pPr>
    </w:p>
    <w:p w14:paraId="79E3B9EF" w14:textId="77777777" w:rsidR="00463A51" w:rsidRDefault="00463A51" w:rsidP="00D50190">
      <w:pPr>
        <w:rPr>
          <w:rFonts w:ascii="Arial" w:hAnsi="Arial" w:cs="Arial"/>
          <w:i/>
          <w:iCs/>
          <w:color w:val="000000" w:themeColor="text1"/>
          <w:sz w:val="24"/>
          <w:szCs w:val="24"/>
        </w:rPr>
      </w:pPr>
    </w:p>
    <w:p w14:paraId="119655E2" w14:textId="77777777" w:rsidR="00463A51" w:rsidRDefault="00463A51" w:rsidP="00D50190">
      <w:pPr>
        <w:rPr>
          <w:rFonts w:ascii="Arial" w:hAnsi="Arial" w:cs="Arial"/>
          <w:i/>
          <w:iCs/>
          <w:color w:val="000000" w:themeColor="text1"/>
          <w:sz w:val="24"/>
          <w:szCs w:val="24"/>
        </w:rPr>
      </w:pPr>
    </w:p>
    <w:p w14:paraId="1A69146F" w14:textId="77777777" w:rsidR="00463A51" w:rsidRDefault="00463A51" w:rsidP="00D50190">
      <w:pPr>
        <w:rPr>
          <w:rFonts w:ascii="Arial" w:hAnsi="Arial" w:cs="Arial"/>
          <w:i/>
          <w:iCs/>
          <w:color w:val="000000" w:themeColor="text1"/>
          <w:sz w:val="24"/>
          <w:szCs w:val="24"/>
        </w:rPr>
      </w:pPr>
    </w:p>
    <w:p w14:paraId="138E1497" w14:textId="77777777" w:rsidR="00F51181" w:rsidRDefault="00F51181" w:rsidP="00D50190">
      <w:pPr>
        <w:rPr>
          <w:rFonts w:ascii="Arial" w:hAnsi="Arial" w:cs="Arial"/>
          <w:i/>
          <w:iCs/>
          <w:color w:val="000000" w:themeColor="text1"/>
          <w:sz w:val="24"/>
          <w:szCs w:val="24"/>
        </w:rPr>
      </w:pPr>
    </w:p>
    <w:p w14:paraId="2EE4AF42" w14:textId="301793CE" w:rsidR="00D50190" w:rsidRDefault="00AA62F8" w:rsidP="00D50190">
      <w:pPr>
        <w:rPr>
          <w:rFonts w:ascii="Arial" w:hAnsi="Arial" w:cs="Arial"/>
          <w:i/>
          <w:iCs/>
          <w:color w:val="000000" w:themeColor="text1"/>
          <w:sz w:val="24"/>
          <w:szCs w:val="24"/>
        </w:rPr>
      </w:pPr>
      <w:r>
        <w:rPr>
          <w:rFonts w:ascii="Arial" w:hAnsi="Arial" w:cs="Arial"/>
          <w:i/>
          <w:iCs/>
          <w:color w:val="000000" w:themeColor="text1"/>
          <w:sz w:val="24"/>
          <w:szCs w:val="24"/>
        </w:rPr>
        <w:lastRenderedPageBreak/>
        <w:t xml:space="preserve">Appendix B: </w:t>
      </w:r>
      <w:r w:rsidR="00D50190">
        <w:rPr>
          <w:rFonts w:ascii="Arial" w:hAnsi="Arial" w:cs="Arial"/>
          <w:i/>
          <w:iCs/>
          <w:color w:val="000000" w:themeColor="text1"/>
          <w:sz w:val="24"/>
          <w:szCs w:val="24"/>
        </w:rPr>
        <w:t>Debrief form</w:t>
      </w:r>
    </w:p>
    <w:p w14:paraId="196325F9" w14:textId="439B9C12" w:rsidR="00537D9F" w:rsidRDefault="00463A51" w:rsidP="00D50190">
      <w:pPr>
        <w:rPr>
          <w:rFonts w:ascii="Arial" w:hAnsi="Arial" w:cs="Arial"/>
          <w:i/>
          <w:iCs/>
          <w:color w:val="000000" w:themeColor="text1"/>
          <w:sz w:val="24"/>
          <w:szCs w:val="24"/>
        </w:rPr>
      </w:pPr>
      <w:r w:rsidRPr="00463A51">
        <w:rPr>
          <w:rFonts w:ascii="Arial" w:hAnsi="Arial" w:cs="Arial"/>
          <w:i/>
          <w:iCs/>
          <w:noProof/>
          <w:color w:val="000000" w:themeColor="text1"/>
          <w:sz w:val="24"/>
          <w:szCs w:val="24"/>
        </w:rPr>
        <w:drawing>
          <wp:anchor distT="0" distB="0" distL="114300" distR="114300" simplePos="0" relativeHeight="251659264" behindDoc="0" locked="0" layoutInCell="1" allowOverlap="1" wp14:anchorId="0690CBB8" wp14:editId="19DE679E">
            <wp:simplePos x="0" y="0"/>
            <wp:positionH relativeFrom="margin">
              <wp:align>left</wp:align>
            </wp:positionH>
            <wp:positionV relativeFrom="paragraph">
              <wp:posOffset>0</wp:posOffset>
            </wp:positionV>
            <wp:extent cx="5608320" cy="7816215"/>
            <wp:effectExtent l="0" t="0" r="0" b="0"/>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08320" cy="7816215"/>
                    </a:xfrm>
                    <a:prstGeom prst="rect">
                      <a:avLst/>
                    </a:prstGeom>
                  </pic:spPr>
                </pic:pic>
              </a:graphicData>
            </a:graphic>
            <wp14:sizeRelH relativeFrom="margin">
              <wp14:pctWidth>0</wp14:pctWidth>
            </wp14:sizeRelH>
            <wp14:sizeRelV relativeFrom="margin">
              <wp14:pctHeight>0</wp14:pctHeight>
            </wp14:sizeRelV>
          </wp:anchor>
        </w:drawing>
      </w:r>
    </w:p>
    <w:p w14:paraId="7EA225B9" w14:textId="77777777" w:rsidR="00463A51" w:rsidRDefault="00463A51" w:rsidP="00D50190">
      <w:pPr>
        <w:rPr>
          <w:rFonts w:ascii="Arial" w:hAnsi="Arial" w:cs="Arial"/>
          <w:i/>
          <w:iCs/>
          <w:color w:val="000000" w:themeColor="text1"/>
          <w:sz w:val="24"/>
          <w:szCs w:val="24"/>
        </w:rPr>
      </w:pPr>
    </w:p>
    <w:p w14:paraId="71868271" w14:textId="359DDA92" w:rsidR="00D50190" w:rsidRPr="00AA62F8" w:rsidRDefault="00AA62F8" w:rsidP="00D50190">
      <w:pPr>
        <w:rPr>
          <w:rFonts w:ascii="Arial" w:hAnsi="Arial" w:cs="Arial"/>
          <w:i/>
          <w:iCs/>
          <w:color w:val="000000" w:themeColor="text1"/>
          <w:sz w:val="24"/>
          <w:szCs w:val="24"/>
          <w:lang w:val="fr-FR"/>
        </w:rPr>
      </w:pPr>
      <w:r w:rsidRPr="00AA62F8">
        <w:rPr>
          <w:rFonts w:ascii="Arial" w:hAnsi="Arial" w:cs="Arial"/>
          <w:i/>
          <w:iCs/>
          <w:color w:val="000000" w:themeColor="text1"/>
          <w:sz w:val="24"/>
          <w:szCs w:val="24"/>
          <w:lang w:val="fr-FR"/>
        </w:rPr>
        <w:lastRenderedPageBreak/>
        <w:t xml:space="preserve">Appendix C: </w:t>
      </w:r>
      <w:r w:rsidR="00D50190" w:rsidRPr="00AA62F8">
        <w:rPr>
          <w:rFonts w:ascii="Arial" w:hAnsi="Arial" w:cs="Arial"/>
          <w:i/>
          <w:iCs/>
          <w:color w:val="000000" w:themeColor="text1"/>
          <w:sz w:val="24"/>
          <w:szCs w:val="24"/>
          <w:lang w:val="fr-FR"/>
        </w:rPr>
        <w:t xml:space="preserve">Anxiety Symptoms Questionnaire </w:t>
      </w:r>
      <w:r w:rsidR="00537D9F" w:rsidRPr="00AA62F8">
        <w:rPr>
          <w:rFonts w:ascii="Arial" w:hAnsi="Arial" w:cs="Arial"/>
          <w:i/>
          <w:iCs/>
          <w:color w:val="000000" w:themeColor="text1"/>
          <w:sz w:val="24"/>
          <w:szCs w:val="24"/>
          <w:lang w:val="fr-FR"/>
        </w:rPr>
        <w:t>(ASQ)</w:t>
      </w:r>
    </w:p>
    <w:p w14:paraId="4C244E81" w14:textId="2D8E2D8F" w:rsidR="00537D9F" w:rsidRDefault="00537D9F" w:rsidP="00D50190">
      <w:pPr>
        <w:rPr>
          <w:rFonts w:ascii="Arial" w:hAnsi="Arial" w:cs="Arial"/>
          <w:i/>
          <w:iCs/>
          <w:color w:val="000000" w:themeColor="text1"/>
          <w:sz w:val="24"/>
          <w:szCs w:val="24"/>
        </w:rPr>
      </w:pPr>
      <w:r w:rsidRPr="00537D9F">
        <w:rPr>
          <w:rFonts w:ascii="Arial" w:hAnsi="Arial" w:cs="Arial"/>
          <w:i/>
          <w:iCs/>
          <w:noProof/>
          <w:color w:val="000000" w:themeColor="text1"/>
          <w:sz w:val="24"/>
          <w:szCs w:val="24"/>
        </w:rPr>
        <w:drawing>
          <wp:inline distT="0" distB="0" distL="0" distR="0" wp14:anchorId="4DE68118" wp14:editId="76AFB2FA">
            <wp:extent cx="5577205" cy="7155180"/>
            <wp:effectExtent l="0" t="0" r="4445"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12"/>
                    <a:srcRect l="679" b="1090"/>
                    <a:stretch/>
                  </pic:blipFill>
                  <pic:spPr bwMode="auto">
                    <a:xfrm>
                      <a:off x="0" y="0"/>
                      <a:ext cx="5586130" cy="7166630"/>
                    </a:xfrm>
                    <a:prstGeom prst="rect">
                      <a:avLst/>
                    </a:prstGeom>
                    <a:ln>
                      <a:noFill/>
                    </a:ln>
                    <a:extLst>
                      <a:ext uri="{53640926-AAD7-44D8-BBD7-CCE9431645EC}">
                        <a14:shadowObscured xmlns:a14="http://schemas.microsoft.com/office/drawing/2010/main"/>
                      </a:ext>
                    </a:extLst>
                  </pic:spPr>
                </pic:pic>
              </a:graphicData>
            </a:graphic>
          </wp:inline>
        </w:drawing>
      </w:r>
    </w:p>
    <w:p w14:paraId="42768A76" w14:textId="58AA9D98" w:rsidR="00463A51" w:rsidRDefault="00463A51" w:rsidP="00463A51">
      <w:pPr>
        <w:rPr>
          <w:rFonts w:ascii="Arial" w:hAnsi="Arial" w:cs="Arial"/>
          <w:i/>
          <w:iCs/>
          <w:color w:val="000000" w:themeColor="text1"/>
          <w:sz w:val="24"/>
          <w:szCs w:val="24"/>
        </w:rPr>
      </w:pPr>
    </w:p>
    <w:p w14:paraId="246CAA0F" w14:textId="77C4D31E" w:rsidR="00463A51" w:rsidRDefault="00463A51" w:rsidP="00463A51">
      <w:pPr>
        <w:ind w:firstLine="720"/>
        <w:rPr>
          <w:rFonts w:ascii="Arial" w:hAnsi="Arial" w:cs="Arial"/>
          <w:sz w:val="24"/>
          <w:szCs w:val="24"/>
        </w:rPr>
      </w:pPr>
    </w:p>
    <w:p w14:paraId="54E425A6" w14:textId="4F8545F8" w:rsidR="00463A51" w:rsidRDefault="00463A51" w:rsidP="00463A51">
      <w:pPr>
        <w:ind w:firstLine="720"/>
        <w:rPr>
          <w:rFonts w:ascii="Arial" w:hAnsi="Arial" w:cs="Arial"/>
          <w:sz w:val="24"/>
          <w:szCs w:val="24"/>
        </w:rPr>
      </w:pPr>
    </w:p>
    <w:p w14:paraId="46DA0DD1" w14:textId="3650D2C8" w:rsidR="00463A51" w:rsidRDefault="00463A51" w:rsidP="00463A51">
      <w:pPr>
        <w:ind w:firstLine="720"/>
        <w:rPr>
          <w:rFonts w:ascii="Arial" w:hAnsi="Arial" w:cs="Arial"/>
          <w:sz w:val="24"/>
          <w:szCs w:val="24"/>
        </w:rPr>
      </w:pPr>
    </w:p>
    <w:p w14:paraId="55B323EA" w14:textId="3E1D619A" w:rsidR="00463A51" w:rsidRDefault="00463A51" w:rsidP="00463A51">
      <w:pPr>
        <w:rPr>
          <w:rFonts w:ascii="Arial" w:hAnsi="Arial" w:cs="Arial"/>
          <w:i/>
          <w:iCs/>
          <w:sz w:val="24"/>
          <w:szCs w:val="24"/>
        </w:rPr>
      </w:pPr>
      <w:r w:rsidRPr="00463A51">
        <w:rPr>
          <w:rFonts w:ascii="Arial" w:hAnsi="Arial" w:cs="Arial"/>
          <w:noProof/>
          <w:sz w:val="24"/>
          <w:szCs w:val="24"/>
        </w:rPr>
        <w:lastRenderedPageBreak/>
        <w:drawing>
          <wp:anchor distT="0" distB="0" distL="114300" distR="114300" simplePos="0" relativeHeight="251660288" behindDoc="0" locked="0" layoutInCell="1" allowOverlap="1" wp14:anchorId="2CFB2076" wp14:editId="1D9E91E0">
            <wp:simplePos x="0" y="0"/>
            <wp:positionH relativeFrom="margin">
              <wp:align>left</wp:align>
            </wp:positionH>
            <wp:positionV relativeFrom="paragraph">
              <wp:posOffset>289560</wp:posOffset>
            </wp:positionV>
            <wp:extent cx="5654040" cy="7933055"/>
            <wp:effectExtent l="0" t="0" r="3810"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54040" cy="7933055"/>
                    </a:xfrm>
                    <a:prstGeom prst="rect">
                      <a:avLst/>
                    </a:prstGeom>
                  </pic:spPr>
                </pic:pic>
              </a:graphicData>
            </a:graphic>
            <wp14:sizeRelH relativeFrom="margin">
              <wp14:pctWidth>0</wp14:pctWidth>
            </wp14:sizeRelH>
            <wp14:sizeRelV relativeFrom="margin">
              <wp14:pctHeight>0</wp14:pctHeight>
            </wp14:sizeRelV>
          </wp:anchor>
        </w:drawing>
      </w:r>
      <w:r w:rsidR="00AA62F8">
        <w:rPr>
          <w:rFonts w:ascii="Arial" w:hAnsi="Arial" w:cs="Arial"/>
          <w:i/>
          <w:iCs/>
          <w:sz w:val="24"/>
          <w:szCs w:val="24"/>
        </w:rPr>
        <w:t xml:space="preserve">Appendix D: </w:t>
      </w:r>
      <w:r w:rsidRPr="00463A51">
        <w:rPr>
          <w:rFonts w:ascii="Arial" w:hAnsi="Arial" w:cs="Arial"/>
          <w:i/>
          <w:iCs/>
          <w:sz w:val="24"/>
          <w:szCs w:val="24"/>
        </w:rPr>
        <w:t>Wilcoxon Signed Ranks Test calculation</w:t>
      </w:r>
    </w:p>
    <w:p w14:paraId="7ED8EF38" w14:textId="47EDF079" w:rsidR="00463A51" w:rsidRPr="00463A51" w:rsidRDefault="00463A51" w:rsidP="00463A51">
      <w:pPr>
        <w:rPr>
          <w:rFonts w:ascii="Arial" w:hAnsi="Arial" w:cs="Arial"/>
          <w:sz w:val="24"/>
          <w:szCs w:val="24"/>
        </w:rPr>
      </w:pPr>
    </w:p>
    <w:sectPr w:rsidR="00463A51" w:rsidRPr="00463A51" w:rsidSect="00FC0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504AD"/>
    <w:multiLevelType w:val="hybridMultilevel"/>
    <w:tmpl w:val="04EAC9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6355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575"/>
    <w:rsid w:val="000432DF"/>
    <w:rsid w:val="0007329A"/>
    <w:rsid w:val="000B55D1"/>
    <w:rsid w:val="001258A6"/>
    <w:rsid w:val="00133A5E"/>
    <w:rsid w:val="001653A2"/>
    <w:rsid w:val="001A08B1"/>
    <w:rsid w:val="001A1998"/>
    <w:rsid w:val="001B4064"/>
    <w:rsid w:val="001D2FAD"/>
    <w:rsid w:val="001F0C7B"/>
    <w:rsid w:val="00260A09"/>
    <w:rsid w:val="002C2E3B"/>
    <w:rsid w:val="002C3526"/>
    <w:rsid w:val="002E2F2F"/>
    <w:rsid w:val="002E5D27"/>
    <w:rsid w:val="0039712F"/>
    <w:rsid w:val="0040251B"/>
    <w:rsid w:val="0041408C"/>
    <w:rsid w:val="00437575"/>
    <w:rsid w:val="00445EDD"/>
    <w:rsid w:val="00463A51"/>
    <w:rsid w:val="0046759C"/>
    <w:rsid w:val="004D4488"/>
    <w:rsid w:val="00537D9F"/>
    <w:rsid w:val="00563EAC"/>
    <w:rsid w:val="006352AC"/>
    <w:rsid w:val="006424BF"/>
    <w:rsid w:val="00642B70"/>
    <w:rsid w:val="0071240C"/>
    <w:rsid w:val="007475AA"/>
    <w:rsid w:val="007F1260"/>
    <w:rsid w:val="007F2E8A"/>
    <w:rsid w:val="00814168"/>
    <w:rsid w:val="00876C81"/>
    <w:rsid w:val="00882AE0"/>
    <w:rsid w:val="008B0B13"/>
    <w:rsid w:val="008B0C89"/>
    <w:rsid w:val="008C5096"/>
    <w:rsid w:val="008E2745"/>
    <w:rsid w:val="009C766A"/>
    <w:rsid w:val="009F7880"/>
    <w:rsid w:val="00A10CB8"/>
    <w:rsid w:val="00A36BE2"/>
    <w:rsid w:val="00A90EBD"/>
    <w:rsid w:val="00AA62F8"/>
    <w:rsid w:val="00AD1F3E"/>
    <w:rsid w:val="00B22588"/>
    <w:rsid w:val="00B36CFC"/>
    <w:rsid w:val="00B40B68"/>
    <w:rsid w:val="00B66E6B"/>
    <w:rsid w:val="00BC0A98"/>
    <w:rsid w:val="00BD0D9E"/>
    <w:rsid w:val="00BE3ABB"/>
    <w:rsid w:val="00CB7715"/>
    <w:rsid w:val="00CC3888"/>
    <w:rsid w:val="00CF7649"/>
    <w:rsid w:val="00D11D4E"/>
    <w:rsid w:val="00D128DF"/>
    <w:rsid w:val="00D23E8A"/>
    <w:rsid w:val="00D46225"/>
    <w:rsid w:val="00D50190"/>
    <w:rsid w:val="00D505E2"/>
    <w:rsid w:val="00D712F8"/>
    <w:rsid w:val="00DA3D34"/>
    <w:rsid w:val="00E21538"/>
    <w:rsid w:val="00E5362C"/>
    <w:rsid w:val="00E805AC"/>
    <w:rsid w:val="00E87A9F"/>
    <w:rsid w:val="00EA2E3A"/>
    <w:rsid w:val="00EA6AE2"/>
    <w:rsid w:val="00EA79CA"/>
    <w:rsid w:val="00EC02AF"/>
    <w:rsid w:val="00F36977"/>
    <w:rsid w:val="00F46F57"/>
    <w:rsid w:val="00F51181"/>
    <w:rsid w:val="00F52CA4"/>
    <w:rsid w:val="00FC0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B2D81"/>
  <w15:chartTrackingRefBased/>
  <w15:docId w15:val="{80DE18EF-9009-42A2-A088-16A9D08E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0C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C58"/>
    <w:rPr>
      <w:rFonts w:eastAsiaTheme="minorEastAsia"/>
      <w:lang w:val="en-US"/>
    </w:rPr>
  </w:style>
  <w:style w:type="paragraph" w:styleId="ListParagraph">
    <w:name w:val="List Paragraph"/>
    <w:basedOn w:val="Normal"/>
    <w:uiPriority w:val="34"/>
    <w:qFormat/>
    <w:rsid w:val="00876C81"/>
    <w:pPr>
      <w:ind w:left="720"/>
      <w:contextualSpacing/>
    </w:pPr>
  </w:style>
  <w:style w:type="character" w:styleId="Hyperlink">
    <w:name w:val="Hyperlink"/>
    <w:basedOn w:val="DefaultParagraphFont"/>
    <w:uiPriority w:val="99"/>
    <w:unhideWhenUsed/>
    <w:rsid w:val="00D23E8A"/>
    <w:rPr>
      <w:color w:val="0563C1" w:themeColor="hyperlink"/>
      <w:u w:val="single"/>
    </w:rPr>
  </w:style>
  <w:style w:type="character" w:styleId="UnresolvedMention">
    <w:name w:val="Unresolved Mention"/>
    <w:basedOn w:val="DefaultParagraphFont"/>
    <w:uiPriority w:val="99"/>
    <w:semiHidden/>
    <w:unhideWhenUsed/>
    <w:rsid w:val="00D23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86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16/j.janxdis.2007.01.002"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hyperlink" Target="https://www.ncbi.nlm.nih.gov/books/NBK519697/pdf/Bookshelf_NBK519697.pdf" TargetMode="Externa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pa.org/ptsd-guideline/patients-and-families/cognitive-behavioral"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proquest.com/scholarly-journals/cognitive-behavior-therapy-cbt-anxiety-disorders/docview/230594811/se-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7FC46-64EC-4CFB-A42E-65EDDF625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1581</Words>
  <Characters>9016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Taylor</dc:creator>
  <cp:keywords/>
  <dc:description/>
  <cp:lastModifiedBy>Elle Taylor</cp:lastModifiedBy>
  <cp:revision>66</cp:revision>
  <dcterms:created xsi:type="dcterms:W3CDTF">2023-02-07T14:08:00Z</dcterms:created>
  <dcterms:modified xsi:type="dcterms:W3CDTF">2023-02-11T09:53:00Z</dcterms:modified>
</cp:coreProperties>
</file>