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rPr>
      </w:pPr>
    </w:p>
    <w:p>
      <w:pPr>
        <w:pStyle w:val="2"/>
        <w:keepNext/>
        <w:keepLines/>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Examining the Impact of WeChat Activities on Students' Language Learning </w:t>
      </w:r>
      <w:r>
        <w:rPr>
          <w:rFonts w:hint="eastAsia" w:ascii="Times New Roman" w:hAnsi="Times New Roman" w:cs="Times New Roman"/>
          <w:sz w:val="28"/>
          <w:szCs w:val="28"/>
          <w:lang w:val="en-US" w:eastAsia="zh-CN"/>
        </w:rPr>
        <w:t>E</w:t>
      </w:r>
      <w:bookmarkStart w:id="0" w:name="_GoBack"/>
      <w:bookmarkEnd w:id="0"/>
      <w:r>
        <w:rPr>
          <w:rFonts w:hint="default" w:ascii="Times New Roman" w:hAnsi="Times New Roman" w:cs="Times New Roman"/>
          <w:sz w:val="28"/>
          <w:szCs w:val="28"/>
          <w:lang w:val="en-US" w:eastAsia="zh-CN"/>
        </w:rPr>
        <w:t>ffectiveness</w:t>
      </w:r>
    </w:p>
    <w:p>
      <w:pPr>
        <w:pStyle w:val="7"/>
        <w:widowControl w:val="0"/>
        <w:numPr>
          <w:ilvl w:val="0"/>
          <w:numId w:val="0"/>
        </w:numPr>
        <w:contextualSpacing/>
        <w:jc w:val="both"/>
        <w:rPr>
          <w:rFonts w:ascii="Arial" w:hAnsi="Arial" w:cs="Arial"/>
          <w:bCs/>
          <w:sz w:val="22"/>
          <w:szCs w:val="22"/>
        </w:rPr>
      </w:pPr>
    </w:p>
    <w:p>
      <w:pPr>
        <w:pStyle w:val="7"/>
        <w:keepNext w:val="0"/>
        <w:keepLines w:val="0"/>
        <w:pageBreakBefore w:val="0"/>
        <w:numPr>
          <w:ilvl w:val="0"/>
          <w:numId w:val="0"/>
        </w:numPr>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cs="Times New Roman"/>
          <w:b/>
          <w:bCs w:val="0"/>
          <w:sz w:val="28"/>
          <w:szCs w:val="28"/>
          <w:lang w:val="en-US" w:eastAsia="zh-CN"/>
        </w:rPr>
      </w:pPr>
      <w:r>
        <w:rPr>
          <w:rFonts w:hint="default" w:ascii="Times New Roman" w:hAnsi="Times New Roman" w:cs="Times New Roman"/>
          <w:b/>
          <w:bCs w:val="0"/>
          <w:sz w:val="28"/>
          <w:szCs w:val="28"/>
          <w:lang w:val="en-US" w:eastAsia="zh-CN"/>
        </w:rPr>
        <w:t>1.</w:t>
      </w:r>
      <w:r>
        <w:rPr>
          <w:rFonts w:hint="eastAsia" w:ascii="Times New Roman" w:hAnsi="Times New Roman" w:cs="Times New Roman"/>
          <w:b/>
          <w:bCs w:val="0"/>
          <w:sz w:val="28"/>
          <w:szCs w:val="28"/>
          <w:lang w:val="en-US" w:eastAsia="zh-CN"/>
        </w:rPr>
        <w:t>R</w:t>
      </w:r>
      <w:r>
        <w:rPr>
          <w:rFonts w:hint="default" w:ascii="Times New Roman" w:hAnsi="Times New Roman" w:cs="Times New Roman"/>
          <w:b/>
          <w:bCs w:val="0"/>
          <w:sz w:val="28"/>
          <w:szCs w:val="28"/>
        </w:rPr>
        <w:t>ationale and main conceptual themes</w:t>
      </w:r>
    </w:p>
    <w:p>
      <w:pPr>
        <w:keepNext w:val="0"/>
        <w:keepLines w:val="0"/>
        <w:pageBreakBefore w:val="0"/>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cs="Times New Roman"/>
          <w:sz w:val="28"/>
          <w:szCs w:val="28"/>
        </w:rPr>
      </w:pPr>
      <w:r>
        <w:rPr>
          <w:rFonts w:hint="default" w:ascii="Times New Roman" w:hAnsi="Times New Roman" w:cs="Times New Roman"/>
          <w:sz w:val="28"/>
          <w:szCs w:val="28"/>
        </w:rPr>
        <w:t xml:space="preserve">WeChat, as one of China's most prominent social applications, has evolved into a crucial tool for daily communication, work-related interactions, and even e-commerce. Its user base and activity have steadily increased over the years. Zheng (2014) conducted a survey among 2,500 college students across China and found that a significant majority, 84.7%, were actively using WeChat. Moreover, recent statistics indicate that the monthly active users of WeChat reached 1.319 billion in the first quarter of 2023. </w:t>
      </w:r>
    </w:p>
    <w:p>
      <w:pPr>
        <w:keepNext w:val="0"/>
        <w:keepLines w:val="0"/>
        <w:pageBreakBefore w:val="0"/>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cs="Times New Roman"/>
          <w:sz w:val="28"/>
          <w:szCs w:val="28"/>
        </w:rPr>
      </w:pPr>
      <w:r>
        <w:rPr>
          <w:rFonts w:hint="default" w:ascii="Times New Roman" w:hAnsi="Times New Roman" w:cs="Times New Roman"/>
          <w:sz w:val="28"/>
          <w:szCs w:val="28"/>
        </w:rPr>
        <w:t xml:space="preserve">Holmer (2008) suggested that instant messaging (IM) apps like WeChat hold promise for education due to their ability to facilitate multi-party discourse, regardless of physical distance. Additionally, scholars such as Laurillard (2007) and Sharples (2007) have highlighted the benefits of mobile devices in education, including mobility, accessibility, enhanced learning opportunities, connectivity, and personalized experiences. </w:t>
      </w:r>
    </w:p>
    <w:p>
      <w:pPr>
        <w:keepNext w:val="0"/>
        <w:keepLines w:val="0"/>
        <w:pageBreakBefore w:val="0"/>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cs="Times New Roman"/>
          <w:sz w:val="28"/>
          <w:szCs w:val="28"/>
        </w:rPr>
      </w:pPr>
      <w:r>
        <w:rPr>
          <w:rFonts w:hint="default" w:ascii="Times New Roman" w:hAnsi="Times New Roman" w:cs="Times New Roman"/>
          <w:sz w:val="28"/>
          <w:szCs w:val="28"/>
        </w:rPr>
        <w:t>Furthermore, Peters (2009) emphasized the individualized and personal learning experiences that mobile devices offer, allowing learners to access educational content anytime and anywhere. Kukulska-Hulme (2008) and Miangah (2012) underscored the potential of mobile-assisted language learning (MALL) in providing learners with rich, real-time, and collaborative learning experiences. Peslak (2010) applied the theory of reasoned action (TRA) to study instant messaging behavior, while Chu (2015) explored students' attitudes towards using WeChat</w:t>
      </w:r>
      <w:r>
        <w:rPr>
          <w:rFonts w:hint="eastAsia" w:ascii="Times New Roman" w:hAnsi="Times New Roman" w:cs="Times New Roman"/>
          <w:sz w:val="28"/>
          <w:szCs w:val="28"/>
          <w:lang w:val="en-US" w:eastAsia="zh-CN"/>
        </w:rPr>
        <w:t xml:space="preserve"> </w:t>
      </w:r>
      <w:r>
        <w:rPr>
          <w:rFonts w:hint="default" w:ascii="Times New Roman" w:hAnsi="Times New Roman" w:cs="Times New Roman"/>
          <w:sz w:val="28"/>
          <w:szCs w:val="28"/>
        </w:rPr>
        <w:t xml:space="preserve">for </w:t>
      </w:r>
      <w:r>
        <w:rPr>
          <w:rFonts w:hint="eastAsia" w:ascii="Times New Roman" w:hAnsi="Times New Roman" w:cs="Times New Roman"/>
          <w:sz w:val="28"/>
          <w:szCs w:val="28"/>
          <w:lang w:val="en-US" w:eastAsia="zh-CN"/>
        </w:rPr>
        <w:t>English</w:t>
      </w:r>
      <w:r>
        <w:rPr>
          <w:rFonts w:hint="default" w:ascii="Times New Roman" w:hAnsi="Times New Roman" w:cs="Times New Roman"/>
          <w:sz w:val="28"/>
          <w:szCs w:val="28"/>
        </w:rPr>
        <w:t xml:space="preserve"> learning, noting their significant impact on behavioral intentions.</w:t>
      </w:r>
    </w:p>
    <w:p>
      <w:pPr>
        <w:keepNext w:val="0"/>
        <w:keepLines w:val="0"/>
        <w:pageBreakBefore w:val="0"/>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cs="Times New Roman"/>
          <w:sz w:val="28"/>
          <w:szCs w:val="28"/>
        </w:rPr>
      </w:pPr>
      <w:r>
        <w:rPr>
          <w:rFonts w:hint="default" w:ascii="Times New Roman" w:hAnsi="Times New Roman" w:cs="Times New Roman"/>
          <w:sz w:val="28"/>
          <w:szCs w:val="28"/>
        </w:rPr>
        <w:t>Building on this existing literature, it is hypothesized that leveraging WeChat as an intermediary tool for English learning may positively impact the efficiency of language acquisition. Previous research, such as that by Jiao et al. (2023) and Shi, Luo</w:t>
      </w:r>
      <w:r>
        <w:rPr>
          <w:rFonts w:hint="eastAsia" w:ascii="Times New Roman" w:hAnsi="Times New Roman" w:cs="Times New Roman"/>
          <w:sz w:val="28"/>
          <w:szCs w:val="28"/>
          <w:lang w:val="en-US" w:eastAsia="zh-CN"/>
        </w:rPr>
        <w:t xml:space="preserve"> </w:t>
      </w:r>
      <w:r>
        <w:rPr>
          <w:rFonts w:hint="default" w:ascii="Times New Roman" w:hAnsi="Times New Roman" w:cs="Times New Roman"/>
          <w:sz w:val="28"/>
          <w:szCs w:val="28"/>
        </w:rPr>
        <w:t>and He (2017), has examined how WeChat can enhance English language learning outcomes among students by improving vocabulary acquisition, motivation, self-confidence, writing skills, and fostering positive attitudes towards the subject.</w:t>
      </w:r>
    </w:p>
    <w:p>
      <w:pPr>
        <w:keepNext w:val="0"/>
        <w:keepLines w:val="0"/>
        <w:pageBreakBefore w:val="0"/>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cs="Times New Roman"/>
          <w:sz w:val="28"/>
          <w:szCs w:val="28"/>
        </w:rPr>
      </w:pPr>
      <w:r>
        <w:rPr>
          <w:rFonts w:hint="default" w:ascii="Times New Roman" w:hAnsi="Times New Roman" w:cs="Times New Roman"/>
          <w:sz w:val="28"/>
          <w:szCs w:val="28"/>
        </w:rPr>
        <w:t>Thus, this study aims to investigate the influence of WeChat language learning activities on students' language learning outcomes, explore how WeChat facilitates communication and participation between teachers and students, and identify factors affecting students' engagement in WeChat language learning activities. The findings are expected to provide practical insights for designing more engaging and effective language learning activities on WeChat, thereby addressing existing research gaps.</w:t>
      </w:r>
    </w:p>
    <w:p>
      <w:pPr>
        <w:keepNext w:val="0"/>
        <w:keepLines w:val="0"/>
        <w:pageBreakBefore w:val="0"/>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cs="Times New Roman"/>
          <w:sz w:val="28"/>
          <w:szCs w:val="28"/>
        </w:rPr>
      </w:pPr>
    </w:p>
    <w:p>
      <w:pPr>
        <w:keepNext w:val="0"/>
        <w:keepLines w:val="0"/>
        <w:pageBreakBefore w:val="0"/>
        <w:numPr>
          <w:ilvl w:val="0"/>
          <w:numId w:val="1"/>
        </w:numPr>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eastAsia="宋体" w:cs="Times New Roman"/>
          <w:b/>
          <w:bCs/>
          <w:sz w:val="28"/>
          <w:szCs w:val="28"/>
          <w:lang w:val="en-US" w:eastAsia="zh-CN"/>
        </w:rPr>
      </w:pPr>
      <w:r>
        <w:rPr>
          <w:rFonts w:hint="default" w:ascii="Times New Roman" w:hAnsi="Times New Roman" w:cs="Times New Roman"/>
          <w:b/>
          <w:bCs/>
          <w:sz w:val="28"/>
          <w:szCs w:val="28"/>
          <w:lang w:val="en-US" w:eastAsia="zh-CN"/>
        </w:rPr>
        <w:t xml:space="preserve">Research aims and </w:t>
      </w:r>
      <w:r>
        <w:rPr>
          <w:rFonts w:hint="eastAsia" w:ascii="Times New Roman" w:hAnsi="Times New Roman" w:cs="Times New Roman"/>
          <w:b/>
          <w:bCs/>
          <w:sz w:val="28"/>
          <w:szCs w:val="28"/>
          <w:lang w:val="en-US" w:eastAsia="zh-CN"/>
        </w:rPr>
        <w:t xml:space="preserve">research </w:t>
      </w:r>
      <w:r>
        <w:rPr>
          <w:rFonts w:hint="default" w:ascii="Times New Roman" w:hAnsi="Times New Roman" w:cs="Times New Roman"/>
          <w:b/>
          <w:bCs/>
          <w:sz w:val="28"/>
          <w:szCs w:val="28"/>
          <w:lang w:val="en-US" w:eastAsia="zh-CN"/>
        </w:rPr>
        <w:t>questions</w:t>
      </w:r>
      <w:r>
        <w:rPr>
          <w:rFonts w:hint="eastAsia" w:ascii="Times New Roman" w:hAnsi="Times New Roman" w:cs="Times New Roman"/>
          <w:b/>
          <w:bCs/>
          <w:sz w:val="28"/>
          <w:szCs w:val="28"/>
          <w:lang w:val="en-US" w:eastAsia="zh-CN"/>
        </w:rPr>
        <w:t xml:space="preserve"> of the project</w:t>
      </w:r>
    </w:p>
    <w:p>
      <w:pPr>
        <w:keepNext w:val="0"/>
        <w:keepLines w:val="0"/>
        <w:pageBreakBefore w:val="0"/>
        <w:widowControl/>
        <w:suppressLineNumbers w:val="0"/>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eastAsia="宋体" w:cs="Times New Roman"/>
          <w:sz w:val="28"/>
          <w:szCs w:val="28"/>
          <w:lang w:val="en-US" w:eastAsia="zh-CN"/>
        </w:rPr>
      </w:pPr>
      <w:r>
        <w:rPr>
          <w:rFonts w:hint="default" w:ascii="Times New Roman" w:hAnsi="Times New Roman" w:eastAsia="宋体" w:cs="Times New Roman"/>
          <w:kern w:val="0"/>
          <w:sz w:val="28"/>
          <w:szCs w:val="28"/>
          <w:lang w:val="en-US" w:eastAsia="zh-CN" w:bidi="ar"/>
        </w:rPr>
        <w:t>Despite the growing interest in mobile applications for language acquisition, there is a noteworthy lack of empirical research in this area, with much of the extant literature focusing on theoretical debate rather than actual inquiry. Particularly absent is research into the factors influencing student engagement in mobile application-based language learning activities.</w:t>
      </w:r>
      <w:r>
        <w:rPr>
          <w:rFonts w:hint="eastAsia"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kern w:val="0"/>
          <w:sz w:val="28"/>
          <w:szCs w:val="28"/>
          <w:lang w:val="en-US" w:eastAsia="zh-CN" w:bidi="ar"/>
        </w:rPr>
        <w:t>Furthermore, while the importance of teacher-student connection in language acquisition is widely recognized, there is still a lack of understanding about how to successfully stimulate communication and interaction between them via mobile applications.</w:t>
      </w:r>
    </w:p>
    <w:p>
      <w:pPr>
        <w:keepNext w:val="0"/>
        <w:keepLines w:val="0"/>
        <w:pageBreakBefore w:val="0"/>
        <w:widowControl/>
        <w:suppressLineNumbers w:val="0"/>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eastAsia="宋体" w:cs="Times New Roman"/>
          <w:sz w:val="28"/>
          <w:szCs w:val="28"/>
          <w:lang w:val="en-US" w:eastAsia="zh-CN"/>
        </w:rPr>
      </w:pPr>
      <w:r>
        <w:rPr>
          <w:rFonts w:hint="default" w:ascii="Times New Roman" w:hAnsi="Times New Roman" w:eastAsia="宋体" w:cs="Times New Roman"/>
          <w:kern w:val="0"/>
          <w:sz w:val="28"/>
          <w:szCs w:val="28"/>
          <w:lang w:val="en-US" w:eastAsia="zh-CN" w:bidi="ar"/>
        </w:rPr>
        <w:t>To fill these gaps, this study seeks to reconcile theory and practice by experimentally assessing the influence of WeChat language learning activities on student language learning outcomes. This study aims to provide insights into how WeChat can help students improve their language skills by investigating actual applications of the platform in language learning. Furthermore, the study aims to identify the characteristics that influence students' participation in WeChat language learning activities. Using empirical approaches such as surveys or interviews, several elements such as individual motivation, perceived utility, and technological proficiency will be investigated to better understand students' participation with WeChat for language learning.</w:t>
      </w:r>
    </w:p>
    <w:p>
      <w:pPr>
        <w:keepNext w:val="0"/>
        <w:keepLines w:val="0"/>
        <w:pageBreakBefore w:val="0"/>
        <w:widowControl/>
        <w:suppressLineNumbers w:val="0"/>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eastAsia="宋体" w:cs="Times New Roman"/>
          <w:sz w:val="28"/>
          <w:szCs w:val="28"/>
          <w:lang w:val="en-US" w:eastAsia="zh-CN"/>
        </w:rPr>
      </w:pPr>
      <w:r>
        <w:rPr>
          <w:rFonts w:hint="default" w:ascii="Times New Roman" w:hAnsi="Times New Roman" w:eastAsia="宋体" w:cs="Times New Roman"/>
          <w:kern w:val="0"/>
          <w:sz w:val="28"/>
          <w:szCs w:val="28"/>
          <w:lang w:val="en-US" w:eastAsia="zh-CN" w:bidi="ar"/>
        </w:rPr>
        <w:t>Additionally, this study will look into the dynamics of communication and involvement between professors and students on WeChat. Effective approaches for fostering meaningful engagement and learning outcomes will be identified through a review of both parties' interaction patterns and communication strategies. For example, exploration could cover how teachers use tools like voice messaging or group discussions to build communication, provide feedback, and facilitate collaborative learning experiences.</w:t>
      </w:r>
    </w:p>
    <w:p>
      <w:pPr>
        <w:keepNext w:val="0"/>
        <w:keepLines w:val="0"/>
        <w:pageBreakBefore w:val="0"/>
        <w:widowControl/>
        <w:suppressLineNumbers w:val="0"/>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 xml:space="preserve">Overall, the </w:t>
      </w:r>
      <w:r>
        <w:rPr>
          <w:rFonts w:hint="eastAsia" w:ascii="Times New Roman" w:hAnsi="Times New Roman" w:eastAsia="宋体" w:cs="Times New Roman"/>
          <w:kern w:val="0"/>
          <w:sz w:val="28"/>
          <w:szCs w:val="28"/>
          <w:lang w:val="en-US" w:eastAsia="zh-CN" w:bidi="ar"/>
        </w:rPr>
        <w:t>aim</w:t>
      </w:r>
      <w:r>
        <w:rPr>
          <w:rFonts w:hint="default" w:ascii="Times New Roman" w:hAnsi="Times New Roman" w:eastAsia="宋体" w:cs="Times New Roman"/>
          <w:kern w:val="0"/>
          <w:sz w:val="28"/>
          <w:szCs w:val="28"/>
          <w:lang w:val="en-US" w:eastAsia="zh-CN" w:bidi="ar"/>
        </w:rPr>
        <w:t xml:space="preserve"> of this study is to look at the impact of incorporating WeChat activities on students' English learning outcomes, to investigate WeChat's potential as a platform for English learning outside of traditional classroom settings, and to assess its effectiveness in promoting authentic communication and English language use. By addressing these research objectives, this study hopes to add empirical insights to the literature on mobile-assisted language learning while also providing practical recommendations for educators and language learners who use WeChat to improve English language proficiency and communication skills.</w:t>
      </w:r>
    </w:p>
    <w:p>
      <w:pPr>
        <w:pStyle w:val="7"/>
        <w:keepNext w:val="0"/>
        <w:keepLines w:val="0"/>
        <w:pageBreakBefore w:val="0"/>
        <w:numPr>
          <w:numId w:val="0"/>
        </w:numPr>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cs="Times New Roman" w:eastAsiaTheme="minorEastAsia"/>
          <w:bCs/>
          <w:sz w:val="28"/>
          <w:szCs w:val="28"/>
          <w:lang w:val="en-US" w:eastAsia="zh-CN"/>
        </w:rPr>
      </w:pPr>
      <w:r>
        <w:rPr>
          <w:rFonts w:hint="default" w:ascii="Times New Roman" w:hAnsi="Times New Roman" w:cs="Times New Roman"/>
          <w:bCs/>
          <w:sz w:val="28"/>
          <w:szCs w:val="28"/>
          <w:lang w:val="en-US" w:eastAsia="zh-CN"/>
        </w:rPr>
        <w:t>Based on the above aims, three research questions are proposed</w:t>
      </w:r>
      <w:r>
        <w:rPr>
          <w:rFonts w:hint="eastAsia" w:ascii="Times New Roman" w:hAnsi="Times New Roman" w:cs="Times New Roman"/>
          <w:bCs/>
          <w:sz w:val="28"/>
          <w:szCs w:val="28"/>
          <w:lang w:val="en-US" w:eastAsia="zh-CN"/>
        </w:rPr>
        <w:t xml:space="preserve"> as following</w:t>
      </w:r>
      <w:r>
        <w:rPr>
          <w:rFonts w:hint="default" w:ascii="Times New Roman" w:hAnsi="Times New Roman" w:cs="Times New Roman"/>
          <w:bCs/>
          <w:sz w:val="28"/>
          <w:szCs w:val="28"/>
          <w:lang w:val="en-US" w:eastAsia="zh-CN"/>
        </w:rPr>
        <w:t xml:space="preserve"> to achieve the aims:</w:t>
      </w:r>
    </w:p>
    <w:p>
      <w:pPr>
        <w:pStyle w:val="7"/>
        <w:keepNext w:val="0"/>
        <w:keepLines w:val="0"/>
        <w:pageBreakBefore w:val="0"/>
        <w:numPr>
          <w:numId w:val="0"/>
        </w:numPr>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cs="Times New Roman"/>
          <w:bCs/>
          <w:sz w:val="28"/>
          <w:szCs w:val="28"/>
        </w:rPr>
      </w:pPr>
      <w:r>
        <w:rPr>
          <w:rFonts w:hint="default" w:ascii="Times New Roman" w:hAnsi="Times New Roman" w:cs="Times New Roman"/>
          <w:bCs/>
          <w:sz w:val="28"/>
          <w:szCs w:val="28"/>
        </w:rPr>
        <w:t>Q1:What impact do Wechat English learning activities have on college students' English learning outcomes?</w:t>
      </w:r>
    </w:p>
    <w:p>
      <w:pPr>
        <w:pStyle w:val="7"/>
        <w:keepNext w:val="0"/>
        <w:keepLines w:val="0"/>
        <w:pageBreakBefore w:val="0"/>
        <w:numPr>
          <w:numId w:val="0"/>
        </w:numPr>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cs="Times New Roman"/>
          <w:bCs/>
          <w:sz w:val="28"/>
          <w:szCs w:val="28"/>
        </w:rPr>
      </w:pPr>
      <w:r>
        <w:rPr>
          <w:rFonts w:hint="default" w:ascii="Times New Roman" w:hAnsi="Times New Roman" w:cs="Times New Roman"/>
          <w:bCs/>
          <w:sz w:val="28"/>
          <w:szCs w:val="28"/>
        </w:rPr>
        <w:t>Q2: What are the factors influencing college students' engagement and participation in WeChat English learning activities?</w:t>
      </w:r>
    </w:p>
    <w:p>
      <w:pPr>
        <w:pStyle w:val="7"/>
        <w:keepNext w:val="0"/>
        <w:keepLines w:val="0"/>
        <w:pageBreakBefore w:val="0"/>
        <w:numPr>
          <w:numId w:val="0"/>
        </w:numPr>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cs="Times New Roman"/>
          <w:bCs/>
          <w:sz w:val="28"/>
          <w:szCs w:val="28"/>
        </w:rPr>
      </w:pPr>
      <w:r>
        <w:rPr>
          <w:rFonts w:hint="default" w:ascii="Times New Roman" w:hAnsi="Times New Roman" w:cs="Times New Roman"/>
          <w:bCs/>
          <w:sz w:val="28"/>
          <w:szCs w:val="28"/>
        </w:rPr>
        <w:t>Q3:How can WeChat facilitate communication and engagement between teachers and students for language practice?</w:t>
      </w:r>
    </w:p>
    <w:p>
      <w:pPr>
        <w:pStyle w:val="7"/>
        <w:keepNext w:val="0"/>
        <w:keepLines w:val="0"/>
        <w:pageBreakBefore w:val="0"/>
        <w:numPr>
          <w:numId w:val="0"/>
        </w:numPr>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cs="Times New Roman"/>
          <w:bCs/>
          <w:sz w:val="28"/>
          <w:szCs w:val="28"/>
        </w:rPr>
      </w:pPr>
    </w:p>
    <w:p>
      <w:pPr>
        <w:pStyle w:val="7"/>
        <w:keepNext w:val="0"/>
        <w:keepLines w:val="0"/>
        <w:pageBreakBefore w:val="0"/>
        <w:numPr>
          <w:ilvl w:val="0"/>
          <w:numId w:val="1"/>
        </w:numPr>
        <w:kinsoku/>
        <w:wordWrap/>
        <w:overflowPunct/>
        <w:topLinePunct w:val="0"/>
        <w:autoSpaceDE/>
        <w:autoSpaceDN/>
        <w:bidi w:val="0"/>
        <w:adjustRightInd/>
        <w:snapToGrid/>
        <w:spacing w:before="157" w:beforeLines="50" w:after="157" w:afterLines="50"/>
        <w:ind w:left="105" w:leftChars="50" w:right="105" w:rightChars="50" w:firstLine="0" w:firstLineChars="0"/>
        <w:jc w:val="both"/>
        <w:textAlignment w:val="auto"/>
        <w:rPr>
          <w:rFonts w:hint="default" w:ascii="Times New Roman" w:hAnsi="Times New Roman" w:cs="Times New Roman"/>
          <w:b/>
          <w:bCs w:val="0"/>
          <w:sz w:val="28"/>
          <w:szCs w:val="28"/>
        </w:rPr>
      </w:pPr>
      <w:r>
        <w:rPr>
          <w:rFonts w:hint="default" w:ascii="Times New Roman" w:hAnsi="Times New Roman" w:cs="Times New Roman"/>
          <w:b/>
          <w:bCs w:val="0"/>
          <w:sz w:val="28"/>
          <w:szCs w:val="28"/>
        </w:rPr>
        <w:t xml:space="preserve">A description of the evidence </w:t>
      </w:r>
      <w:r>
        <w:rPr>
          <w:rFonts w:hint="eastAsia" w:ascii="Times New Roman" w:hAnsi="Times New Roman" w:cs="Times New Roman"/>
          <w:b/>
          <w:bCs w:val="0"/>
          <w:sz w:val="28"/>
          <w:szCs w:val="28"/>
          <w:lang w:val="en-US" w:eastAsia="zh-CN"/>
        </w:rPr>
        <w:t>I</w:t>
      </w:r>
      <w:r>
        <w:rPr>
          <w:rFonts w:hint="default" w:ascii="Times New Roman" w:hAnsi="Times New Roman" w:cs="Times New Roman"/>
          <w:b/>
          <w:bCs w:val="0"/>
          <w:sz w:val="28"/>
          <w:szCs w:val="28"/>
        </w:rPr>
        <w:t xml:space="preserve"> intend to collect</w:t>
      </w:r>
    </w:p>
    <w:p>
      <w:pPr>
        <w:keepNext w:val="0"/>
        <w:keepLines w:val="0"/>
        <w:pageBreakBefore w:val="0"/>
        <w:widowControl/>
        <w:suppressLineNumbers w:val="0"/>
        <w:kinsoku/>
        <w:wordWrap/>
        <w:overflowPunct/>
        <w:topLinePunct w:val="0"/>
        <w:autoSpaceDE/>
        <w:autoSpaceDN/>
        <w:bidi w:val="0"/>
        <w:adjustRightInd/>
        <w:snapToGrid/>
        <w:spacing w:before="157" w:beforeLines="50" w:after="157" w:afterLines="50"/>
        <w:ind w:right="105" w:rightChars="50"/>
        <w:jc w:val="both"/>
        <w:textAlignment w:val="auto"/>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 xml:space="preserve">The evidence collected for this study will come from a variety of data sources, with the goal of comprehensively examining the influence of WeChat language learning activities on students' English learning results. </w:t>
      </w:r>
      <w:r>
        <w:rPr>
          <w:rFonts w:hint="default" w:ascii="Times New Roman" w:hAnsi="Times New Roman" w:eastAsia="宋体" w:cs="Times New Roman"/>
          <w:kern w:val="0"/>
          <w:sz w:val="28"/>
          <w:szCs w:val="28"/>
          <w:lang w:val="en-US" w:eastAsia="zh-CN" w:bidi="ar"/>
        </w:rPr>
        <w:br w:type="textWrapping"/>
      </w:r>
      <w:r>
        <w:rPr>
          <w:rFonts w:hint="default" w:ascii="Times New Roman" w:hAnsi="Times New Roman" w:eastAsia="宋体" w:cs="Times New Roman"/>
          <w:kern w:val="0"/>
          <w:sz w:val="28"/>
          <w:szCs w:val="28"/>
          <w:lang w:val="en-US" w:eastAsia="zh-CN" w:bidi="ar"/>
        </w:rPr>
        <w:t>First, language assessments given before and after the WeChat activities will provide quantifiable data on participants' language competence levels and learning progress during the trial. These exams will be used as objective metrics to compare language acquisition outcomes between the experimental group that participated in WeChat activities and the control group.Next, semi-structured interviews with experimental group participants will provide qualitative insights into their experiences, perspectives, and opinions on WeChat English learning activities. Participants will be able to express their thoughts on many elements of the activities during these interviews, such as their degree of involvement, perceived benefits, challenges encountered, and specific variables impacting their participation.The combination of quantitative data from language tests and qualitative data from interviews will allow for a thorough analysis of the effectiveness and implications of WeChat language learning programs. Statistical analysis tools, including the paired T-test, will be used to compare language learning outcomes between the experimental and control groups, giving statistical proof of the impact of WeChat activities on students' English learning outcomes. Thematic analysis of the interview data will provide deeper insights into the specific elements impacting WeChat English learning, so enhancing our understanding of the dynamics at work in this setting.This multifaceted method to data collecting seeks to provide strong evidence about the usefulness of WeChat language learning activities and shed light on the underlying mechanisms and factors leading to their effectiveness.</w:t>
      </w:r>
    </w:p>
    <w:p>
      <w:pPr>
        <w:pStyle w:val="7"/>
        <w:keepNext w:val="0"/>
        <w:keepLines w:val="0"/>
        <w:pageBreakBefore w:val="0"/>
        <w:numPr>
          <w:numId w:val="0"/>
        </w:numPr>
        <w:kinsoku/>
        <w:wordWrap/>
        <w:overflowPunct/>
        <w:topLinePunct w:val="0"/>
        <w:autoSpaceDE/>
        <w:autoSpaceDN/>
        <w:bidi w:val="0"/>
        <w:adjustRightInd/>
        <w:snapToGrid/>
        <w:spacing w:before="157" w:beforeLines="50" w:after="157" w:afterLines="50"/>
        <w:ind w:right="105" w:rightChars="50"/>
        <w:jc w:val="both"/>
        <w:textAlignment w:val="auto"/>
        <w:rPr>
          <w:rFonts w:hint="default" w:ascii="Times New Roman" w:hAnsi="Times New Roman" w:cs="Times New Roman"/>
          <w:b/>
          <w:bCs w:val="0"/>
          <w:sz w:val="28"/>
          <w:szCs w:val="28"/>
          <w:lang w:val="en-US" w:eastAsia="zh-CN"/>
        </w:rPr>
      </w:pPr>
    </w:p>
    <w:p>
      <w:pPr>
        <w:pStyle w:val="7"/>
        <w:keepNext w:val="0"/>
        <w:keepLines w:val="0"/>
        <w:pageBreakBefore w:val="0"/>
        <w:numPr>
          <w:numId w:val="0"/>
        </w:numPr>
        <w:kinsoku/>
        <w:wordWrap/>
        <w:overflowPunct/>
        <w:topLinePunct w:val="0"/>
        <w:autoSpaceDE/>
        <w:autoSpaceDN/>
        <w:bidi w:val="0"/>
        <w:adjustRightInd/>
        <w:snapToGrid/>
        <w:spacing w:before="157" w:beforeLines="50" w:after="157" w:afterLines="50"/>
        <w:ind w:right="105" w:rightChars="50"/>
        <w:jc w:val="both"/>
        <w:textAlignment w:val="auto"/>
        <w:rPr>
          <w:rFonts w:hint="default" w:ascii="Times New Roman" w:hAnsi="Times New Roman" w:cs="Times New Roman" w:eastAsiaTheme="minorEastAsia"/>
          <w:b/>
          <w:bCs w:val="0"/>
          <w:sz w:val="28"/>
          <w:szCs w:val="28"/>
          <w:lang w:val="en-US" w:eastAsia="zh-CN"/>
        </w:rPr>
      </w:pPr>
      <w:r>
        <w:rPr>
          <w:rFonts w:hint="default" w:ascii="Times New Roman" w:hAnsi="Times New Roman" w:cs="Times New Roman"/>
          <w:b/>
          <w:bCs w:val="0"/>
          <w:sz w:val="28"/>
          <w:szCs w:val="28"/>
          <w:lang w:val="en-US" w:eastAsia="zh-CN"/>
        </w:rPr>
        <w:t>4.</w:t>
      </w:r>
      <w:r>
        <w:rPr>
          <w:rFonts w:hint="default" w:ascii="Times New Roman" w:hAnsi="Times New Roman" w:cs="Times New Roman"/>
          <w:b/>
          <w:bCs w:val="0"/>
          <w:sz w:val="28"/>
          <w:szCs w:val="28"/>
        </w:rPr>
        <w:t xml:space="preserve">The methods </w:t>
      </w:r>
      <w:r>
        <w:rPr>
          <w:rFonts w:hint="eastAsia" w:ascii="Times New Roman" w:hAnsi="Times New Roman" w:cs="Times New Roman"/>
          <w:b/>
          <w:bCs w:val="0"/>
          <w:sz w:val="28"/>
          <w:szCs w:val="28"/>
          <w:lang w:val="en-US" w:eastAsia="zh-CN"/>
        </w:rPr>
        <w:t xml:space="preserve">used </w:t>
      </w:r>
      <w:r>
        <w:rPr>
          <w:rFonts w:hint="default" w:ascii="Times New Roman" w:hAnsi="Times New Roman" w:cs="Times New Roman"/>
          <w:b/>
          <w:bCs w:val="0"/>
          <w:sz w:val="28"/>
          <w:szCs w:val="28"/>
        </w:rPr>
        <w:t>to collect evidence</w:t>
      </w:r>
      <w:r>
        <w:rPr>
          <w:rFonts w:hint="eastAsia" w:ascii="Times New Roman" w:hAnsi="Times New Roman" w:cs="Times New Roman"/>
          <w:b/>
          <w:bCs w:val="0"/>
          <w:sz w:val="28"/>
          <w:szCs w:val="28"/>
          <w:lang w:val="en-US" w:eastAsia="zh-CN"/>
        </w:rPr>
        <w:t xml:space="preserve"> of the investigation</w:t>
      </w:r>
    </w:p>
    <w:p>
      <w:pPr>
        <w:keepNext w:val="0"/>
        <w:keepLines w:val="0"/>
        <w:pageBreakBefore w:val="0"/>
        <w:widowControl/>
        <w:suppressLineNumbers w:val="0"/>
        <w:kinsoku/>
        <w:wordWrap/>
        <w:overflowPunct/>
        <w:topLinePunct w:val="0"/>
        <w:autoSpaceDE/>
        <w:autoSpaceDN/>
        <w:bidi w:val="0"/>
        <w:adjustRightInd/>
        <w:snapToGrid/>
        <w:spacing w:before="157" w:beforeLines="50" w:after="157" w:afterLines="50"/>
        <w:ind w:right="105" w:rightChars="50"/>
        <w:jc w:val="both"/>
        <w:textAlignment w:val="auto"/>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The data collection methods for this project will combine quantitative and qualitative methodologies to completely examine the influence of WeChat language learning activities on students' English learning results.</w:t>
      </w:r>
    </w:p>
    <w:p>
      <w:pPr>
        <w:pStyle w:val="7"/>
        <w:keepNext w:val="0"/>
        <w:keepLines w:val="0"/>
        <w:pageBreakBefore w:val="0"/>
        <w:numPr>
          <w:ilvl w:val="0"/>
          <w:numId w:val="0"/>
        </w:numPr>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cs="Times New Roman"/>
          <w:bCs/>
          <w:sz w:val="28"/>
          <w:szCs w:val="28"/>
        </w:rPr>
      </w:pPr>
    </w:p>
    <w:p>
      <w:pPr>
        <w:keepNext w:val="0"/>
        <w:keepLines w:val="0"/>
        <w:pageBreakBefore w:val="0"/>
        <w:widowControl/>
        <w:suppressLineNumbers w:val="0"/>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cs="Times New Roman"/>
          <w:bCs/>
          <w:sz w:val="28"/>
          <w:szCs w:val="28"/>
        </w:rPr>
      </w:pPr>
      <w:r>
        <w:rPr>
          <w:rFonts w:hint="default" w:ascii="Times New Roman" w:hAnsi="Times New Roman" w:eastAsia="宋体" w:cs="Times New Roman"/>
          <w:kern w:val="0"/>
          <w:sz w:val="28"/>
          <w:szCs w:val="28"/>
          <w:lang w:val="en-US" w:eastAsia="zh-CN" w:bidi="ar"/>
        </w:rPr>
        <w:t>Quantitative strategies include providing language assessments before and after the WeChat activities to assess participants' language competency and learning progress. These tests will give objective, quantifiable data for comparing the language acquisition outcomes of the experimental group that participated in WeChat activities and the control group. Qualitative techniques entail conducting semi-structured interviews with experimental group members to learn about their experiences, perceptions, and opinions about WeChat English learning activities. These interviews will allow participants to express their opinions on many elements of the events, including engagement levels, perceived benefits, problems, and variables influencing participation.</w:t>
      </w:r>
    </w:p>
    <w:p>
      <w:pPr>
        <w:keepNext w:val="0"/>
        <w:keepLines w:val="0"/>
        <w:pageBreakBefore w:val="0"/>
        <w:widowControl/>
        <w:suppressLineNumbers w:val="0"/>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 xml:space="preserve">The combination of quantitative data from language tests and qualitative data from interviews will provide a complete picture of the effectiveness and ramifications of WeChat language learning activities. Statistical analysis methods, such as the paired T-test and ANOVA, will be used to evaluate language learning outcomes in the experimental and control groups, providing statistical proof of the impact of WeChat activities on students' English acquisition. Furthermore, thematic analysis of the interview data will provide additional insights into the unique elements impacting WeChat English learning, so enhancing our understanding of the dynamics at work in this setting. </w:t>
      </w:r>
      <w:r>
        <w:rPr>
          <w:rFonts w:hint="default" w:ascii="Times New Roman" w:hAnsi="Times New Roman" w:eastAsia="宋体" w:cs="Times New Roman"/>
          <w:kern w:val="0"/>
          <w:sz w:val="28"/>
          <w:szCs w:val="28"/>
          <w:lang w:val="en-US" w:eastAsia="zh-CN" w:bidi="ar"/>
        </w:rPr>
        <w:br w:type="textWrapping"/>
      </w:r>
      <w:r>
        <w:rPr>
          <w:rFonts w:hint="eastAsia" w:ascii="Times New Roman" w:hAnsi="Times New Roman" w:eastAsia="宋体" w:cs="Times New Roman"/>
          <w:kern w:val="0"/>
          <w:sz w:val="28"/>
          <w:szCs w:val="28"/>
          <w:lang w:val="en-US" w:eastAsia="zh-CN" w:bidi="ar"/>
        </w:rPr>
        <w:t>All in all</w:t>
      </w:r>
      <w:r>
        <w:rPr>
          <w:rFonts w:hint="default" w:ascii="Times New Roman" w:hAnsi="Times New Roman" w:eastAsia="宋体" w:cs="Times New Roman"/>
          <w:kern w:val="0"/>
          <w:sz w:val="28"/>
          <w:szCs w:val="28"/>
          <w:lang w:val="en-US" w:eastAsia="zh-CN" w:bidi="ar"/>
        </w:rPr>
        <w:t>, the intended techniques seek to collect strong evidence of the usefulness of WeChat language learning activities, as well as to clarify the underlying mechanisms and elements that contribute to their effectiveness.</w:t>
      </w:r>
    </w:p>
    <w:p>
      <w:pPr>
        <w:pStyle w:val="7"/>
        <w:keepNext w:val="0"/>
        <w:keepLines w:val="0"/>
        <w:pageBreakBefore w:val="0"/>
        <w:numPr>
          <w:numId w:val="0"/>
        </w:numPr>
        <w:kinsoku/>
        <w:wordWrap/>
        <w:overflowPunct/>
        <w:topLinePunct w:val="0"/>
        <w:autoSpaceDE/>
        <w:autoSpaceDN/>
        <w:bidi w:val="0"/>
        <w:adjustRightInd/>
        <w:snapToGrid/>
        <w:spacing w:before="157" w:beforeLines="50" w:after="157" w:afterLines="50"/>
        <w:ind w:right="105" w:rightChars="50"/>
        <w:jc w:val="both"/>
        <w:textAlignment w:val="auto"/>
        <w:rPr>
          <w:rFonts w:hint="default" w:ascii="Times New Roman" w:hAnsi="Times New Roman" w:cs="Times New Roman"/>
          <w:b/>
          <w:bCs w:val="0"/>
          <w:sz w:val="28"/>
          <w:szCs w:val="28"/>
          <w:lang w:val="en-US" w:eastAsia="zh-CN"/>
        </w:rPr>
      </w:pPr>
    </w:p>
    <w:p>
      <w:pPr>
        <w:pStyle w:val="7"/>
        <w:keepNext w:val="0"/>
        <w:keepLines w:val="0"/>
        <w:pageBreakBefore w:val="0"/>
        <w:numPr>
          <w:numId w:val="0"/>
        </w:numPr>
        <w:kinsoku/>
        <w:wordWrap/>
        <w:overflowPunct/>
        <w:topLinePunct w:val="0"/>
        <w:autoSpaceDE/>
        <w:autoSpaceDN/>
        <w:bidi w:val="0"/>
        <w:adjustRightInd/>
        <w:snapToGrid/>
        <w:spacing w:before="157" w:beforeLines="50" w:after="157" w:afterLines="50"/>
        <w:ind w:right="105" w:rightChars="50"/>
        <w:jc w:val="both"/>
        <w:textAlignment w:val="auto"/>
        <w:rPr>
          <w:rFonts w:hint="default" w:ascii="Times New Roman" w:hAnsi="Times New Roman" w:cs="Times New Roman"/>
          <w:b/>
          <w:bCs w:val="0"/>
          <w:sz w:val="28"/>
          <w:szCs w:val="28"/>
        </w:rPr>
      </w:pPr>
      <w:r>
        <w:rPr>
          <w:rFonts w:hint="default" w:ascii="Times New Roman" w:hAnsi="Times New Roman" w:cs="Times New Roman"/>
          <w:b/>
          <w:bCs w:val="0"/>
          <w:sz w:val="28"/>
          <w:szCs w:val="28"/>
          <w:lang w:val="en-US" w:eastAsia="zh-CN"/>
        </w:rPr>
        <w:t>5.</w:t>
      </w:r>
      <w:r>
        <w:rPr>
          <w:rFonts w:hint="eastAsia" w:ascii="Times New Roman" w:hAnsi="Times New Roman" w:cs="Times New Roman"/>
          <w:b/>
          <w:bCs w:val="0"/>
          <w:sz w:val="28"/>
          <w:szCs w:val="28"/>
          <w:lang w:val="en-US" w:eastAsia="zh-CN"/>
        </w:rPr>
        <w:t>T</w:t>
      </w:r>
      <w:r>
        <w:rPr>
          <w:rFonts w:hint="default" w:ascii="Times New Roman" w:hAnsi="Times New Roman" w:cs="Times New Roman"/>
          <w:b/>
          <w:bCs w:val="0"/>
          <w:sz w:val="28"/>
          <w:szCs w:val="28"/>
        </w:rPr>
        <w:t xml:space="preserve">he settings </w:t>
      </w:r>
      <w:r>
        <w:rPr>
          <w:rFonts w:hint="eastAsia" w:ascii="Times New Roman" w:hAnsi="Times New Roman" w:cs="Times New Roman"/>
          <w:b/>
          <w:bCs w:val="0"/>
          <w:sz w:val="28"/>
          <w:szCs w:val="28"/>
          <w:lang w:val="en-US" w:eastAsia="zh-CN"/>
        </w:rPr>
        <w:t xml:space="preserve">in which I plan </w:t>
      </w:r>
      <w:r>
        <w:rPr>
          <w:rFonts w:hint="default" w:ascii="Times New Roman" w:hAnsi="Times New Roman" w:cs="Times New Roman"/>
          <w:b/>
          <w:bCs w:val="0"/>
          <w:sz w:val="28"/>
          <w:szCs w:val="28"/>
        </w:rPr>
        <w:t xml:space="preserve">to collect </w:t>
      </w:r>
      <w:r>
        <w:rPr>
          <w:rFonts w:hint="eastAsia" w:ascii="Times New Roman" w:hAnsi="Times New Roman" w:cs="Times New Roman"/>
          <w:b/>
          <w:bCs w:val="0"/>
          <w:sz w:val="28"/>
          <w:szCs w:val="28"/>
          <w:lang w:val="en-US" w:eastAsia="zh-CN"/>
        </w:rPr>
        <w:t>e</w:t>
      </w:r>
      <w:r>
        <w:rPr>
          <w:rFonts w:hint="default" w:ascii="Times New Roman" w:hAnsi="Times New Roman" w:cs="Times New Roman"/>
          <w:b/>
          <w:bCs w:val="0"/>
          <w:sz w:val="28"/>
          <w:szCs w:val="28"/>
        </w:rPr>
        <w:t>vidence</w:t>
      </w:r>
    </w:p>
    <w:p>
      <w:pPr>
        <w:keepNext w:val="0"/>
        <w:keepLines w:val="0"/>
        <w:pageBreakBefore w:val="0"/>
        <w:widowControl/>
        <w:suppressLineNumbers w:val="0"/>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The evidence for this study will be gathered in a university setting, specifically among students who freely participate in WeChat language learning activities. The study will take place on the university campus, with students using university resources including as classrooms, computer labs, and study areas to access WeChat and engage in language learning activities. Participants will be selected from the university's student population, ensuring that they have a similar level of English ability. They will be divided into two groups: the experimental group, which will take part in WeChat English learning activities, and the control group, which will not.</w:t>
      </w:r>
    </w:p>
    <w:p>
      <w:pPr>
        <w:keepNext w:val="0"/>
        <w:keepLines w:val="0"/>
        <w:pageBreakBefore w:val="0"/>
        <w:widowControl/>
        <w:suppressLineNumbers w:val="0"/>
        <w:kinsoku/>
        <w:wordWrap/>
        <w:overflowPunct/>
        <w:topLinePunct w:val="0"/>
        <w:autoSpaceDE/>
        <w:autoSpaceDN/>
        <w:bidi w:val="0"/>
        <w:adjustRightInd/>
        <w:snapToGrid/>
        <w:spacing w:before="157" w:beforeLines="50" w:after="157" w:afterLines="50"/>
        <w:ind w:right="105" w:rightChars="50"/>
        <w:jc w:val="both"/>
        <w:textAlignment w:val="auto"/>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 xml:space="preserve">The WeChat language learning activities will be devised and implemented within the university setting, allowing participants to use WeChat to complete various language learning tasks. These activities could include language learning group discussions, voice messaging exercises, language games, and other interactive tasks aimed at improving language proficiency and communication skills. </w:t>
      </w:r>
      <w:r>
        <w:rPr>
          <w:rFonts w:hint="default" w:ascii="Times New Roman" w:hAnsi="Times New Roman" w:eastAsia="宋体" w:cs="Times New Roman"/>
          <w:kern w:val="0"/>
          <w:sz w:val="28"/>
          <w:szCs w:val="28"/>
          <w:lang w:val="en-US" w:eastAsia="zh-CN" w:bidi="ar"/>
        </w:rPr>
        <w:br w:type="textWrapping"/>
      </w:r>
      <w:r>
        <w:rPr>
          <w:rFonts w:hint="default" w:ascii="Times New Roman" w:hAnsi="Times New Roman" w:eastAsia="宋体" w:cs="Times New Roman"/>
          <w:kern w:val="0"/>
          <w:sz w:val="28"/>
          <w:szCs w:val="28"/>
          <w:lang w:val="en-US" w:eastAsia="zh-CN" w:bidi="ar"/>
        </w:rPr>
        <w:br w:type="textWrapping"/>
      </w:r>
      <w:r>
        <w:rPr>
          <w:rFonts w:hint="default" w:ascii="Times New Roman" w:hAnsi="Times New Roman" w:eastAsia="宋体" w:cs="Times New Roman"/>
          <w:kern w:val="0"/>
          <w:sz w:val="28"/>
          <w:szCs w:val="28"/>
          <w:lang w:val="en-US" w:eastAsia="zh-CN" w:bidi="ar"/>
        </w:rPr>
        <w:t>Data collection, including language exams and interviews, will also take place at the university. Language examinations will be given prior to and during the WeChat activities, potentially in designated testing rooms or classrooms. Interviews with participants from the experimental group will take place at the institution, providing a comfortable and familiar setting for them to share their experiences and insights on WeChat English learning activities.</w:t>
      </w:r>
    </w:p>
    <w:p>
      <w:pPr>
        <w:keepNext w:val="0"/>
        <w:keepLines w:val="0"/>
        <w:pageBreakBefore w:val="0"/>
        <w:widowControl/>
        <w:suppressLineNumbers w:val="0"/>
        <w:kinsoku/>
        <w:wordWrap/>
        <w:overflowPunct/>
        <w:topLinePunct w:val="0"/>
        <w:autoSpaceDE/>
        <w:autoSpaceDN/>
        <w:bidi w:val="0"/>
        <w:adjustRightInd/>
        <w:snapToGrid/>
        <w:spacing w:before="157" w:beforeLines="50" w:after="157" w:afterLines="50"/>
        <w:ind w:right="105" w:rightChars="50"/>
        <w:jc w:val="both"/>
        <w:textAlignment w:val="auto"/>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Overall, the university context is ideal for conducting this study, as it allows for the implementation of WeChat language learning activities and the collecting of evidence to assess their influence on students' English learning results.</w:t>
      </w:r>
    </w:p>
    <w:p>
      <w:pPr>
        <w:pStyle w:val="7"/>
        <w:keepNext w:val="0"/>
        <w:keepLines w:val="0"/>
        <w:pageBreakBefore w:val="0"/>
        <w:numPr>
          <w:ilvl w:val="0"/>
          <w:numId w:val="0"/>
        </w:numPr>
        <w:kinsoku/>
        <w:wordWrap/>
        <w:overflowPunct/>
        <w:topLinePunct w:val="0"/>
        <w:autoSpaceDE/>
        <w:autoSpaceDN/>
        <w:bidi w:val="0"/>
        <w:adjustRightInd/>
        <w:snapToGrid/>
        <w:spacing w:before="157" w:beforeLines="50" w:after="157" w:afterLines="50"/>
        <w:ind w:right="105" w:rightChars="50"/>
        <w:jc w:val="both"/>
        <w:textAlignment w:val="auto"/>
        <w:rPr>
          <w:rFonts w:hint="default" w:ascii="Times New Roman" w:hAnsi="Times New Roman" w:cs="Times New Roman"/>
          <w:b/>
          <w:bCs w:val="0"/>
          <w:sz w:val="28"/>
          <w:szCs w:val="28"/>
          <w:lang w:val="en-US" w:eastAsia="zh-CN"/>
        </w:rPr>
      </w:pPr>
    </w:p>
    <w:p>
      <w:pPr>
        <w:pStyle w:val="7"/>
        <w:keepNext w:val="0"/>
        <w:keepLines w:val="0"/>
        <w:pageBreakBefore w:val="0"/>
        <w:numPr>
          <w:ilvl w:val="0"/>
          <w:numId w:val="0"/>
        </w:numPr>
        <w:kinsoku/>
        <w:wordWrap/>
        <w:overflowPunct/>
        <w:topLinePunct w:val="0"/>
        <w:autoSpaceDE/>
        <w:autoSpaceDN/>
        <w:bidi w:val="0"/>
        <w:adjustRightInd/>
        <w:snapToGrid/>
        <w:spacing w:before="157" w:beforeLines="50" w:after="157" w:afterLines="50"/>
        <w:ind w:right="105" w:rightChars="50"/>
        <w:jc w:val="both"/>
        <w:textAlignment w:val="auto"/>
        <w:rPr>
          <w:rFonts w:hint="default" w:ascii="Times New Roman" w:hAnsi="Times New Roman" w:cs="Times New Roman"/>
          <w:bCs/>
          <w:sz w:val="28"/>
          <w:szCs w:val="28"/>
        </w:rPr>
      </w:pPr>
      <w:r>
        <w:rPr>
          <w:rFonts w:hint="default" w:ascii="Times New Roman" w:hAnsi="Times New Roman" w:cs="Times New Roman"/>
          <w:b/>
          <w:bCs w:val="0"/>
          <w:sz w:val="28"/>
          <w:szCs w:val="28"/>
          <w:lang w:val="en-US" w:eastAsia="zh-CN"/>
        </w:rPr>
        <w:t>6.</w:t>
      </w:r>
      <w:r>
        <w:rPr>
          <w:rFonts w:hint="default" w:ascii="Times New Roman" w:hAnsi="Times New Roman" w:cs="Times New Roman"/>
          <w:b/>
          <w:bCs w:val="0"/>
          <w:sz w:val="28"/>
          <w:szCs w:val="28"/>
        </w:rPr>
        <w:t>The methods</w:t>
      </w:r>
      <w:r>
        <w:rPr>
          <w:rFonts w:hint="eastAsia" w:ascii="Times New Roman" w:hAnsi="Times New Roman" w:cs="Times New Roman"/>
          <w:b/>
          <w:bCs w:val="0"/>
          <w:sz w:val="28"/>
          <w:szCs w:val="28"/>
          <w:lang w:val="en-US" w:eastAsia="zh-CN"/>
        </w:rPr>
        <w:t xml:space="preserve"> </w:t>
      </w:r>
      <w:r>
        <w:rPr>
          <w:rFonts w:hint="default" w:ascii="Times New Roman" w:hAnsi="Times New Roman" w:cs="Times New Roman"/>
          <w:b/>
          <w:bCs w:val="0"/>
          <w:sz w:val="28"/>
          <w:szCs w:val="28"/>
        </w:rPr>
        <w:t>use</w:t>
      </w:r>
      <w:r>
        <w:rPr>
          <w:rFonts w:hint="eastAsia" w:ascii="Times New Roman" w:hAnsi="Times New Roman" w:cs="Times New Roman"/>
          <w:b/>
          <w:bCs w:val="0"/>
          <w:sz w:val="28"/>
          <w:szCs w:val="28"/>
          <w:lang w:val="en-US" w:eastAsia="zh-CN"/>
        </w:rPr>
        <w:t>d</w:t>
      </w:r>
      <w:r>
        <w:rPr>
          <w:rFonts w:hint="default" w:ascii="Times New Roman" w:hAnsi="Times New Roman" w:cs="Times New Roman"/>
          <w:b/>
          <w:bCs w:val="0"/>
          <w:sz w:val="28"/>
          <w:szCs w:val="28"/>
        </w:rPr>
        <w:t xml:space="preserve"> to analyse the evidence </w:t>
      </w:r>
    </w:p>
    <w:p>
      <w:pPr>
        <w:keepNext w:val="0"/>
        <w:keepLines w:val="0"/>
        <w:pageBreakBefore w:val="0"/>
        <w:widowControl/>
        <w:suppressLineNumbers w:val="0"/>
        <w:kinsoku/>
        <w:wordWrap/>
        <w:overflowPunct/>
        <w:topLinePunct w:val="0"/>
        <w:autoSpaceDE/>
        <w:autoSpaceDN/>
        <w:bidi w:val="0"/>
        <w:adjustRightInd/>
        <w:snapToGrid/>
        <w:spacing w:before="157" w:beforeLines="50" w:after="157" w:afterLines="50"/>
        <w:ind w:right="105" w:rightChars="50"/>
        <w:jc w:val="both"/>
        <w:textAlignment w:val="auto"/>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The methodologies intended for analyzing the evidence obtained for this project include both quantitative and qualitative approaches to provide a full understanding of the influence of WeChat language learning activities on students' English learning results.</w:t>
      </w:r>
    </w:p>
    <w:p>
      <w:pPr>
        <w:keepNext w:val="0"/>
        <w:keepLines w:val="0"/>
        <w:pageBreakBefore w:val="0"/>
        <w:widowControl/>
        <w:suppressLineNumbers w:val="0"/>
        <w:kinsoku/>
        <w:wordWrap/>
        <w:overflowPunct/>
        <w:topLinePunct w:val="0"/>
        <w:autoSpaceDE/>
        <w:autoSpaceDN/>
        <w:bidi w:val="0"/>
        <w:adjustRightInd/>
        <w:snapToGrid/>
        <w:spacing w:before="157" w:beforeLines="50" w:after="157" w:afterLines="50"/>
        <w:ind w:right="105" w:rightChars="50"/>
        <w:jc w:val="both"/>
        <w:textAlignment w:val="auto"/>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 xml:space="preserve">Quantitative Analysis: </w:t>
      </w:r>
    </w:p>
    <w:p>
      <w:pPr>
        <w:keepNext w:val="0"/>
        <w:keepLines w:val="0"/>
        <w:pageBreakBefore w:val="0"/>
        <w:widowControl/>
        <w:suppressLineNumbers w:val="0"/>
        <w:kinsoku/>
        <w:wordWrap/>
        <w:overflowPunct/>
        <w:topLinePunct w:val="0"/>
        <w:autoSpaceDE/>
        <w:autoSpaceDN/>
        <w:bidi w:val="0"/>
        <w:adjustRightInd/>
        <w:snapToGrid/>
        <w:spacing w:before="157" w:beforeLines="50" w:after="157" w:afterLines="50"/>
        <w:ind w:right="105" w:rightChars="50"/>
        <w:jc w:val="both"/>
        <w:textAlignment w:val="auto"/>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 xml:space="preserve">1. Statistical Analysis: paired T-tests </w:t>
      </w:r>
      <w:r>
        <w:rPr>
          <w:rFonts w:hint="eastAsia" w:ascii="Times New Roman" w:hAnsi="Times New Roman" w:eastAsia="宋体" w:cs="Times New Roman"/>
          <w:kern w:val="0"/>
          <w:sz w:val="28"/>
          <w:szCs w:val="28"/>
          <w:lang w:val="en-US" w:eastAsia="zh-CN" w:bidi="ar"/>
        </w:rPr>
        <w:t xml:space="preserve">will be used </w:t>
      </w:r>
      <w:r>
        <w:rPr>
          <w:rFonts w:hint="default" w:ascii="Times New Roman" w:hAnsi="Times New Roman" w:eastAsia="宋体" w:cs="Times New Roman"/>
          <w:kern w:val="0"/>
          <w:sz w:val="28"/>
          <w:szCs w:val="28"/>
          <w:lang w:val="en-US" w:eastAsia="zh-CN" w:bidi="ar"/>
        </w:rPr>
        <w:t>to evaluate experimental and control group language learning outcomes. This study will include comparing pre-test and post-test results to examine improvements in language proficiency levels within each group and determining whether there are significant variations in learning outcomes between the groups.</w:t>
      </w:r>
    </w:p>
    <w:p>
      <w:pPr>
        <w:keepNext w:val="0"/>
        <w:keepLines w:val="0"/>
        <w:pageBreakBefore w:val="0"/>
        <w:widowControl/>
        <w:suppressLineNumbers w:val="0"/>
        <w:kinsoku/>
        <w:wordWrap/>
        <w:overflowPunct/>
        <w:topLinePunct w:val="0"/>
        <w:autoSpaceDE/>
        <w:autoSpaceDN/>
        <w:bidi w:val="0"/>
        <w:adjustRightInd/>
        <w:snapToGrid/>
        <w:spacing w:before="157" w:beforeLines="50" w:after="157" w:afterLines="50"/>
        <w:ind w:right="105" w:rightChars="50"/>
        <w:jc w:val="both"/>
        <w:textAlignment w:val="auto"/>
        <w:rPr>
          <w:rFonts w:hint="default" w:ascii="Times New Roman" w:hAnsi="Times New Roman" w:cs="Times New Roman"/>
          <w:bCs/>
          <w:sz w:val="28"/>
          <w:szCs w:val="28"/>
        </w:rPr>
      </w:pPr>
      <w:r>
        <w:rPr>
          <w:rFonts w:hint="eastAsia" w:ascii="Times New Roman" w:hAnsi="Times New Roman" w:eastAsia="宋体" w:cs="Times New Roman"/>
          <w:kern w:val="0"/>
          <w:sz w:val="28"/>
          <w:szCs w:val="28"/>
          <w:lang w:val="en-US" w:eastAsia="zh-CN" w:bidi="ar"/>
        </w:rPr>
        <w:t xml:space="preserve">2. </w:t>
      </w:r>
      <w:r>
        <w:rPr>
          <w:rFonts w:hint="default" w:ascii="Times New Roman" w:hAnsi="Times New Roman" w:eastAsia="宋体" w:cs="Times New Roman"/>
          <w:kern w:val="0"/>
          <w:sz w:val="28"/>
          <w:szCs w:val="28"/>
          <w:lang w:val="en-US" w:eastAsia="zh-CN" w:bidi="ar"/>
        </w:rPr>
        <w:t>Qualitative analysis will include thematic analysis of interview data from experimental group participants. This qualitative approach entails meticulously classifying and finding repeating themes or patterns in interview transcripts. Themes about participants' experiences, opinions, attitudes, and factors influencing their participation in WeChat language learning activities will be discovered and studied to acquire a better understanding of their effectiveness.</w:t>
      </w:r>
    </w:p>
    <w:p>
      <w:pPr>
        <w:keepNext w:val="0"/>
        <w:keepLines w:val="0"/>
        <w:pageBreakBefore w:val="0"/>
        <w:widowControl/>
        <w:suppressLineNumbers w:val="0"/>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 xml:space="preserve">Integration of Findings: </w:t>
      </w:r>
    </w:p>
    <w:p>
      <w:pPr>
        <w:keepNext w:val="0"/>
        <w:keepLines w:val="0"/>
        <w:pageBreakBefore w:val="0"/>
        <w:widowControl/>
        <w:suppressLineNumbers w:val="0"/>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cs="Times New Roman"/>
          <w:sz w:val="28"/>
          <w:szCs w:val="28"/>
        </w:rPr>
      </w:pPr>
      <w:r>
        <w:rPr>
          <w:rFonts w:hint="default" w:ascii="Times New Roman" w:hAnsi="Times New Roman" w:eastAsia="宋体" w:cs="Times New Roman"/>
          <w:kern w:val="0"/>
          <w:sz w:val="28"/>
          <w:szCs w:val="28"/>
          <w:lang w:val="en-US" w:eastAsia="zh-CN" w:bidi="ar"/>
        </w:rPr>
        <w:t xml:space="preserve">1. Triangulation: Combining quantitative and qualitative findings will provide a thorough grasp of the research phenomenon. Convergence, complementarity, and disparities between quantitative and qualitative results will be investigated to provide a more nuanced assessment of the impact of WeChat activities on students' English learning outcomes. </w:t>
      </w:r>
      <w:r>
        <w:rPr>
          <w:rFonts w:hint="default" w:ascii="Times New Roman" w:hAnsi="Times New Roman" w:eastAsia="宋体" w:cs="Times New Roman"/>
          <w:kern w:val="0"/>
          <w:sz w:val="28"/>
          <w:szCs w:val="28"/>
          <w:lang w:val="en-US" w:eastAsia="zh-CN" w:bidi="ar"/>
        </w:rPr>
        <w:br w:type="textWrapping"/>
      </w:r>
      <w:r>
        <w:rPr>
          <w:rFonts w:hint="default" w:ascii="Times New Roman" w:hAnsi="Times New Roman" w:eastAsia="宋体" w:cs="Times New Roman"/>
          <w:kern w:val="0"/>
          <w:sz w:val="28"/>
          <w:szCs w:val="28"/>
          <w:lang w:val="en-US" w:eastAsia="zh-CN" w:bidi="ar"/>
        </w:rPr>
        <w:t>2. Comparative Analysis: Results from the quantitative statistical analysis will be compared to those from the qualitative theme analysis. To provide a more complete picture of the research findings, common themes or patterns will be identified across both sets of data and explored in relation to one another.</w:t>
      </w:r>
    </w:p>
    <w:p>
      <w:pPr>
        <w:pStyle w:val="7"/>
        <w:keepNext w:val="0"/>
        <w:keepLines w:val="0"/>
        <w:pageBreakBefore w:val="0"/>
        <w:numPr>
          <w:numId w:val="0"/>
        </w:numPr>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cs="Times New Roman"/>
          <w:bCs/>
          <w:sz w:val="28"/>
          <w:szCs w:val="28"/>
        </w:rPr>
      </w:pPr>
    </w:p>
    <w:p>
      <w:pPr>
        <w:keepNext w:val="0"/>
        <w:keepLines w:val="0"/>
        <w:pageBreakBefore w:val="0"/>
        <w:widowControl/>
        <w:suppressLineNumbers w:val="0"/>
        <w:kinsoku/>
        <w:wordWrap/>
        <w:overflowPunct/>
        <w:topLinePunct w:val="0"/>
        <w:autoSpaceDE/>
        <w:autoSpaceDN/>
        <w:bidi w:val="0"/>
        <w:adjustRightInd/>
        <w:snapToGrid/>
        <w:spacing w:before="157" w:beforeLines="50" w:after="157" w:afterLines="50"/>
        <w:ind w:left="105" w:leftChars="50" w:right="105" w:rightChars="50"/>
        <w:jc w:val="both"/>
        <w:textAlignment w:val="auto"/>
        <w:rPr>
          <w:rFonts w:hint="default" w:ascii="Times New Roman" w:hAnsi="Times New Roman" w:cs="Times New Roman"/>
          <w:sz w:val="28"/>
          <w:szCs w:val="28"/>
        </w:rPr>
      </w:pPr>
      <w:r>
        <w:rPr>
          <w:rFonts w:hint="eastAsia" w:ascii="Times New Roman" w:hAnsi="Times New Roman" w:eastAsia="宋体" w:cs="Times New Roman"/>
          <w:kern w:val="0"/>
          <w:sz w:val="28"/>
          <w:szCs w:val="28"/>
          <w:lang w:val="en-US" w:eastAsia="zh-CN" w:bidi="ar"/>
        </w:rPr>
        <w:t>All in all</w:t>
      </w:r>
      <w:r>
        <w:rPr>
          <w:rFonts w:hint="default" w:ascii="Times New Roman" w:hAnsi="Times New Roman" w:eastAsia="宋体" w:cs="Times New Roman"/>
          <w:kern w:val="0"/>
          <w:sz w:val="28"/>
          <w:szCs w:val="28"/>
          <w:lang w:val="en-US" w:eastAsia="zh-CN" w:bidi="ar"/>
        </w:rPr>
        <w:t>, using a mixed-methods approach, this study seeks to get a thorough knowledge of the impact of WeChat language learning activities on students' English learning results.</w:t>
      </w:r>
    </w:p>
    <w:p>
      <w:pPr>
        <w:pStyle w:val="7"/>
        <w:keepNext w:val="0"/>
        <w:keepLines w:val="0"/>
        <w:pageBreakBefore w:val="0"/>
        <w:numPr>
          <w:ilvl w:val="0"/>
          <w:numId w:val="0"/>
        </w:numPr>
        <w:kinsoku/>
        <w:wordWrap/>
        <w:overflowPunct/>
        <w:topLinePunct w:val="0"/>
        <w:autoSpaceDE/>
        <w:autoSpaceDN/>
        <w:bidi w:val="0"/>
        <w:adjustRightInd/>
        <w:snapToGrid/>
        <w:spacing w:before="157" w:beforeLines="50" w:after="157" w:afterLines="50"/>
        <w:ind w:right="105" w:rightChars="50"/>
        <w:jc w:val="both"/>
        <w:textAlignment w:val="auto"/>
        <w:rPr>
          <w:rFonts w:hint="default" w:ascii="Times New Roman" w:hAnsi="Times New Roman" w:cs="Times New Roman"/>
          <w:b/>
          <w:bCs w:val="0"/>
          <w:sz w:val="28"/>
          <w:szCs w:val="28"/>
          <w:lang w:val="en-US" w:eastAsia="zh-CN"/>
        </w:rPr>
      </w:pPr>
    </w:p>
    <w:p>
      <w:pPr>
        <w:pStyle w:val="7"/>
        <w:keepNext w:val="0"/>
        <w:keepLines w:val="0"/>
        <w:pageBreakBefore w:val="0"/>
        <w:numPr>
          <w:ilvl w:val="0"/>
          <w:numId w:val="0"/>
        </w:numPr>
        <w:kinsoku/>
        <w:wordWrap/>
        <w:overflowPunct/>
        <w:topLinePunct w:val="0"/>
        <w:autoSpaceDE/>
        <w:autoSpaceDN/>
        <w:bidi w:val="0"/>
        <w:adjustRightInd/>
        <w:snapToGrid/>
        <w:spacing w:before="157" w:beforeLines="50" w:after="157" w:afterLines="50"/>
        <w:ind w:right="105" w:rightChars="50"/>
        <w:jc w:val="both"/>
        <w:textAlignment w:val="auto"/>
        <w:rPr>
          <w:rFonts w:hint="default" w:ascii="Times New Roman" w:hAnsi="Times New Roman" w:cs="Times New Roman" w:eastAsiaTheme="minorEastAsia"/>
          <w:b/>
          <w:bCs w:val="0"/>
          <w:sz w:val="28"/>
          <w:szCs w:val="28"/>
          <w:lang w:val="en-US" w:eastAsia="zh-CN"/>
        </w:rPr>
      </w:pPr>
      <w:r>
        <w:rPr>
          <w:rFonts w:hint="default" w:ascii="Times New Roman" w:hAnsi="Times New Roman" w:cs="Times New Roman"/>
          <w:b/>
          <w:bCs w:val="0"/>
          <w:sz w:val="28"/>
          <w:szCs w:val="28"/>
          <w:lang w:val="en-US" w:eastAsia="zh-CN"/>
        </w:rPr>
        <w:t>7.</w:t>
      </w:r>
      <w:r>
        <w:rPr>
          <w:rFonts w:hint="default" w:ascii="Times New Roman" w:hAnsi="Times New Roman" w:cs="Times New Roman"/>
          <w:b/>
          <w:bCs w:val="0"/>
          <w:sz w:val="28"/>
          <w:szCs w:val="28"/>
        </w:rPr>
        <w:t>The ethical issues</w:t>
      </w:r>
      <w:r>
        <w:rPr>
          <w:rFonts w:hint="eastAsia" w:ascii="Times New Roman" w:hAnsi="Times New Roman" w:cs="Times New Roman"/>
          <w:b/>
          <w:bCs w:val="0"/>
          <w:sz w:val="28"/>
          <w:szCs w:val="28"/>
          <w:lang w:val="en-US" w:eastAsia="zh-CN"/>
        </w:rPr>
        <w:t xml:space="preserve"> considered in the project</w:t>
      </w:r>
    </w:p>
    <w:p>
      <w:pPr>
        <w:keepNext w:val="0"/>
        <w:keepLines w:val="0"/>
        <w:pageBreakBefore w:val="0"/>
        <w:widowControl/>
        <w:suppressLineNumbers w:val="0"/>
        <w:kinsoku/>
        <w:wordWrap/>
        <w:overflowPunct/>
        <w:topLinePunct w:val="0"/>
        <w:autoSpaceDE/>
        <w:autoSpaceDN/>
        <w:bidi w:val="0"/>
        <w:adjustRightInd/>
        <w:snapToGrid/>
        <w:spacing w:before="157" w:beforeLines="50" w:after="157" w:afterLines="50"/>
        <w:ind w:right="105" w:rightChars="50"/>
        <w:jc w:val="both"/>
        <w:textAlignment w:val="auto"/>
        <w:rPr>
          <w:rFonts w:hint="default" w:ascii="Times New Roman" w:hAnsi="Times New Roman" w:cs="Times New Roman"/>
          <w:bCs/>
          <w:sz w:val="28"/>
          <w:szCs w:val="28"/>
        </w:rPr>
      </w:pPr>
      <w:r>
        <w:rPr>
          <w:rFonts w:hint="default" w:ascii="Times New Roman" w:hAnsi="Times New Roman" w:eastAsia="宋体" w:cs="Times New Roman"/>
          <w:kern w:val="0"/>
          <w:sz w:val="28"/>
          <w:szCs w:val="28"/>
          <w:lang w:val="en-US" w:eastAsia="zh-CN" w:bidi="ar"/>
        </w:rPr>
        <w:t xml:space="preserve">Several ethical factors must be taken into account when conducting this investigation. First and foremost, all participants, including students and teachers, must provide informed consent. Before providing consent, they should be thoroughly informed about the research objectives, data collection procedures, and any consequences of their participation. Second, data privacy is really important. Measures must be taken to protect the privacy and confidentiality of participants' personal information and Wechat messages. This includes gaining consent before collecting, storing, and analyzing data, as well as guaranteeing data </w:t>
      </w:r>
      <w:r>
        <w:rPr>
          <w:rFonts w:hint="eastAsia" w:ascii="Times New Roman" w:hAnsi="Times New Roman" w:eastAsia="宋体" w:cs="Times New Roman"/>
          <w:kern w:val="0"/>
          <w:sz w:val="28"/>
          <w:szCs w:val="28"/>
          <w:lang w:val="en-US" w:eastAsia="zh-CN" w:bidi="ar"/>
        </w:rPr>
        <w:t>validity</w:t>
      </w:r>
      <w:r>
        <w:rPr>
          <w:rFonts w:hint="default" w:ascii="Times New Roman" w:hAnsi="Times New Roman" w:eastAsia="宋体" w:cs="Times New Roman"/>
          <w:kern w:val="0"/>
          <w:sz w:val="28"/>
          <w:szCs w:val="28"/>
          <w:lang w:val="en-US" w:eastAsia="zh-CN" w:bidi="ar"/>
        </w:rPr>
        <w:t xml:space="preserve"> and security. Furthermore, participants' rights must be honored, including the opportunity to resign from the study at any moment without penalty and control over their contributions to the Wechat group discussion.This provides the option of excluding specific messages from analysis. Furthermore, data security measures such as encryption during transmission and storage should be employed to protect Wechat data, preventing unauthorized access and ensuring data integrity. Finally, researcher bias must be reduced by remaining objective in data processing, accurately portraying participant interactions, and identifying any personal biases that may influence the interpretation of results. Addressing these ethical considerations can ensure the integrity of the research process and the well-being of participants, as well as ensuring that the investigation into language learning via Wechat is conducted in an ethical and responsible manner. </w:t>
      </w:r>
    </w:p>
    <w:p>
      <w:pPr>
        <w:pStyle w:val="7"/>
        <w:keepNext w:val="0"/>
        <w:keepLines w:val="0"/>
        <w:pageBreakBefore w:val="0"/>
        <w:widowControl w:val="0"/>
        <w:numPr>
          <w:numId w:val="0"/>
        </w:numPr>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cs="Times New Roman"/>
          <w:b/>
          <w:bCs w:val="0"/>
          <w:sz w:val="28"/>
          <w:szCs w:val="28"/>
          <w:lang w:val="en-US" w:eastAsia="zh-CN"/>
        </w:rPr>
      </w:pPr>
    </w:p>
    <w:p>
      <w:pPr>
        <w:pStyle w:val="7"/>
        <w:keepNext w:val="0"/>
        <w:keepLines w:val="0"/>
        <w:pageBreakBefore w:val="0"/>
        <w:widowControl w:val="0"/>
        <w:numPr>
          <w:numId w:val="0"/>
        </w:numPr>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cs="Times New Roman" w:eastAsiaTheme="minorEastAsia"/>
          <w:b/>
          <w:bCs w:val="0"/>
          <w:sz w:val="28"/>
          <w:szCs w:val="28"/>
          <w:lang w:val="en-US" w:eastAsia="zh-CN"/>
        </w:rPr>
      </w:pPr>
      <w:r>
        <w:rPr>
          <w:rFonts w:hint="default" w:ascii="Times New Roman" w:hAnsi="Times New Roman" w:cs="Times New Roman"/>
          <w:b/>
          <w:bCs w:val="0"/>
          <w:sz w:val="28"/>
          <w:szCs w:val="28"/>
          <w:lang w:val="en-US" w:eastAsia="zh-CN"/>
        </w:rPr>
        <w:t>8.</w:t>
      </w:r>
      <w:r>
        <w:rPr>
          <w:rFonts w:hint="default" w:ascii="Times New Roman" w:hAnsi="Times New Roman" w:cs="Times New Roman"/>
          <w:b/>
          <w:bCs w:val="0"/>
          <w:sz w:val="28"/>
          <w:szCs w:val="28"/>
        </w:rPr>
        <w:t>Timetable</w:t>
      </w:r>
      <w:r>
        <w:rPr>
          <w:rFonts w:hint="eastAsia" w:ascii="Times New Roman" w:hAnsi="Times New Roman" w:cs="Times New Roman"/>
          <w:b/>
          <w:bCs w:val="0"/>
          <w:sz w:val="28"/>
          <w:szCs w:val="28"/>
          <w:lang w:val="en-US" w:eastAsia="zh-CN"/>
        </w:rPr>
        <w:t xml:space="preserve"> of the project</w:t>
      </w: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88"/>
        <w:gridCol w:w="5160"/>
        <w:gridCol w:w="137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88" w:type="dxa"/>
          </w:tcPr>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r>
              <w:rPr>
                <w:rFonts w:hint="default" w:ascii="Times New Roman" w:hAnsi="Times New Roman" w:eastAsia="宋体" w:cs="Times New Roman"/>
                <w:kern w:val="0"/>
                <w:sz w:val="28"/>
                <w:szCs w:val="28"/>
                <w:vertAlign w:val="baseline"/>
                <w:lang w:val="en-US" w:eastAsia="zh-CN" w:bidi="ar"/>
              </w:rPr>
              <w:t>Phase</w:t>
            </w:r>
          </w:p>
        </w:tc>
        <w:tc>
          <w:tcPr>
            <w:tcW w:w="5160" w:type="dxa"/>
          </w:tcPr>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r>
              <w:rPr>
                <w:rFonts w:hint="default" w:ascii="Times New Roman" w:hAnsi="Times New Roman" w:eastAsia="宋体" w:cs="Times New Roman"/>
                <w:kern w:val="0"/>
                <w:sz w:val="28"/>
                <w:szCs w:val="28"/>
                <w:vertAlign w:val="baseline"/>
                <w:lang w:val="en-US" w:eastAsia="zh-CN" w:bidi="ar"/>
              </w:rPr>
              <w:t>Task</w:t>
            </w:r>
          </w:p>
        </w:tc>
        <w:tc>
          <w:tcPr>
            <w:tcW w:w="1374" w:type="dxa"/>
          </w:tcPr>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r>
              <w:rPr>
                <w:rFonts w:hint="default" w:ascii="Times New Roman" w:hAnsi="Times New Roman" w:eastAsia="宋体" w:cs="Times New Roman"/>
                <w:kern w:val="0"/>
                <w:sz w:val="28"/>
                <w:szCs w:val="28"/>
                <w:vertAlign w:val="baseline"/>
                <w:lang w:val="en-US" w:eastAsia="zh-CN" w:bidi="ar"/>
              </w:rPr>
              <w:t>Duration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88" w:type="dxa"/>
          </w:tcPr>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r>
              <w:rPr>
                <w:rFonts w:hint="default" w:ascii="Times New Roman" w:hAnsi="Times New Roman" w:eastAsia="宋体" w:cs="Times New Roman"/>
                <w:kern w:val="0"/>
                <w:sz w:val="28"/>
                <w:szCs w:val="28"/>
                <w:vertAlign w:val="baseline"/>
                <w:lang w:val="en-US" w:eastAsia="zh-CN" w:bidi="ar"/>
              </w:rPr>
              <w:t>Preparation</w:t>
            </w:r>
            <w:r>
              <w:rPr>
                <w:rFonts w:hint="eastAsia" w:ascii="Times New Roman" w:hAnsi="Times New Roman" w:eastAsia="宋体" w:cs="Times New Roman"/>
                <w:kern w:val="0"/>
                <w:sz w:val="28"/>
                <w:szCs w:val="28"/>
                <w:vertAlign w:val="baseline"/>
                <w:lang w:val="en-US" w:eastAsia="zh-CN" w:bidi="ar"/>
              </w:rPr>
              <w:t xml:space="preserve"> phase</w:t>
            </w:r>
          </w:p>
        </w:tc>
        <w:tc>
          <w:tcPr>
            <w:tcW w:w="5160" w:type="dxa"/>
          </w:tcPr>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r>
              <w:rPr>
                <w:rFonts w:hint="default" w:ascii="Times New Roman" w:hAnsi="Times New Roman" w:eastAsia="宋体" w:cs="Times New Roman"/>
                <w:kern w:val="0"/>
                <w:sz w:val="28"/>
                <w:szCs w:val="28"/>
                <w:vertAlign w:val="baseline"/>
                <w:lang w:val="en-US" w:eastAsia="zh-CN" w:bidi="ar"/>
              </w:rPr>
              <w:t>- Define research objectives, questions, and methodology.</w:t>
            </w:r>
          </w:p>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r>
              <w:rPr>
                <w:rFonts w:hint="default" w:ascii="Times New Roman" w:hAnsi="Times New Roman" w:eastAsia="宋体" w:cs="Times New Roman"/>
                <w:kern w:val="0"/>
                <w:sz w:val="28"/>
                <w:szCs w:val="28"/>
                <w:vertAlign w:val="baseline"/>
                <w:lang w:val="en-US" w:eastAsia="zh-CN" w:bidi="ar"/>
              </w:rPr>
              <w:t>- Obtain ethical approval for the study.</w:t>
            </w:r>
          </w:p>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r>
              <w:rPr>
                <w:rFonts w:hint="default" w:ascii="Times New Roman" w:hAnsi="Times New Roman" w:eastAsia="宋体" w:cs="Times New Roman"/>
                <w:kern w:val="0"/>
                <w:sz w:val="28"/>
                <w:szCs w:val="28"/>
                <w:vertAlign w:val="baseline"/>
                <w:lang w:val="en-US" w:eastAsia="zh-CN" w:bidi="ar"/>
              </w:rPr>
              <w:t>- Recruit participants and obtain informed consent.</w:t>
            </w:r>
          </w:p>
        </w:tc>
        <w:tc>
          <w:tcPr>
            <w:tcW w:w="1374" w:type="dxa"/>
          </w:tcPr>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r>
              <w:rPr>
                <w:rFonts w:hint="default" w:ascii="Times New Roman" w:hAnsi="Times New Roman" w:eastAsia="宋体" w:cs="Times New Roman"/>
                <w:kern w:val="0"/>
                <w:sz w:val="28"/>
                <w:szCs w:val="28"/>
                <w:vertAlign w:val="baseline"/>
                <w:lang w:val="en-US" w:eastAsia="zh-CN" w:bidi="ar"/>
              </w:rPr>
              <w:t>Week 1-2</w:t>
            </w:r>
          </w:p>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88" w:type="dxa"/>
          </w:tcPr>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r>
              <w:rPr>
                <w:rFonts w:hint="default" w:ascii="Times New Roman" w:hAnsi="Times New Roman" w:eastAsia="宋体" w:cs="Times New Roman"/>
                <w:kern w:val="0"/>
                <w:sz w:val="28"/>
                <w:szCs w:val="28"/>
                <w:vertAlign w:val="baseline"/>
                <w:lang w:val="en-US" w:eastAsia="zh-CN" w:bidi="ar"/>
              </w:rPr>
              <w:t>Data Collection</w:t>
            </w:r>
            <w:r>
              <w:rPr>
                <w:rFonts w:hint="eastAsia" w:ascii="Times New Roman" w:hAnsi="Times New Roman" w:eastAsia="宋体" w:cs="Times New Roman"/>
                <w:kern w:val="0"/>
                <w:sz w:val="28"/>
                <w:szCs w:val="28"/>
                <w:vertAlign w:val="baseline"/>
                <w:lang w:val="en-US" w:eastAsia="zh-CN" w:bidi="ar"/>
              </w:rPr>
              <w:t xml:space="preserve"> phase</w:t>
            </w:r>
          </w:p>
        </w:tc>
        <w:tc>
          <w:tcPr>
            <w:tcW w:w="5160" w:type="dxa"/>
          </w:tcPr>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r>
              <w:rPr>
                <w:rFonts w:hint="default" w:ascii="Times New Roman" w:hAnsi="Times New Roman" w:eastAsia="宋体" w:cs="Times New Roman"/>
                <w:kern w:val="0"/>
                <w:sz w:val="28"/>
                <w:szCs w:val="28"/>
                <w:vertAlign w:val="baseline"/>
                <w:lang w:val="en-US" w:eastAsia="zh-CN" w:bidi="ar"/>
              </w:rPr>
              <w:t>- Set up the Wechat group for the EFL course participants.</w:t>
            </w:r>
          </w:p>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r>
              <w:rPr>
                <w:rFonts w:hint="default" w:ascii="Times New Roman" w:hAnsi="Times New Roman" w:eastAsia="宋体" w:cs="Times New Roman"/>
                <w:kern w:val="0"/>
                <w:sz w:val="28"/>
                <w:szCs w:val="28"/>
                <w:vertAlign w:val="baseline"/>
                <w:lang w:val="en-US" w:eastAsia="zh-CN" w:bidi="ar"/>
              </w:rPr>
              <w:t>- English proficiency test</w:t>
            </w:r>
          </w:p>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r>
              <w:rPr>
                <w:rFonts w:hint="default" w:ascii="Times New Roman" w:hAnsi="Times New Roman" w:eastAsia="宋体" w:cs="Times New Roman"/>
                <w:kern w:val="0"/>
                <w:sz w:val="28"/>
                <w:szCs w:val="28"/>
                <w:vertAlign w:val="baseline"/>
                <w:lang w:val="en-US" w:eastAsia="zh-CN" w:bidi="ar"/>
              </w:rPr>
              <w:t xml:space="preserve">-Interview </w:t>
            </w:r>
          </w:p>
        </w:tc>
        <w:tc>
          <w:tcPr>
            <w:tcW w:w="1374" w:type="dxa"/>
          </w:tcPr>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r>
              <w:rPr>
                <w:rFonts w:hint="default" w:ascii="Times New Roman" w:hAnsi="Times New Roman" w:eastAsia="宋体" w:cs="Times New Roman"/>
                <w:kern w:val="0"/>
                <w:sz w:val="28"/>
                <w:szCs w:val="28"/>
                <w:vertAlign w:val="baseline"/>
                <w:lang w:val="en-US" w:eastAsia="zh-CN" w:bidi="ar"/>
              </w:rPr>
              <w:t>Week 3-6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88" w:type="dxa"/>
          </w:tcPr>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r>
              <w:rPr>
                <w:rFonts w:hint="default" w:ascii="Times New Roman" w:hAnsi="Times New Roman" w:eastAsia="宋体" w:cs="Times New Roman"/>
                <w:kern w:val="0"/>
                <w:sz w:val="28"/>
                <w:szCs w:val="28"/>
                <w:vertAlign w:val="baseline"/>
                <w:lang w:val="en-US" w:eastAsia="zh-CN" w:bidi="ar"/>
              </w:rPr>
              <w:t>Data Analysis</w:t>
            </w:r>
            <w:r>
              <w:rPr>
                <w:rFonts w:hint="eastAsia" w:ascii="Times New Roman" w:hAnsi="Times New Roman" w:eastAsia="宋体" w:cs="Times New Roman"/>
                <w:kern w:val="0"/>
                <w:sz w:val="28"/>
                <w:szCs w:val="28"/>
                <w:vertAlign w:val="baseline"/>
                <w:lang w:val="en-US" w:eastAsia="zh-CN" w:bidi="ar"/>
              </w:rPr>
              <w:t xml:space="preserve"> phase</w:t>
            </w:r>
          </w:p>
        </w:tc>
        <w:tc>
          <w:tcPr>
            <w:tcW w:w="5160" w:type="dxa"/>
          </w:tcPr>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r>
              <w:rPr>
                <w:rFonts w:hint="default" w:ascii="Times New Roman" w:hAnsi="Times New Roman" w:eastAsia="宋体" w:cs="Times New Roman"/>
                <w:kern w:val="0"/>
                <w:sz w:val="28"/>
                <w:szCs w:val="28"/>
                <w:vertAlign w:val="baseline"/>
                <w:lang w:val="en-US" w:eastAsia="zh-CN" w:bidi="ar"/>
              </w:rPr>
              <w:t>- Analyze English proficiency test scores</w:t>
            </w:r>
          </w:p>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r>
              <w:rPr>
                <w:rFonts w:hint="default" w:ascii="Times New Roman" w:hAnsi="Times New Roman" w:eastAsia="宋体" w:cs="Times New Roman"/>
                <w:kern w:val="0"/>
                <w:sz w:val="28"/>
                <w:szCs w:val="28"/>
                <w:vertAlign w:val="baseline"/>
                <w:lang w:val="en-US" w:eastAsia="zh-CN" w:bidi="ar"/>
              </w:rPr>
              <w:t>- Analyze interview information</w:t>
            </w:r>
          </w:p>
        </w:tc>
        <w:tc>
          <w:tcPr>
            <w:tcW w:w="1374" w:type="dxa"/>
          </w:tcPr>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r>
              <w:rPr>
                <w:rFonts w:hint="default" w:ascii="Times New Roman" w:hAnsi="Times New Roman" w:eastAsia="宋体" w:cs="Times New Roman"/>
                <w:kern w:val="0"/>
                <w:sz w:val="28"/>
                <w:szCs w:val="28"/>
                <w:vertAlign w:val="baseline"/>
                <w:lang w:val="en-US" w:eastAsia="zh-CN" w:bidi="ar"/>
              </w:rPr>
              <w:t>Week 7-8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88" w:type="dxa"/>
          </w:tcPr>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r>
              <w:rPr>
                <w:rFonts w:hint="default" w:ascii="Times New Roman" w:hAnsi="Times New Roman" w:eastAsia="宋体" w:cs="Times New Roman"/>
                <w:kern w:val="0"/>
                <w:sz w:val="28"/>
                <w:szCs w:val="28"/>
                <w:vertAlign w:val="baseline"/>
                <w:lang w:val="en-US" w:eastAsia="zh-CN" w:bidi="ar"/>
              </w:rPr>
              <w:t>Reporting Phase</w:t>
            </w:r>
          </w:p>
        </w:tc>
        <w:tc>
          <w:tcPr>
            <w:tcW w:w="5160" w:type="dxa"/>
          </w:tcPr>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r>
              <w:rPr>
                <w:rFonts w:hint="default" w:ascii="Times New Roman" w:hAnsi="Times New Roman" w:eastAsia="宋体" w:cs="Times New Roman"/>
                <w:kern w:val="0"/>
                <w:sz w:val="28"/>
                <w:szCs w:val="28"/>
                <w:vertAlign w:val="baseline"/>
                <w:lang w:val="en-US" w:eastAsia="zh-CN" w:bidi="ar"/>
              </w:rPr>
              <w:t>- Compile research findings and insights from the analysis.</w:t>
            </w:r>
          </w:p>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r>
              <w:rPr>
                <w:rFonts w:hint="default" w:ascii="Times New Roman" w:hAnsi="Times New Roman" w:eastAsia="宋体" w:cs="Times New Roman"/>
                <w:kern w:val="0"/>
                <w:sz w:val="28"/>
                <w:szCs w:val="28"/>
                <w:vertAlign w:val="baseline"/>
                <w:lang w:val="en-US" w:eastAsia="zh-CN" w:bidi="ar"/>
              </w:rPr>
              <w:t>- Prepare a research report or paper outlining the study methodology, results, and conclusions.</w:t>
            </w:r>
          </w:p>
        </w:tc>
        <w:tc>
          <w:tcPr>
            <w:tcW w:w="1374" w:type="dxa"/>
          </w:tcPr>
          <w:p>
            <w:pPr>
              <w:keepNext w:val="0"/>
              <w:keepLines w:val="0"/>
              <w:pageBreakBefore w:val="0"/>
              <w:widowControl w:val="0"/>
              <w:kinsoku/>
              <w:wordWrap/>
              <w:overflowPunct/>
              <w:topLinePunct w:val="0"/>
              <w:autoSpaceDE/>
              <w:autoSpaceDN/>
              <w:bidi w:val="0"/>
              <w:adjustRightInd/>
              <w:snapToGrid/>
              <w:spacing w:after="313" w:afterLines="100"/>
              <w:ind w:left="0" w:leftChars="0" w:right="0" w:rightChars="0"/>
              <w:jc w:val="both"/>
              <w:textAlignment w:val="auto"/>
              <w:rPr>
                <w:rFonts w:hint="default" w:ascii="Times New Roman" w:hAnsi="Times New Roman" w:eastAsia="宋体" w:cs="Times New Roman"/>
                <w:kern w:val="0"/>
                <w:sz w:val="28"/>
                <w:szCs w:val="28"/>
                <w:vertAlign w:val="baseline"/>
                <w:lang w:val="en-US" w:eastAsia="zh-CN" w:bidi="ar"/>
              </w:rPr>
            </w:pPr>
            <w:r>
              <w:rPr>
                <w:rFonts w:hint="default" w:ascii="Times New Roman" w:hAnsi="Times New Roman" w:eastAsia="宋体" w:cs="Times New Roman"/>
                <w:kern w:val="0"/>
                <w:sz w:val="28"/>
                <w:szCs w:val="28"/>
                <w:vertAlign w:val="baseline"/>
                <w:lang w:val="en-US" w:eastAsia="zh-CN" w:bidi="ar"/>
              </w:rPr>
              <w:t>Week 9-10</w:t>
            </w:r>
          </w:p>
        </w:tc>
      </w:tr>
    </w:tbl>
    <w:p>
      <w:pPr>
        <w:keepNext w:val="0"/>
        <w:keepLines w:val="0"/>
        <w:pageBreakBefore w:val="0"/>
        <w:widowControl w:val="0"/>
        <w:kinsoku/>
        <w:wordWrap/>
        <w:overflowPunct/>
        <w:topLinePunct w:val="0"/>
        <w:autoSpaceDE/>
        <w:autoSpaceDN/>
        <w:bidi w:val="0"/>
        <w:adjustRightInd/>
        <w:snapToGrid/>
        <w:spacing w:before="157" w:beforeLines="50" w:after="157" w:afterLines="50"/>
        <w:ind w:left="105" w:leftChars="50" w:right="105" w:rightChars="50"/>
        <w:textAlignment w:val="auto"/>
        <w:rPr>
          <w:rFonts w:hint="eastAsia"/>
        </w:rPr>
      </w:pPr>
    </w:p>
    <w:p>
      <w:pPr>
        <w:keepNext w:val="0"/>
        <w:keepLines w:val="0"/>
        <w:pageBreakBefore w:val="0"/>
        <w:widowControl w:val="0"/>
        <w:kinsoku/>
        <w:wordWrap/>
        <w:overflowPunct/>
        <w:topLinePunct w:val="0"/>
        <w:autoSpaceDE/>
        <w:autoSpaceDN/>
        <w:bidi w:val="0"/>
        <w:adjustRightInd/>
        <w:snapToGrid/>
        <w:spacing w:before="157" w:beforeLines="50" w:after="157" w:afterLines="50"/>
        <w:ind w:left="105" w:leftChars="50" w:right="105" w:rightChars="50"/>
        <w:textAlignment w:val="auto"/>
        <w:rPr>
          <w:rFonts w:hint="eastAsia"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Word count: 21</w:t>
      </w:r>
      <w:r>
        <w:rPr>
          <w:rFonts w:hint="eastAsia" w:ascii="Times New Roman" w:hAnsi="Times New Roman" w:cs="Times New Roman"/>
          <w:b/>
          <w:bCs/>
          <w:sz w:val="28"/>
          <w:szCs w:val="28"/>
          <w:lang w:val="en-US" w:eastAsia="zh-CN"/>
        </w:rPr>
        <w:t>50</w:t>
      </w:r>
    </w:p>
    <w:p>
      <w:pPr>
        <w:keepNext w:val="0"/>
        <w:keepLines w:val="0"/>
        <w:pageBreakBefore w:val="0"/>
        <w:widowControl w:val="0"/>
        <w:kinsoku/>
        <w:wordWrap/>
        <w:overflowPunct/>
        <w:topLinePunct w:val="0"/>
        <w:autoSpaceDE/>
        <w:autoSpaceDN/>
        <w:bidi w:val="0"/>
        <w:adjustRightInd/>
        <w:snapToGrid/>
        <w:spacing w:before="157" w:beforeLines="50" w:after="157" w:afterLines="50"/>
        <w:ind w:left="105" w:leftChars="50" w:right="105" w:rightChars="50"/>
        <w:textAlignment w:val="auto"/>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ind w:left="105" w:leftChars="50" w:right="105" w:rightChars="50"/>
        <w:textAlignment w:val="auto"/>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ind w:left="105" w:leftChars="50" w:right="105" w:rightChars="50"/>
        <w:textAlignment w:val="auto"/>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ind w:left="105" w:leftChars="50" w:right="105" w:rightChars="50"/>
        <w:textAlignment w:val="auto"/>
        <w:rPr>
          <w:rFonts w:hint="eastAsia" w:ascii="Times New Roman" w:hAnsi="Times New Roman" w:cs="Times New Roman"/>
          <w:b/>
          <w:bCs/>
          <w:sz w:val="28"/>
          <w:szCs w:val="28"/>
          <w:lang w:val="en-US" w:eastAsia="zh-CN"/>
        </w:rPr>
      </w:pPr>
    </w:p>
    <w:p>
      <w:pPr>
        <w:pStyle w:val="2"/>
        <w:bidi w:val="0"/>
        <w:rPr>
          <w:rFonts w:hint="default" w:ascii="Times New Roman" w:hAnsi="Times New Roman" w:cs="Times New Roman"/>
          <w:lang w:val="en-US" w:eastAsia="zh-CN"/>
        </w:rPr>
      </w:pPr>
      <w:r>
        <w:rPr>
          <w:rFonts w:hint="default" w:ascii="Times New Roman" w:hAnsi="Times New Roman" w:cs="Times New Roman"/>
          <w:lang w:val="en-US" w:eastAsia="zh-CN"/>
        </w:rPr>
        <w:t>References</w:t>
      </w:r>
    </w:p>
    <w:p>
      <w:pPr>
        <w:keepNext w:val="0"/>
        <w:keepLines w:val="0"/>
        <w:widowControl/>
        <w:suppressLineNumbers w:val="0"/>
        <w:jc w:val="both"/>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DWK Chu, KK Ng, IKW Lai and PWM Lam</w:t>
      </w:r>
      <w:r>
        <w:rPr>
          <w:rFonts w:hint="eastAsia" w:ascii="Times New Roman" w:hAnsi="Times New Roman" w:eastAsia="宋体" w:cs="Times New Roman"/>
          <w:kern w:val="0"/>
          <w:sz w:val="28"/>
          <w:szCs w:val="28"/>
          <w:lang w:val="en-US" w:eastAsia="zh-CN" w:bidi="ar"/>
        </w:rPr>
        <w:t xml:space="preserve">, (2015) </w:t>
      </w:r>
      <w:r>
        <w:rPr>
          <w:rFonts w:hint="default" w:ascii="Times New Roman" w:hAnsi="Times New Roman" w:eastAsia="宋体" w:cs="Times New Roman"/>
          <w:kern w:val="0"/>
          <w:sz w:val="28"/>
          <w:szCs w:val="28"/>
          <w:lang w:val="en-US" w:eastAsia="zh-CN" w:bidi="ar"/>
        </w:rPr>
        <w:t xml:space="preserve">Analysis of student behaviors in using WeChat/ WhatsApp for language learning at diploma level in Hong Kong, </w:t>
      </w:r>
      <w:r>
        <w:rPr>
          <w:rFonts w:hint="default" w:ascii="Times New Roman" w:hAnsi="Times New Roman" w:eastAsia="宋体" w:cs="Times New Roman"/>
          <w:i/>
          <w:iCs/>
          <w:kern w:val="0"/>
          <w:sz w:val="28"/>
          <w:szCs w:val="28"/>
          <w:lang w:val="en-US" w:eastAsia="zh-CN" w:bidi="ar"/>
        </w:rPr>
        <w:t>International Symposium on Educational Technology</w:t>
      </w:r>
      <w:r>
        <w:rPr>
          <w:rFonts w:hint="eastAsia" w:ascii="Times New Roman" w:hAnsi="Times New Roman" w:eastAsia="宋体" w:cs="Times New Roman"/>
          <w:i/>
          <w:iCs/>
          <w:kern w:val="0"/>
          <w:sz w:val="28"/>
          <w:szCs w:val="28"/>
          <w:lang w:val="en-US" w:eastAsia="zh-CN" w:bidi="ar"/>
        </w:rPr>
        <w:t xml:space="preserve">, </w:t>
      </w:r>
      <w:r>
        <w:rPr>
          <w:rFonts w:hint="default" w:ascii="Times New Roman" w:hAnsi="Times New Roman" w:eastAsia="宋体" w:cs="Times New Roman"/>
          <w:kern w:val="0"/>
          <w:sz w:val="28"/>
          <w:szCs w:val="28"/>
          <w:lang w:val="en-US" w:eastAsia="zh-CN" w:bidi="ar"/>
        </w:rPr>
        <w:t>20</w:t>
      </w:r>
      <w:r>
        <w:rPr>
          <w:rFonts w:hint="eastAsia" w:ascii="Times New Roman" w:hAnsi="Times New Roman" w:eastAsia="宋体" w:cs="Times New Roman"/>
          <w:kern w:val="0"/>
          <w:sz w:val="28"/>
          <w:szCs w:val="28"/>
          <w:lang w:val="en-US" w:eastAsia="zh-CN" w:bidi="ar"/>
        </w:rPr>
        <w:t>(</w:t>
      </w:r>
      <w:r>
        <w:rPr>
          <w:rFonts w:hint="default" w:ascii="Times New Roman" w:hAnsi="Times New Roman" w:eastAsia="宋体" w:cs="Times New Roman"/>
          <w:kern w:val="0"/>
          <w:sz w:val="28"/>
          <w:szCs w:val="28"/>
          <w:lang w:val="en-US" w:eastAsia="zh-CN" w:bidi="ar"/>
        </w:rPr>
        <w:t>5</w:t>
      </w:r>
      <w:r>
        <w:rPr>
          <w:rFonts w:hint="eastAsia" w:ascii="Times New Roman" w:hAnsi="Times New Roman" w:eastAsia="宋体" w:cs="Times New Roman"/>
          <w:kern w:val="0"/>
          <w:sz w:val="28"/>
          <w:szCs w:val="28"/>
          <w:lang w:val="en-US" w:eastAsia="zh-CN" w:bidi="ar"/>
        </w:rPr>
        <w:t>)</w:t>
      </w:r>
      <w:r>
        <w:rPr>
          <w:rFonts w:hint="default" w:ascii="Times New Roman" w:hAnsi="Times New Roman" w:eastAsia="宋体" w:cs="Times New Roman"/>
          <w:kern w:val="0"/>
          <w:sz w:val="28"/>
          <w:szCs w:val="28"/>
          <w:lang w:val="en-US" w:eastAsia="zh-CN" w:bidi="ar"/>
        </w:rPr>
        <w:t xml:space="preserve">, pp. 104-108. </w:t>
      </w:r>
      <w:r>
        <w:rPr>
          <w:rFonts w:hint="eastAsia" w:ascii="Times New Roman" w:hAnsi="Times New Roman" w:eastAsia="宋体" w:cs="Times New Roman"/>
          <w:kern w:val="0"/>
          <w:sz w:val="28"/>
          <w:szCs w:val="28"/>
          <w:lang w:val="en-US" w:eastAsia="zh-CN" w:bidi="ar"/>
        </w:rPr>
        <w:t>Available at :</w:t>
      </w:r>
      <w:r>
        <w:rPr>
          <w:rFonts w:hint="default" w:ascii="Times New Roman" w:hAnsi="Times New Roman" w:eastAsia="宋体" w:cs="Times New Roman"/>
          <w:kern w:val="0"/>
          <w:sz w:val="28"/>
          <w:szCs w:val="28"/>
          <w:lang w:val="en-US" w:eastAsia="zh-CN" w:bidi="ar"/>
        </w:rPr>
        <w:t xml:space="preserve">https://doi.org/10.1109/ </w:t>
      </w:r>
    </w:p>
    <w:p>
      <w:pPr>
        <w:keepNext w:val="0"/>
        <w:keepLines w:val="0"/>
        <w:widowControl/>
        <w:suppressLineNumbers w:val="0"/>
        <w:jc w:val="both"/>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 xml:space="preserve">iset.2015.29 </w:t>
      </w:r>
    </w:p>
    <w:p>
      <w:pPr>
        <w:keepNext w:val="0"/>
        <w:keepLines w:val="0"/>
        <w:pageBreakBefore w:val="0"/>
        <w:widowControl w:val="0"/>
        <w:kinsoku/>
        <w:wordWrap/>
        <w:overflowPunct/>
        <w:topLinePunct w:val="0"/>
        <w:autoSpaceDE/>
        <w:autoSpaceDN/>
        <w:bidi w:val="0"/>
        <w:adjustRightInd/>
        <w:snapToGrid/>
        <w:spacing w:before="157" w:beforeLines="50" w:after="157" w:afterLines="50"/>
        <w:ind w:right="105" w:rightChars="50"/>
        <w:textAlignment w:val="auto"/>
        <w:rPr>
          <w:rFonts w:hint="default" w:ascii="Times New Roman" w:hAnsi="Times New Roman" w:cs="Times New Roman"/>
          <w:b w:val="0"/>
          <w:bCs w:val="0"/>
          <w:sz w:val="28"/>
          <w:szCs w:val="28"/>
          <w:highlight w:val="none"/>
          <w:lang w:val="en-US" w:eastAsia="zh-CN"/>
        </w:rPr>
      </w:pPr>
      <w:r>
        <w:rPr>
          <w:rFonts w:hint="default" w:ascii="Times New Roman" w:hAnsi="Times New Roman" w:cs="Times New Roman"/>
          <w:b w:val="0"/>
          <w:bCs w:val="0"/>
          <w:sz w:val="28"/>
          <w:szCs w:val="28"/>
          <w:highlight w:val="none"/>
          <w:lang w:val="en-US" w:eastAsia="zh-CN"/>
        </w:rPr>
        <w:t xml:space="preserve">Holmer, T. (2008). Discourse structure analysis of chat communication. Language@ Internet, 5 (10). (urn:nbn:de: 009-7-16339). Available at </w:t>
      </w:r>
      <w:r>
        <w:rPr>
          <w:rFonts w:hint="default" w:ascii="Times New Roman" w:hAnsi="Times New Roman" w:cs="Times New Roman"/>
          <w:b w:val="0"/>
          <w:bCs w:val="0"/>
          <w:sz w:val="28"/>
          <w:szCs w:val="28"/>
          <w:highlight w:val="none"/>
          <w:lang w:val="en-US" w:eastAsia="zh-CN"/>
        </w:rPr>
        <w:fldChar w:fldCharType="begin"/>
      </w:r>
      <w:r>
        <w:rPr>
          <w:rFonts w:hint="default" w:ascii="Times New Roman" w:hAnsi="Times New Roman" w:cs="Times New Roman"/>
          <w:b w:val="0"/>
          <w:bCs w:val="0"/>
          <w:sz w:val="28"/>
          <w:szCs w:val="28"/>
          <w:highlight w:val="none"/>
          <w:lang w:val="en-US" w:eastAsia="zh-CN"/>
        </w:rPr>
        <w:instrText xml:space="preserve"> HYPERLINK "https://www.languageatinternet.org/articles/2008/1633." </w:instrText>
      </w:r>
      <w:r>
        <w:rPr>
          <w:rFonts w:hint="default" w:ascii="Times New Roman" w:hAnsi="Times New Roman" w:cs="Times New Roman"/>
          <w:b w:val="0"/>
          <w:bCs w:val="0"/>
          <w:sz w:val="28"/>
          <w:szCs w:val="28"/>
          <w:highlight w:val="none"/>
          <w:lang w:val="en-US" w:eastAsia="zh-CN"/>
        </w:rPr>
        <w:fldChar w:fldCharType="separate"/>
      </w:r>
      <w:r>
        <w:rPr>
          <w:rStyle w:val="6"/>
          <w:rFonts w:hint="default" w:ascii="Times New Roman" w:hAnsi="Times New Roman" w:cs="Times New Roman"/>
          <w:b w:val="0"/>
          <w:bCs w:val="0"/>
          <w:sz w:val="28"/>
          <w:szCs w:val="28"/>
          <w:highlight w:val="none"/>
          <w:lang w:val="en-US" w:eastAsia="zh-CN"/>
        </w:rPr>
        <w:t>https://www.languageatinternet.org/articles/2008/1633.</w:t>
      </w:r>
      <w:r>
        <w:rPr>
          <w:rFonts w:hint="default" w:ascii="Times New Roman" w:hAnsi="Times New Roman" w:cs="Times New Roman"/>
          <w:b w:val="0"/>
          <w:bCs w:val="0"/>
          <w:sz w:val="28"/>
          <w:szCs w:val="28"/>
          <w:highlight w:val="none"/>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before="157" w:beforeLines="50" w:after="157" w:afterLines="50"/>
        <w:ind w:left="105" w:leftChars="50" w:right="105" w:rightChars="50"/>
        <w:textAlignment w:val="auto"/>
        <w:rPr>
          <w:rFonts w:hint="default" w:ascii="Times New Roman" w:hAnsi="Times New Roman" w:eastAsia="宋体" w:cs="Times New Roman"/>
          <w:kern w:val="0"/>
          <w:sz w:val="28"/>
          <w:szCs w:val="28"/>
          <w:lang w:val="en-US" w:eastAsia="zh-CN" w:bidi="ar"/>
        </w:rPr>
      </w:pPr>
      <w:r>
        <w:rPr>
          <w:rFonts w:hint="default" w:ascii="Times New Roman" w:hAnsi="Times New Roman" w:eastAsia="宋体" w:cs="Times New Roman"/>
          <w:kern w:val="0"/>
          <w:sz w:val="28"/>
          <w:szCs w:val="28"/>
          <w:lang w:val="en-US" w:eastAsia="zh-CN" w:bidi="ar"/>
        </w:rPr>
        <w:t xml:space="preserve">Kukulska-Hulme, A. and Shield, L. (2008) “An overview of mobile assisted language learning: From content delivery to supported collaboration and interaction,” </w:t>
      </w:r>
      <w:r>
        <w:rPr>
          <w:rFonts w:hint="default" w:ascii="Times New Roman" w:hAnsi="Times New Roman" w:eastAsia="宋体" w:cs="Times New Roman"/>
          <w:i/>
          <w:iCs/>
          <w:kern w:val="0"/>
          <w:sz w:val="28"/>
          <w:szCs w:val="28"/>
          <w:lang w:val="en-US" w:eastAsia="zh-CN" w:bidi="ar"/>
        </w:rPr>
        <w:t>ReCALL (Cambridge, England)</w:t>
      </w:r>
      <w:r>
        <w:rPr>
          <w:rFonts w:hint="default" w:ascii="Times New Roman" w:hAnsi="Times New Roman" w:eastAsia="宋体" w:cs="Times New Roman"/>
          <w:kern w:val="0"/>
          <w:sz w:val="28"/>
          <w:szCs w:val="28"/>
          <w:lang w:val="en-US" w:eastAsia="zh-CN" w:bidi="ar"/>
        </w:rPr>
        <w:t xml:space="preserve">, 20(3), pp. 271–289. Available at: </w:t>
      </w:r>
      <w:r>
        <w:rPr>
          <w:rFonts w:hint="default" w:ascii="Times New Roman" w:hAnsi="Times New Roman" w:eastAsia="宋体" w:cs="Times New Roman"/>
          <w:kern w:val="0"/>
          <w:sz w:val="28"/>
          <w:szCs w:val="28"/>
          <w:lang w:val="en-US" w:eastAsia="zh-CN" w:bidi="ar"/>
        </w:rPr>
        <w:fldChar w:fldCharType="begin"/>
      </w:r>
      <w:r>
        <w:rPr>
          <w:rFonts w:hint="default" w:ascii="Times New Roman" w:hAnsi="Times New Roman" w:eastAsia="宋体" w:cs="Times New Roman"/>
          <w:kern w:val="0"/>
          <w:sz w:val="28"/>
          <w:szCs w:val="28"/>
          <w:lang w:val="en-US" w:eastAsia="zh-CN" w:bidi="ar"/>
        </w:rPr>
        <w:instrText xml:space="preserve"> HYPERLINK "https://doi.org/10.1017/S0958344008000335." </w:instrText>
      </w:r>
      <w:r>
        <w:rPr>
          <w:rFonts w:hint="default" w:ascii="Times New Roman" w:hAnsi="Times New Roman" w:eastAsia="宋体" w:cs="Times New Roman"/>
          <w:kern w:val="0"/>
          <w:sz w:val="28"/>
          <w:szCs w:val="28"/>
          <w:lang w:val="en-US" w:eastAsia="zh-CN" w:bidi="ar"/>
        </w:rPr>
        <w:fldChar w:fldCharType="separate"/>
      </w:r>
      <w:r>
        <w:rPr>
          <w:rStyle w:val="6"/>
          <w:rFonts w:hint="default" w:ascii="Times New Roman" w:hAnsi="Times New Roman" w:eastAsia="宋体" w:cs="Times New Roman"/>
          <w:kern w:val="0"/>
          <w:sz w:val="28"/>
          <w:szCs w:val="28"/>
          <w:lang w:val="en-US" w:eastAsia="zh-CN" w:bidi="ar"/>
        </w:rPr>
        <w:t>https://doi.org/10.1017/S0958344008000335.</w:t>
      </w:r>
      <w:r>
        <w:rPr>
          <w:rFonts w:hint="default" w:ascii="Times New Roman" w:hAnsi="Times New Roman" w:eastAsia="宋体" w:cs="Times New Roman"/>
          <w:kern w:val="0"/>
          <w:sz w:val="28"/>
          <w:szCs w:val="28"/>
          <w:lang w:val="en-US" w:eastAsia="zh-CN" w:bidi="ar"/>
        </w:rPr>
        <w:fldChar w:fldCharType="end"/>
      </w:r>
    </w:p>
    <w:p>
      <w:pPr>
        <w:keepNext w:val="0"/>
        <w:keepLines w:val="0"/>
        <w:pageBreakBefore w:val="0"/>
        <w:widowControl w:val="0"/>
        <w:kinsoku/>
        <w:wordWrap/>
        <w:overflowPunct/>
        <w:topLinePunct w:val="0"/>
        <w:autoSpaceDE/>
        <w:autoSpaceDN/>
        <w:bidi w:val="0"/>
        <w:adjustRightInd/>
        <w:snapToGrid/>
        <w:spacing w:before="157" w:beforeLines="50" w:after="157" w:afterLines="50"/>
        <w:ind w:right="105" w:rightChars="50"/>
        <w:textAlignment w:val="auto"/>
        <w:rPr>
          <w:rFonts w:hint="default" w:ascii="Times New Roman" w:hAnsi="Times New Roman" w:cs="Times New Roman"/>
          <w:b w:val="0"/>
          <w:bCs w:val="0"/>
          <w:sz w:val="28"/>
          <w:szCs w:val="28"/>
          <w:highlight w:val="none"/>
          <w:lang w:val="en-US" w:eastAsia="zh-CN"/>
        </w:rPr>
      </w:pPr>
      <w:r>
        <w:rPr>
          <w:rFonts w:hint="default" w:ascii="Times New Roman" w:hAnsi="Times New Roman" w:cs="Times New Roman"/>
          <w:b w:val="0"/>
          <w:bCs w:val="0"/>
          <w:sz w:val="28"/>
          <w:szCs w:val="28"/>
          <w:highlight w:val="none"/>
          <w:lang w:val="en-US" w:eastAsia="zh-CN"/>
        </w:rPr>
        <w:t xml:space="preserve">Laurillard, D. </w:t>
      </w:r>
      <w:r>
        <w:rPr>
          <w:rFonts w:hint="eastAsia" w:ascii="Times New Roman" w:hAnsi="Times New Roman" w:cs="Times New Roman"/>
          <w:b w:val="0"/>
          <w:bCs w:val="0"/>
          <w:sz w:val="28"/>
          <w:szCs w:val="28"/>
          <w:highlight w:val="none"/>
          <w:lang w:val="en-US" w:eastAsia="zh-CN"/>
        </w:rPr>
        <w:t xml:space="preserve">(2007) </w:t>
      </w:r>
      <w:r>
        <w:rPr>
          <w:rFonts w:hint="default" w:ascii="Times New Roman" w:hAnsi="Times New Roman" w:cs="Times New Roman"/>
          <w:b w:val="0"/>
          <w:bCs w:val="0"/>
          <w:sz w:val="28"/>
          <w:szCs w:val="28"/>
          <w:highlight w:val="none"/>
          <w:lang w:val="en-US" w:eastAsia="zh-CN"/>
        </w:rPr>
        <w:t xml:space="preserve">Pedagogical forms for mobile learning, In N. Pachler (Ed.), Mobile learning: Towards a research agenda. London, U.K.: WLE Centre, Institute of Education. </w:t>
      </w:r>
    </w:p>
    <w:p>
      <w:pPr>
        <w:keepNext w:val="0"/>
        <w:keepLines w:val="0"/>
        <w:pageBreakBefore w:val="0"/>
        <w:widowControl w:val="0"/>
        <w:kinsoku/>
        <w:wordWrap/>
        <w:overflowPunct/>
        <w:topLinePunct w:val="0"/>
        <w:autoSpaceDE/>
        <w:autoSpaceDN/>
        <w:bidi w:val="0"/>
        <w:adjustRightInd/>
        <w:snapToGrid/>
        <w:spacing w:before="157" w:beforeLines="50" w:after="157" w:afterLines="50"/>
        <w:ind w:right="105" w:rightChars="50"/>
        <w:textAlignment w:val="auto"/>
        <w:rPr>
          <w:rFonts w:hint="default" w:ascii="Times New Roman" w:hAnsi="Times New Roman" w:cs="Times New Roman"/>
          <w:b w:val="0"/>
          <w:bCs w:val="0"/>
          <w:sz w:val="28"/>
          <w:szCs w:val="28"/>
          <w:highlight w:val="none"/>
          <w:lang w:val="en-US" w:eastAsia="zh-CN"/>
        </w:rPr>
      </w:pPr>
      <w:r>
        <w:rPr>
          <w:rFonts w:hint="default" w:ascii="Times New Roman" w:hAnsi="Times New Roman" w:cs="Times New Roman"/>
          <w:b w:val="0"/>
          <w:bCs w:val="0"/>
          <w:sz w:val="28"/>
          <w:szCs w:val="28"/>
          <w:highlight w:val="none"/>
          <w:lang w:val="en-US" w:eastAsia="zh-CN"/>
        </w:rPr>
        <w:t xml:space="preserve">Li, F. et al. (2021) “Chinese University Students’ Experience of WeChat-Based English-Language Vocabulary Learning,” Education sciences, 11(9), pp. 554-. Available at: </w:t>
      </w:r>
      <w:r>
        <w:rPr>
          <w:rFonts w:hint="default" w:ascii="Times New Roman" w:hAnsi="Times New Roman" w:cs="Times New Roman"/>
          <w:b w:val="0"/>
          <w:bCs w:val="0"/>
          <w:sz w:val="28"/>
          <w:szCs w:val="28"/>
          <w:highlight w:val="none"/>
          <w:lang w:val="en-US" w:eastAsia="zh-CN"/>
        </w:rPr>
        <w:fldChar w:fldCharType="begin"/>
      </w:r>
      <w:r>
        <w:rPr>
          <w:rFonts w:hint="default" w:ascii="Times New Roman" w:hAnsi="Times New Roman" w:cs="Times New Roman"/>
          <w:b w:val="0"/>
          <w:bCs w:val="0"/>
          <w:sz w:val="28"/>
          <w:szCs w:val="28"/>
          <w:highlight w:val="none"/>
          <w:lang w:val="en-US" w:eastAsia="zh-CN"/>
        </w:rPr>
        <w:instrText xml:space="preserve"> HYPERLINK "https://doi.org/10.3390/educsci11090554." </w:instrText>
      </w:r>
      <w:r>
        <w:rPr>
          <w:rFonts w:hint="default" w:ascii="Times New Roman" w:hAnsi="Times New Roman" w:cs="Times New Roman"/>
          <w:b w:val="0"/>
          <w:bCs w:val="0"/>
          <w:sz w:val="28"/>
          <w:szCs w:val="28"/>
          <w:highlight w:val="none"/>
          <w:lang w:val="en-US" w:eastAsia="zh-CN"/>
        </w:rPr>
        <w:fldChar w:fldCharType="separate"/>
      </w:r>
      <w:r>
        <w:rPr>
          <w:rStyle w:val="6"/>
          <w:rFonts w:hint="default" w:ascii="Times New Roman" w:hAnsi="Times New Roman" w:cs="Times New Roman"/>
          <w:b w:val="0"/>
          <w:bCs w:val="0"/>
          <w:sz w:val="28"/>
          <w:szCs w:val="28"/>
          <w:highlight w:val="none"/>
          <w:lang w:val="en-US" w:eastAsia="zh-CN"/>
        </w:rPr>
        <w:t>https://doi.org/10.3390/educsci11090554.</w:t>
      </w:r>
      <w:r>
        <w:rPr>
          <w:rFonts w:hint="default" w:ascii="Times New Roman" w:hAnsi="Times New Roman" w:cs="Times New Roman"/>
          <w:b w:val="0"/>
          <w:bCs w:val="0"/>
          <w:sz w:val="28"/>
          <w:szCs w:val="28"/>
          <w:highlight w:val="none"/>
          <w:lang w:val="en-US" w:eastAsia="zh-CN"/>
        </w:rPr>
        <w:fldChar w:fldCharType="end"/>
      </w:r>
    </w:p>
    <w:p>
      <w:pPr>
        <w:keepNext w:val="0"/>
        <w:keepLines w:val="0"/>
        <w:widowControl/>
        <w:suppressLineNumbers w:val="0"/>
        <w:jc w:val="both"/>
        <w:rPr>
          <w:rFonts w:hint="default" w:ascii="Times New Roman" w:hAnsi="Times New Roman" w:eastAsia="宋体" w:cs="Times New Roman"/>
          <w:color w:val="0000FF"/>
          <w:kern w:val="0"/>
          <w:sz w:val="28"/>
          <w:szCs w:val="28"/>
          <w:highlight w:val="none"/>
          <w:lang w:val="en-US" w:eastAsia="zh-CN" w:bidi="ar"/>
        </w:rPr>
      </w:pPr>
      <w:r>
        <w:rPr>
          <w:rFonts w:hint="default" w:ascii="Times New Roman" w:hAnsi="Times New Roman" w:eastAsia="宋体" w:cs="Times New Roman"/>
          <w:color w:val="000000"/>
          <w:kern w:val="0"/>
          <w:sz w:val="28"/>
          <w:szCs w:val="28"/>
          <w:highlight w:val="none"/>
          <w:lang w:val="en-US" w:eastAsia="zh-CN" w:bidi="ar"/>
        </w:rPr>
        <w:t xml:space="preserve">Miangah, T. and Nezarat, A. (2012) “ Mobile-Assisted Language learning,”  </w:t>
      </w:r>
      <w:r>
        <w:rPr>
          <w:rFonts w:hint="default" w:ascii="Times New Roman" w:hAnsi="Times New Roman" w:eastAsia="宋体" w:cs="Times New Roman"/>
          <w:i/>
          <w:iCs/>
          <w:color w:val="000000"/>
          <w:kern w:val="0"/>
          <w:sz w:val="28"/>
          <w:szCs w:val="28"/>
          <w:highlight w:val="none"/>
          <w:lang w:val="en-US" w:eastAsia="zh-CN" w:bidi="ar"/>
        </w:rPr>
        <w:t>International Journal of Distrusted and Parallel Systems (IJDPS)</w:t>
      </w:r>
      <w:r>
        <w:rPr>
          <w:rFonts w:hint="default" w:ascii="Times New Roman" w:hAnsi="Times New Roman" w:eastAsia="宋体" w:cs="Times New Roman"/>
          <w:color w:val="000000"/>
          <w:kern w:val="0"/>
          <w:sz w:val="28"/>
          <w:szCs w:val="28"/>
          <w:highlight w:val="none"/>
          <w:lang w:val="en-US" w:eastAsia="zh-CN" w:bidi="ar"/>
        </w:rPr>
        <w:t xml:space="preserve">, 2012, vol. 3(1), pp. 309-319. Available at: </w:t>
      </w:r>
      <w:r>
        <w:rPr>
          <w:rFonts w:hint="default" w:ascii="Times New Roman" w:hAnsi="Times New Roman" w:eastAsia="宋体" w:cs="Times New Roman"/>
          <w:color w:val="0000FF"/>
          <w:kern w:val="0"/>
          <w:sz w:val="28"/>
          <w:szCs w:val="28"/>
          <w:highlight w:val="none"/>
          <w:lang w:val="en-US" w:eastAsia="zh-CN" w:bidi="ar"/>
        </w:rPr>
        <w:t xml:space="preserve">https://doi.org/10.5121/ijdps.2012.3126 </w:t>
      </w:r>
    </w:p>
    <w:p>
      <w:pPr>
        <w:keepNext w:val="0"/>
        <w:keepLines w:val="0"/>
        <w:widowControl/>
        <w:suppressLineNumbers w:val="0"/>
        <w:jc w:val="both"/>
        <w:rPr>
          <w:rFonts w:hint="default" w:ascii="Times New Roman" w:hAnsi="Times New Roman" w:eastAsia="宋体" w:cs="Times New Roman"/>
          <w:color w:val="0000FF"/>
          <w:kern w:val="0"/>
          <w:sz w:val="28"/>
          <w:szCs w:val="28"/>
          <w:highlight w:val="none"/>
          <w:lang w:val="en-US" w:eastAsia="zh-CN" w:bidi="ar"/>
        </w:rPr>
      </w:pPr>
      <w:r>
        <w:rPr>
          <w:rFonts w:hint="default" w:ascii="Times New Roman" w:hAnsi="Times New Roman" w:eastAsia="宋体" w:cs="Times New Roman"/>
          <w:kern w:val="0"/>
          <w:sz w:val="28"/>
          <w:szCs w:val="28"/>
          <w:lang w:val="en-US" w:eastAsia="zh-CN" w:bidi="ar"/>
        </w:rPr>
        <w:t xml:space="preserve">Peslak, A., Ceccucci, W. and Sendall, P. (2010) “An Empirical Study of Instant Messaging (IM) Behavior Using Theory of Reasoned Action,” Journal of behavioral and applied management, 11(3), pp. 263-. Available at: </w:t>
      </w:r>
      <w:r>
        <w:rPr>
          <w:rFonts w:hint="default" w:ascii="Times New Roman" w:hAnsi="Times New Roman" w:eastAsia="宋体" w:cs="Times New Roman"/>
          <w:kern w:val="0"/>
          <w:sz w:val="28"/>
          <w:szCs w:val="28"/>
          <w:lang w:val="en-US" w:eastAsia="zh-CN" w:bidi="ar"/>
        </w:rPr>
        <w:fldChar w:fldCharType="begin"/>
      </w:r>
      <w:r>
        <w:rPr>
          <w:rFonts w:hint="default" w:ascii="Times New Roman" w:hAnsi="Times New Roman" w:eastAsia="宋体" w:cs="Times New Roman"/>
          <w:kern w:val="0"/>
          <w:sz w:val="28"/>
          <w:szCs w:val="28"/>
          <w:lang w:val="en-US" w:eastAsia="zh-CN" w:bidi="ar"/>
        </w:rPr>
        <w:instrText xml:space="preserve"> HYPERLINK "https://doi.org/10.21818/001c.17350." </w:instrText>
      </w:r>
      <w:r>
        <w:rPr>
          <w:rFonts w:hint="default" w:ascii="Times New Roman" w:hAnsi="Times New Roman" w:eastAsia="宋体" w:cs="Times New Roman"/>
          <w:kern w:val="0"/>
          <w:sz w:val="28"/>
          <w:szCs w:val="28"/>
          <w:lang w:val="en-US" w:eastAsia="zh-CN" w:bidi="ar"/>
        </w:rPr>
        <w:fldChar w:fldCharType="separate"/>
      </w:r>
      <w:r>
        <w:rPr>
          <w:rFonts w:hint="default" w:ascii="Times New Roman" w:hAnsi="Times New Roman" w:eastAsia="宋体" w:cs="Times New Roman"/>
          <w:kern w:val="0"/>
          <w:sz w:val="28"/>
          <w:szCs w:val="28"/>
          <w:lang w:val="en-US" w:eastAsia="zh-CN" w:bidi="ar"/>
        </w:rPr>
        <w:t>https://doi.org/10.21818/001c.17350.</w:t>
      </w:r>
      <w:r>
        <w:rPr>
          <w:rFonts w:hint="default" w:ascii="Times New Roman" w:hAnsi="Times New Roman" w:eastAsia="宋体" w:cs="Times New Roman"/>
          <w:kern w:val="0"/>
          <w:sz w:val="28"/>
          <w:szCs w:val="28"/>
          <w:lang w:val="en-US" w:eastAsia="zh-CN" w:bidi="ar"/>
        </w:rPr>
        <w:fldChar w:fldCharType="end"/>
      </w:r>
    </w:p>
    <w:p>
      <w:pPr>
        <w:keepNext w:val="0"/>
        <w:keepLines w:val="0"/>
        <w:pageBreakBefore w:val="0"/>
        <w:widowControl w:val="0"/>
        <w:kinsoku/>
        <w:wordWrap/>
        <w:overflowPunct/>
        <w:topLinePunct w:val="0"/>
        <w:autoSpaceDE/>
        <w:autoSpaceDN/>
        <w:bidi w:val="0"/>
        <w:adjustRightInd/>
        <w:snapToGrid/>
        <w:spacing w:before="157" w:beforeLines="50" w:after="157" w:afterLines="50"/>
        <w:ind w:right="105" w:rightChars="50"/>
        <w:textAlignment w:val="auto"/>
        <w:rPr>
          <w:rFonts w:hint="default" w:ascii="Times New Roman" w:hAnsi="Times New Roman" w:cs="Times New Roman"/>
          <w:b w:val="0"/>
          <w:bCs w:val="0"/>
          <w:sz w:val="28"/>
          <w:szCs w:val="28"/>
          <w:highlight w:val="none"/>
          <w:lang w:val="en-US" w:eastAsia="zh-CN"/>
        </w:rPr>
      </w:pPr>
      <w:r>
        <w:rPr>
          <w:rFonts w:hint="default" w:ascii="Times New Roman" w:hAnsi="Times New Roman" w:cs="Times New Roman"/>
          <w:b w:val="0"/>
          <w:bCs w:val="0"/>
          <w:sz w:val="28"/>
          <w:szCs w:val="28"/>
          <w:highlight w:val="none"/>
          <w:lang w:val="en-US" w:eastAsia="zh-CN"/>
        </w:rPr>
        <w:t>Peters, K.</w:t>
      </w:r>
      <w:r>
        <w:rPr>
          <w:rFonts w:hint="eastAsia" w:ascii="Times New Roman" w:hAnsi="Times New Roman" w:cs="Times New Roman"/>
          <w:b w:val="0"/>
          <w:bCs w:val="0"/>
          <w:sz w:val="28"/>
          <w:szCs w:val="28"/>
          <w:highlight w:val="none"/>
          <w:lang w:val="en-US" w:eastAsia="zh-CN"/>
        </w:rPr>
        <w:t xml:space="preserve"> (2009)</w:t>
      </w:r>
      <w:r>
        <w:rPr>
          <w:rFonts w:hint="default" w:ascii="Times New Roman" w:hAnsi="Times New Roman" w:cs="Times New Roman"/>
          <w:b w:val="0"/>
          <w:bCs w:val="0"/>
          <w:sz w:val="28"/>
          <w:szCs w:val="28"/>
          <w:highlight w:val="none"/>
          <w:lang w:val="en-US" w:eastAsia="zh-CN"/>
        </w:rPr>
        <w:t xml:space="preserve"> M-learning: Positioning educators for a mobile, connected future, In M. Ally (Ed.), Mobile learning: Transforming the delivery of education and training. Vancouver: Marquis Book Printing</w:t>
      </w:r>
      <w:r>
        <w:rPr>
          <w:rFonts w:hint="eastAsia" w:ascii="Times New Roman" w:hAnsi="Times New Roman" w:cs="Times New Roman"/>
          <w:b w:val="0"/>
          <w:bCs w:val="0"/>
          <w:sz w:val="28"/>
          <w:szCs w:val="28"/>
          <w:highlight w:val="none"/>
          <w:lang w:val="en-US" w:eastAsia="zh-CN"/>
        </w:rPr>
        <w:t>.</w:t>
      </w:r>
    </w:p>
    <w:p>
      <w:pPr>
        <w:keepNext w:val="0"/>
        <w:keepLines w:val="0"/>
        <w:pageBreakBefore w:val="0"/>
        <w:widowControl w:val="0"/>
        <w:kinsoku/>
        <w:wordWrap/>
        <w:overflowPunct/>
        <w:topLinePunct w:val="0"/>
        <w:autoSpaceDE/>
        <w:autoSpaceDN/>
        <w:bidi w:val="0"/>
        <w:adjustRightInd/>
        <w:snapToGrid/>
        <w:spacing w:before="157" w:beforeLines="50" w:after="157" w:afterLines="50"/>
        <w:ind w:right="105" w:rightChars="50"/>
        <w:textAlignment w:val="auto"/>
        <w:rPr>
          <w:rFonts w:hint="default" w:ascii="Times New Roman" w:hAnsi="Times New Roman" w:cs="Times New Roman"/>
          <w:b w:val="0"/>
          <w:bCs w:val="0"/>
          <w:sz w:val="28"/>
          <w:szCs w:val="28"/>
          <w:highlight w:val="none"/>
          <w:lang w:val="en-US" w:eastAsia="zh-CN"/>
        </w:rPr>
      </w:pPr>
      <w:r>
        <w:rPr>
          <w:rFonts w:hint="default" w:ascii="Times New Roman" w:hAnsi="Times New Roman" w:cs="Times New Roman"/>
          <w:b w:val="0"/>
          <w:bCs w:val="0"/>
          <w:sz w:val="28"/>
          <w:szCs w:val="28"/>
          <w:highlight w:val="none"/>
          <w:lang w:val="en-US" w:eastAsia="zh-CN"/>
        </w:rPr>
        <w:t xml:space="preserve">Sharples, M. </w:t>
      </w:r>
      <w:r>
        <w:rPr>
          <w:rFonts w:hint="eastAsia" w:ascii="Times New Roman" w:hAnsi="Times New Roman" w:cs="Times New Roman"/>
          <w:b w:val="0"/>
          <w:bCs w:val="0"/>
          <w:sz w:val="28"/>
          <w:szCs w:val="28"/>
          <w:highlight w:val="none"/>
          <w:lang w:val="en-US" w:eastAsia="zh-CN"/>
        </w:rPr>
        <w:t xml:space="preserve">(2007) </w:t>
      </w:r>
      <w:r>
        <w:rPr>
          <w:rFonts w:hint="default" w:ascii="Times New Roman" w:hAnsi="Times New Roman" w:cs="Times New Roman"/>
          <w:b w:val="0"/>
          <w:bCs w:val="0"/>
          <w:sz w:val="28"/>
          <w:szCs w:val="28"/>
          <w:highlight w:val="none"/>
          <w:lang w:val="en-US" w:eastAsia="zh-CN"/>
        </w:rPr>
        <w:t xml:space="preserve">Big issues in mobile learning: Report of a workshop by the Kaleidoscope Network of Excellence in Mobile Learning Initiative. Nottingham, U.K.: University of Nottingham. </w:t>
      </w:r>
    </w:p>
    <w:p>
      <w:pPr>
        <w:keepNext w:val="0"/>
        <w:keepLines w:val="0"/>
        <w:pageBreakBefore w:val="0"/>
        <w:widowControl w:val="0"/>
        <w:kinsoku/>
        <w:wordWrap/>
        <w:overflowPunct/>
        <w:topLinePunct w:val="0"/>
        <w:autoSpaceDE/>
        <w:autoSpaceDN/>
        <w:bidi w:val="0"/>
        <w:adjustRightInd/>
        <w:snapToGrid/>
        <w:spacing w:before="157" w:beforeLines="50" w:after="157" w:afterLines="50"/>
        <w:ind w:right="105" w:rightChars="50"/>
        <w:textAlignment w:val="auto"/>
        <w:rPr>
          <w:rFonts w:hint="default" w:ascii="Times New Roman" w:hAnsi="Times New Roman" w:cs="Times New Roman"/>
          <w:b w:val="0"/>
          <w:bCs w:val="0"/>
          <w:sz w:val="28"/>
          <w:szCs w:val="28"/>
          <w:highlight w:val="none"/>
          <w:lang w:val="en-US" w:eastAsia="zh-CN"/>
        </w:rPr>
      </w:pPr>
      <w:r>
        <w:rPr>
          <w:rFonts w:hint="default" w:ascii="Times New Roman" w:hAnsi="Times New Roman" w:cs="Times New Roman"/>
          <w:b w:val="0"/>
          <w:bCs w:val="0"/>
          <w:sz w:val="28"/>
          <w:szCs w:val="28"/>
          <w:highlight w:val="none"/>
          <w:lang w:val="en-US" w:eastAsia="zh-CN"/>
        </w:rPr>
        <w:t xml:space="preserve">Shi, Z., Luo, G. and He, L. (2017) “Mobile-assisted Language Learning Using WeChat Instant Messaging,” International journal of emerging technologies in learning, 12(2), pp. 16-. Available at: </w:t>
      </w:r>
      <w:r>
        <w:rPr>
          <w:rFonts w:hint="default" w:ascii="Times New Roman" w:hAnsi="Times New Roman" w:cs="Times New Roman"/>
          <w:b w:val="0"/>
          <w:bCs w:val="0"/>
          <w:sz w:val="28"/>
          <w:szCs w:val="28"/>
          <w:highlight w:val="none"/>
          <w:lang w:val="en-US" w:eastAsia="zh-CN"/>
        </w:rPr>
        <w:fldChar w:fldCharType="begin"/>
      </w:r>
      <w:r>
        <w:rPr>
          <w:rFonts w:hint="default" w:ascii="Times New Roman" w:hAnsi="Times New Roman" w:cs="Times New Roman"/>
          <w:b w:val="0"/>
          <w:bCs w:val="0"/>
          <w:sz w:val="28"/>
          <w:szCs w:val="28"/>
          <w:highlight w:val="none"/>
          <w:lang w:val="en-US" w:eastAsia="zh-CN"/>
        </w:rPr>
        <w:instrText xml:space="preserve"> HYPERLINK "https://doi.org/10.3991/ijet.v12i02.6681." </w:instrText>
      </w:r>
      <w:r>
        <w:rPr>
          <w:rFonts w:hint="default" w:ascii="Times New Roman" w:hAnsi="Times New Roman" w:cs="Times New Roman"/>
          <w:b w:val="0"/>
          <w:bCs w:val="0"/>
          <w:sz w:val="28"/>
          <w:szCs w:val="28"/>
          <w:highlight w:val="none"/>
          <w:lang w:val="en-US" w:eastAsia="zh-CN"/>
        </w:rPr>
        <w:fldChar w:fldCharType="separate"/>
      </w:r>
      <w:r>
        <w:rPr>
          <w:rStyle w:val="6"/>
          <w:rFonts w:hint="default" w:ascii="Times New Roman" w:hAnsi="Times New Roman" w:cs="Times New Roman"/>
          <w:b w:val="0"/>
          <w:bCs w:val="0"/>
          <w:sz w:val="28"/>
          <w:szCs w:val="28"/>
          <w:highlight w:val="none"/>
          <w:lang w:val="en-US" w:eastAsia="zh-CN"/>
        </w:rPr>
        <w:t>https://doi.org/10.3991/ijet.v12i02.6681.</w:t>
      </w:r>
      <w:r>
        <w:rPr>
          <w:rFonts w:hint="default" w:ascii="Times New Roman" w:hAnsi="Times New Roman" w:cs="Times New Roman"/>
          <w:b w:val="0"/>
          <w:bCs w:val="0"/>
          <w:sz w:val="28"/>
          <w:szCs w:val="28"/>
          <w:highlight w:val="none"/>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before="157" w:beforeLines="50" w:after="157" w:afterLines="50"/>
        <w:ind w:right="105" w:rightChars="50"/>
        <w:textAlignment w:val="auto"/>
        <w:rPr>
          <w:rFonts w:hint="default" w:ascii="Times New Roman" w:hAnsi="Times New Roman" w:cs="Times New Roman"/>
          <w:b w:val="0"/>
          <w:bCs w:val="0"/>
          <w:sz w:val="28"/>
          <w:szCs w:val="28"/>
          <w:highlight w:val="none"/>
          <w:lang w:val="en-US" w:eastAsia="zh-CN"/>
        </w:rPr>
      </w:pPr>
      <w:r>
        <w:rPr>
          <w:rFonts w:hint="default" w:ascii="Times New Roman" w:hAnsi="Times New Roman" w:cs="Times New Roman"/>
          <w:b w:val="0"/>
          <w:bCs w:val="0"/>
          <w:sz w:val="28"/>
          <w:szCs w:val="28"/>
          <w:highlight w:val="none"/>
          <w:lang w:val="en-US" w:eastAsia="zh-CN"/>
        </w:rPr>
        <w:t xml:space="preserve">Zheng, X. N. (2014) “Investigation and analysis of the current situation of college students' wechat use - A case study of 208 universities in China,”Internet thinking and politics, 83(2), pp. 83-86.  Available at: </w:t>
      </w:r>
      <w:r>
        <w:rPr>
          <w:rFonts w:hint="default" w:ascii="Times New Roman" w:hAnsi="Times New Roman" w:cs="Times New Roman"/>
          <w:b w:val="0"/>
          <w:bCs w:val="0"/>
          <w:sz w:val="28"/>
          <w:szCs w:val="28"/>
          <w:highlight w:val="none"/>
          <w:lang w:val="en-US" w:eastAsia="zh-CN"/>
        </w:rPr>
        <w:fldChar w:fldCharType="begin"/>
      </w:r>
      <w:r>
        <w:rPr>
          <w:rFonts w:hint="default" w:ascii="Times New Roman" w:hAnsi="Times New Roman" w:cs="Times New Roman"/>
          <w:b w:val="0"/>
          <w:bCs w:val="0"/>
          <w:sz w:val="28"/>
          <w:szCs w:val="28"/>
          <w:highlight w:val="none"/>
          <w:lang w:val="en-US" w:eastAsia="zh-CN"/>
        </w:rPr>
        <w:instrText xml:space="preserve"> HYPERLINK "https://doi.org/1016075/j．cnki．cn31－1220/g4.2014.02.007" </w:instrText>
      </w:r>
      <w:r>
        <w:rPr>
          <w:rFonts w:hint="default" w:ascii="Times New Roman" w:hAnsi="Times New Roman" w:cs="Times New Roman"/>
          <w:b w:val="0"/>
          <w:bCs w:val="0"/>
          <w:sz w:val="28"/>
          <w:szCs w:val="28"/>
          <w:highlight w:val="none"/>
          <w:lang w:val="en-US" w:eastAsia="zh-CN"/>
        </w:rPr>
        <w:fldChar w:fldCharType="separate"/>
      </w:r>
      <w:r>
        <w:rPr>
          <w:rStyle w:val="6"/>
          <w:rFonts w:hint="default" w:ascii="Times New Roman" w:hAnsi="Times New Roman" w:cs="Times New Roman"/>
          <w:b w:val="0"/>
          <w:bCs w:val="0"/>
          <w:sz w:val="28"/>
          <w:szCs w:val="28"/>
          <w:highlight w:val="none"/>
          <w:lang w:val="en-US" w:eastAsia="zh-CN"/>
        </w:rPr>
        <w:t>https://doi.org/1016075/j．cnki．cn31－1220/g4.2014.02.007</w:t>
      </w:r>
      <w:r>
        <w:rPr>
          <w:rFonts w:hint="default" w:ascii="Times New Roman" w:hAnsi="Times New Roman" w:cs="Times New Roman"/>
          <w:b w:val="0"/>
          <w:bCs w:val="0"/>
          <w:sz w:val="28"/>
          <w:szCs w:val="28"/>
          <w:highlight w:val="none"/>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before="157" w:beforeLines="50" w:after="157" w:afterLines="50"/>
        <w:ind w:left="105" w:leftChars="50" w:right="105" w:rightChars="50"/>
        <w:textAlignment w:val="auto"/>
        <w:rPr>
          <w:rFonts w:hint="default" w:ascii="Times New Roman" w:hAnsi="Times New Roman" w:cs="Times New Roman"/>
          <w:b w:val="0"/>
          <w:bCs w:val="0"/>
          <w:sz w:val="28"/>
          <w:szCs w:val="28"/>
          <w:highlight w:val="yellow"/>
          <w:lang w:val="en-US" w:eastAsia="zh-CN"/>
        </w:rPr>
      </w:pPr>
    </w:p>
    <w:p>
      <w:pPr>
        <w:keepNext w:val="0"/>
        <w:keepLines w:val="0"/>
        <w:widowControl/>
        <w:suppressLineNumbers w:val="0"/>
        <w:jc w:val="both"/>
        <w:rPr>
          <w:rFonts w:hint="default" w:ascii="Times New Roman" w:hAnsi="Times New Roman" w:eastAsia="宋体" w:cs="Times New Roman"/>
          <w:color w:val="0000FF"/>
          <w:kern w:val="0"/>
          <w:sz w:val="28"/>
          <w:szCs w:val="28"/>
          <w:highlight w:val="none"/>
          <w:lang w:val="en-US" w:eastAsia="zh-CN" w:bidi="ar"/>
        </w:rPr>
      </w:pPr>
    </w:p>
    <w:p>
      <w:pPr>
        <w:keepNext w:val="0"/>
        <w:keepLines w:val="0"/>
        <w:widowControl/>
        <w:suppressLineNumbers w:val="0"/>
        <w:jc w:val="left"/>
        <w:rPr>
          <w:rFonts w:ascii="宋体" w:hAnsi="宋体" w:eastAsia="宋体" w:cs="宋体"/>
          <w:kern w:val="0"/>
          <w:sz w:val="24"/>
          <w:szCs w:val="24"/>
          <w:lang w:val="en-US" w:eastAsia="zh-CN" w:bidi="ar"/>
        </w:rPr>
      </w:pPr>
    </w:p>
    <w:p>
      <w:pPr>
        <w:keepNext w:val="0"/>
        <w:keepLines w:val="0"/>
        <w:widowControl/>
        <w:suppressLineNumbers w:val="0"/>
        <w:jc w:val="left"/>
        <w:rPr>
          <w:rFonts w:ascii="宋体" w:hAnsi="宋体" w:eastAsia="宋体" w:cs="宋体"/>
          <w:kern w:val="0"/>
          <w:sz w:val="24"/>
          <w:szCs w:val="24"/>
          <w:lang w:val="en-US" w:eastAsia="zh-CN" w:bidi="ar"/>
        </w:rPr>
      </w:pPr>
    </w:p>
    <w:p>
      <w:pPr>
        <w:keepNext w:val="0"/>
        <w:keepLines w:val="0"/>
        <w:widowControl/>
        <w:suppressLineNumbers w:val="0"/>
        <w:jc w:val="both"/>
        <w:rPr>
          <w:rFonts w:hint="default" w:ascii="Times New Roman" w:hAnsi="Times New Roman" w:eastAsia="宋体" w:cs="Times New Roman"/>
          <w:color w:val="0000FF"/>
          <w:kern w:val="0"/>
          <w:sz w:val="28"/>
          <w:szCs w:val="28"/>
          <w:highlight w:val="none"/>
          <w:lang w:val="en-US" w:eastAsia="zh-CN" w:bidi="ar"/>
        </w:rPr>
      </w:pPr>
    </w:p>
    <w:p>
      <w:pPr>
        <w:keepNext w:val="0"/>
        <w:keepLines w:val="0"/>
        <w:pageBreakBefore w:val="0"/>
        <w:widowControl w:val="0"/>
        <w:kinsoku/>
        <w:wordWrap/>
        <w:overflowPunct/>
        <w:topLinePunct w:val="0"/>
        <w:autoSpaceDE/>
        <w:autoSpaceDN/>
        <w:bidi w:val="0"/>
        <w:adjustRightInd/>
        <w:snapToGrid/>
        <w:spacing w:before="157" w:beforeLines="50" w:after="157" w:afterLines="50"/>
        <w:ind w:left="105" w:leftChars="50" w:right="105" w:rightChars="50"/>
        <w:textAlignment w:val="auto"/>
        <w:rPr>
          <w:rFonts w:hint="default" w:ascii="Times New Roman" w:hAnsi="Times New Roman" w:cs="Times New Roman"/>
          <w:b w:val="0"/>
          <w:bCs w:val="0"/>
          <w:sz w:val="28"/>
          <w:szCs w:val="28"/>
          <w:highlight w:val="none"/>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ind w:left="105" w:leftChars="50" w:right="105" w:rightChars="50"/>
        <w:textAlignment w:val="auto"/>
        <w:rPr>
          <w:rFonts w:hint="default" w:ascii="Times New Roman" w:hAnsi="Times New Roman" w:cs="Times New Roman"/>
          <w:b w:val="0"/>
          <w:bCs w:val="0"/>
          <w:sz w:val="28"/>
          <w:szCs w:val="28"/>
          <w:highlight w:val="none"/>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ind w:left="105" w:leftChars="50" w:right="105" w:rightChars="50"/>
        <w:textAlignment w:val="auto"/>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ind w:left="105" w:leftChars="50" w:right="105" w:rightChars="50"/>
        <w:textAlignment w:val="auto"/>
        <w:rPr>
          <w:rFonts w:hint="default"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ind w:left="105" w:leftChars="50" w:right="105" w:rightChars="50"/>
        <w:textAlignment w:val="auto"/>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ind w:left="105" w:leftChars="50" w:right="105" w:rightChars="50"/>
        <w:textAlignment w:val="auto"/>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ind w:left="105" w:leftChars="50" w:right="105" w:rightChars="50"/>
        <w:textAlignment w:val="auto"/>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ind w:left="105" w:leftChars="50" w:right="105" w:rightChars="50"/>
        <w:textAlignment w:val="auto"/>
        <w:rPr>
          <w:rFonts w:hint="default" w:ascii="Times New Roman" w:hAnsi="Times New Roman" w:cs="Times New Roman"/>
          <w:b/>
          <w:bCs/>
          <w:sz w:val="28"/>
          <w:szCs w:val="28"/>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egoe UI">
    <w:panose1 w:val="020B0502040204020203"/>
    <w:charset w:val="00"/>
    <w:family w:val="auto"/>
    <w:pitch w:val="default"/>
    <w:sig w:usb0="E4002EFF" w:usb1="C000E47F" w:usb2="00000009" w:usb3="00000000" w:csb0="200001FF" w:csb1="00000000"/>
  </w:font>
  <w:font w:name="Arial">
    <w:panose1 w:val="020B0604020202020204"/>
    <w:charset w:val="00"/>
    <w:family w:val="auto"/>
    <w:pitch w:val="default"/>
    <w:sig w:usb0="E0002EFF" w:usb1="C000785B" w:usb2="00000009" w:usb3="00000000" w:csb0="400001FF" w:csb1="FFFF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ongolian Baiti">
    <w:panose1 w:val="03000500000000000000"/>
    <w:charset w:val="00"/>
    <w:family w:val="auto"/>
    <w:pitch w:val="default"/>
    <w:sig w:usb0="80000023" w:usb1="00000000" w:usb2="0002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DAB0DBD"/>
    <w:multiLevelType w:val="singleLevel"/>
    <w:tmpl w:val="6DAB0DBD"/>
    <w:lvl w:ilvl="0" w:tentative="0">
      <w:start w:val="2"/>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c2ZGZiNzZiNDVlOGViOWVmM2JhOTY0NGJkNjUyYzgifQ=="/>
  </w:docVars>
  <w:rsids>
    <w:rsidRoot w:val="21E72A05"/>
    <w:rsid w:val="21E72A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5">
    <w:name w:val="Default Paragraph Font"/>
    <w:autoRedefine/>
    <w:semiHidden/>
    <w:qFormat/>
    <w:uiPriority w:val="0"/>
  </w:style>
  <w:style w:type="table" w:default="1" w:styleId="3">
    <w:name w:val="Normal Table"/>
    <w:semiHidden/>
    <w:uiPriority w:val="0"/>
    <w:tblPr>
      <w:tblCellMar>
        <w:top w:w="0" w:type="dxa"/>
        <w:left w:w="108" w:type="dxa"/>
        <w:bottom w:w="0" w:type="dxa"/>
        <w:right w:w="108" w:type="dxa"/>
      </w:tblCellMar>
    </w:tblPr>
  </w:style>
  <w:style w:type="table" w:styleId="4">
    <w:name w:val="Table Grid"/>
    <w:basedOn w:val="3"/>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6">
    <w:name w:val="Hyperlink"/>
    <w:basedOn w:val="5"/>
    <w:uiPriority w:val="0"/>
    <w:rPr>
      <w:color w:val="0000FF"/>
      <w:u w:val="single"/>
    </w:rPr>
  </w:style>
  <w:style w:type="paragraph" w:styleId="7">
    <w:name w:val="List Paragraph"/>
    <w:basedOn w:val="1"/>
    <w:autoRedefine/>
    <w:qFormat/>
    <w:uiPriority w:val="34"/>
    <w:pPr>
      <w:ind w:left="720"/>
      <w:contextualSpacing/>
    </w:p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6</TotalTime>
  <ScaleCrop>false</ScaleCrop>
  <LinksUpToDate>false</LinksUpToDate>
  <CharactersWithSpaces>0</CharactersWithSpaces>
  <Application>WPS Office_12.1.0.16417_F1E327BC-269C-435d-A152-05C5408002CA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2024-04-19T18:57:00Z</dcterms:created>
  <dc:creator>晨跑的小猪</dc:creator>
  <cp:lastModifiedBy>晨跑的小猪</cp:lastModifiedBy>
  <dcterms:modified xsi:type="dcterms:W3CDTF">2024-04-21T00:28:46Z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2052-12.1.0.16417</vt:lpwstr>
  </property>
  <property fmtid="{D5CDD505-2E9C-101B-9397-08002B2CF9AE}" pid="3" name="ICV">
    <vt:lpwstr>C029DBC5E9E2469DABAB0830BC1D3E64_11</vt:lpwstr>
  </property>
</Properties>
</file>