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20A2" w:rsidRDefault="000F20A2" w:rsidP="000F20A2">
      <w:pPr>
        <w:pStyle w:val="NormalWeb"/>
        <w:spacing w:before="0" w:beforeAutospacing="0" w:after="0" w:afterAutospacing="0"/>
        <w:ind w:left="-180" w:right="-334"/>
      </w:pPr>
      <w:bookmarkStart w:id="0" w:name="_GoBack"/>
      <w:r>
        <w:rPr>
          <w:noProof/>
        </w:rPr>
        <w:drawing>
          <wp:inline distT="0" distB="0" distL="0" distR="0">
            <wp:extent cx="1903730" cy="641350"/>
            <wp:effectExtent l="19050" t="19050" r="20320" b="25400"/>
            <wp:docPr id="4" name="Picture 4"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3730" cy="641350"/>
                    </a:xfrm>
                    <a:prstGeom prst="rect">
                      <a:avLst/>
                    </a:prstGeom>
                    <a:noFill/>
                    <a:ln w="19050" cmpd="sng">
                      <a:solidFill>
                        <a:srgbClr val="000000"/>
                      </a:solidFill>
                      <a:miter lim="800000"/>
                      <a:headEnd/>
                      <a:tailEnd/>
                    </a:ln>
                    <a:effectLst/>
                  </pic:spPr>
                </pic:pic>
              </a:graphicData>
            </a:graphic>
          </wp:inline>
        </w:drawing>
      </w:r>
    </w:p>
    <w:p w:rsidR="000F20A2" w:rsidRDefault="000F20A2" w:rsidP="000F20A2">
      <w:pPr>
        <w:pStyle w:val="NormalWeb"/>
        <w:spacing w:before="0" w:beforeAutospacing="0" w:after="0" w:afterAutospacing="0"/>
        <w:ind w:left="-180" w:right="-334"/>
      </w:pPr>
    </w:p>
    <w:p w:rsidR="000F20A2" w:rsidRDefault="000F20A2" w:rsidP="000F20A2">
      <w:pPr>
        <w:pStyle w:val="NormalWeb"/>
        <w:spacing w:before="0" w:beforeAutospacing="0" w:after="0" w:afterAutospacing="0"/>
        <w:ind w:left="-180" w:right="-334"/>
      </w:pPr>
    </w:p>
    <w:p w:rsidR="000F20A2" w:rsidRDefault="000F20A2" w:rsidP="000F20A2">
      <w:pPr>
        <w:pStyle w:val="NormalWeb"/>
        <w:spacing w:before="0" w:beforeAutospacing="0" w:after="0" w:afterAutospacing="0"/>
        <w:ind w:left="-180" w:right="-334"/>
        <w:jc w:val="center"/>
        <w:rPr>
          <w:rFonts w:ascii="Arial" w:hAnsi="Arial" w:cs="Arial"/>
          <w:b/>
          <w:sz w:val="28"/>
          <w:szCs w:val="28"/>
          <w:lang w:val="cy-GB"/>
        </w:rPr>
      </w:pPr>
      <w:proofErr w:type="spellStart"/>
      <w:r>
        <w:rPr>
          <w:rFonts w:ascii="Arial" w:hAnsi="Arial" w:cs="Arial"/>
          <w:b/>
          <w:sz w:val="28"/>
          <w:szCs w:val="28"/>
          <w:lang w:val="cy-GB"/>
        </w:rPr>
        <w:t>Postgraduate</w:t>
      </w:r>
      <w:proofErr w:type="spellEnd"/>
      <w:r>
        <w:rPr>
          <w:rFonts w:ascii="Arial" w:hAnsi="Arial" w:cs="Arial"/>
          <w:b/>
          <w:sz w:val="28"/>
          <w:szCs w:val="28"/>
          <w:lang w:val="cy-GB"/>
        </w:rPr>
        <w:t>/</w:t>
      </w:r>
      <w:proofErr w:type="spellStart"/>
      <w:r>
        <w:rPr>
          <w:rFonts w:ascii="Arial" w:hAnsi="Arial" w:cs="Arial"/>
          <w:b/>
          <w:sz w:val="28"/>
          <w:szCs w:val="28"/>
          <w:lang w:val="cy-GB"/>
        </w:rPr>
        <w:t>Distance</w:t>
      </w:r>
      <w:proofErr w:type="spellEnd"/>
      <w:r>
        <w:rPr>
          <w:rFonts w:ascii="Arial" w:hAnsi="Arial" w:cs="Arial"/>
          <w:b/>
          <w:sz w:val="28"/>
          <w:szCs w:val="28"/>
          <w:lang w:val="cy-GB"/>
        </w:rPr>
        <w:t xml:space="preserve"> </w:t>
      </w:r>
      <w:proofErr w:type="spellStart"/>
      <w:r>
        <w:rPr>
          <w:rFonts w:ascii="Arial" w:hAnsi="Arial" w:cs="Arial"/>
          <w:b/>
          <w:sz w:val="28"/>
          <w:szCs w:val="28"/>
          <w:lang w:val="cy-GB"/>
        </w:rPr>
        <w:t>Learning</w:t>
      </w:r>
      <w:proofErr w:type="spellEnd"/>
      <w:r>
        <w:rPr>
          <w:rFonts w:ascii="Arial" w:hAnsi="Arial" w:cs="Arial"/>
          <w:b/>
          <w:sz w:val="28"/>
          <w:szCs w:val="28"/>
          <w:lang w:val="cy-GB"/>
        </w:rPr>
        <w:t xml:space="preserve"> </w:t>
      </w:r>
    </w:p>
    <w:p w:rsidR="000F20A2" w:rsidRDefault="000F20A2" w:rsidP="000F20A2">
      <w:pPr>
        <w:pStyle w:val="NormalWeb"/>
        <w:spacing w:before="0" w:beforeAutospacing="0" w:after="0" w:afterAutospacing="0"/>
        <w:ind w:left="-180" w:right="-334"/>
        <w:jc w:val="center"/>
        <w:rPr>
          <w:rFonts w:ascii="Arial" w:hAnsi="Arial" w:cs="Arial"/>
          <w:b/>
          <w:sz w:val="28"/>
          <w:szCs w:val="28"/>
        </w:rPr>
      </w:pPr>
      <w:proofErr w:type="spellStart"/>
      <w:r>
        <w:rPr>
          <w:rFonts w:ascii="Arial" w:hAnsi="Arial" w:cs="Arial"/>
          <w:b/>
          <w:sz w:val="28"/>
          <w:szCs w:val="28"/>
          <w:lang w:val="cy-GB"/>
        </w:rPr>
        <w:t>Assignment</w:t>
      </w:r>
      <w:proofErr w:type="spellEnd"/>
      <w:r>
        <w:rPr>
          <w:rFonts w:ascii="Arial" w:hAnsi="Arial" w:cs="Arial"/>
          <w:b/>
          <w:sz w:val="28"/>
          <w:szCs w:val="28"/>
          <w:lang w:val="cy-GB"/>
        </w:rPr>
        <w:t xml:space="preserve"> </w:t>
      </w:r>
      <w:proofErr w:type="spellStart"/>
      <w:r>
        <w:rPr>
          <w:rFonts w:ascii="Arial" w:hAnsi="Arial" w:cs="Arial"/>
          <w:b/>
          <w:sz w:val="28"/>
          <w:szCs w:val="28"/>
          <w:lang w:val="cy-GB"/>
        </w:rPr>
        <w:t>coversheet</w:t>
      </w:r>
      <w:proofErr w:type="spellEnd"/>
      <w:r>
        <w:rPr>
          <w:rFonts w:ascii="Arial" w:hAnsi="Arial" w:cs="Arial"/>
          <w:b/>
          <w:sz w:val="28"/>
          <w:szCs w:val="28"/>
          <w:lang w:val="cy-GB"/>
        </w:rPr>
        <w:t xml:space="preserve"> &amp; </w:t>
      </w:r>
      <w:proofErr w:type="spellStart"/>
      <w:r>
        <w:rPr>
          <w:rFonts w:ascii="Arial" w:hAnsi="Arial" w:cs="Arial"/>
          <w:b/>
          <w:sz w:val="28"/>
          <w:szCs w:val="28"/>
          <w:lang w:val="cy-GB"/>
        </w:rPr>
        <w:t>feedback</w:t>
      </w:r>
      <w:proofErr w:type="spellEnd"/>
      <w:r>
        <w:rPr>
          <w:rFonts w:ascii="Arial" w:hAnsi="Arial" w:cs="Arial"/>
          <w:b/>
          <w:sz w:val="28"/>
          <w:szCs w:val="28"/>
          <w:lang w:val="cy-GB"/>
        </w:rPr>
        <w:t xml:space="preserve"> </w:t>
      </w:r>
      <w:proofErr w:type="spellStart"/>
      <w:r>
        <w:rPr>
          <w:rFonts w:ascii="Arial" w:hAnsi="Arial" w:cs="Arial"/>
          <w:b/>
          <w:sz w:val="28"/>
          <w:szCs w:val="28"/>
          <w:lang w:val="cy-GB"/>
        </w:rPr>
        <w:t>form</w:t>
      </w:r>
      <w:proofErr w:type="spellEnd"/>
    </w:p>
    <w:p w:rsidR="000F20A2" w:rsidRDefault="000F20A2" w:rsidP="000F20A2">
      <w:pPr>
        <w:rPr>
          <w:rFonts w:ascii="Arial" w:hAnsi="Arial" w:cs="Arial"/>
          <w:sz w:val="28"/>
          <w:szCs w:val="28"/>
          <w:lang w:val="cy-GB"/>
        </w:rPr>
      </w:pPr>
    </w:p>
    <w:p w:rsidR="000F20A2" w:rsidRDefault="000F20A2" w:rsidP="000F20A2">
      <w:pPr>
        <w:pStyle w:val="Heading3"/>
        <w:jc w:val="center"/>
        <w:rPr>
          <w:rFonts w:ascii="Tahoma" w:eastAsia="SimSun" w:hAnsi="Tahoma" w:cs="Tahoma"/>
          <w:sz w:val="20"/>
          <w:szCs w:val="20"/>
          <w:lang w:val="cy-GB"/>
        </w:rPr>
      </w:pPr>
      <w:r>
        <w:rPr>
          <w:rFonts w:eastAsia="SimSun"/>
          <w:lang w:val="cy-GB"/>
        </w:rPr>
        <w:t>THIS SHEET MUST BE THE FIRST PAGE OF THE ASSIGNMENT YOU ARE SUBMITTING  (DO NOT SEND AS A SEPARATE FILE)</w:t>
      </w:r>
    </w:p>
    <w:p w:rsidR="000F20A2" w:rsidRDefault="000F20A2" w:rsidP="000F20A2">
      <w:pPr>
        <w:pStyle w:val="Heading3"/>
        <w:jc w:val="center"/>
        <w:rPr>
          <w:rFonts w:ascii="Trebuchet MS" w:eastAsia="SimSun"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F20A2" w:rsidTr="000F20A2">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rsidR="000F20A2" w:rsidRDefault="000F20A2">
            <w:pPr>
              <w:pStyle w:val="NormalWeb"/>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0F20A2" w:rsidTr="000F20A2">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rsidR="000F20A2" w:rsidRDefault="000F20A2">
            <w:pPr>
              <w:pStyle w:val="NormalWeb"/>
              <w:spacing w:before="0" w:beforeAutospacing="0" w:after="0" w:afterAutospacing="0"/>
              <w:ind w:right="34"/>
              <w:rPr>
                <w:rFonts w:ascii="Arial" w:hAnsi="Arial" w:cs="Arial"/>
                <w:sz w:val="22"/>
                <w:szCs w:val="22"/>
              </w:rPr>
            </w:pPr>
            <w:r>
              <w:rPr>
                <w:rFonts w:ascii="Arial" w:hAnsi="Arial" w:cs="Arial"/>
                <w:sz w:val="22"/>
                <w:szCs w:val="22"/>
              </w:rPr>
              <w:t>Student Name:</w:t>
            </w:r>
          </w:p>
          <w:p w:rsidR="000F20A2" w:rsidRDefault="000F20A2">
            <w:pPr>
              <w:pStyle w:val="NormalWeb"/>
              <w:spacing w:before="0" w:beforeAutospacing="0" w:after="0" w:afterAutospacing="0"/>
              <w:ind w:right="34"/>
              <w:rPr>
                <w:rFonts w:ascii="Arial" w:hAnsi="Arial" w:cs="Arial"/>
                <w:sz w:val="22"/>
                <w:szCs w:val="22"/>
              </w:rPr>
            </w:pPr>
            <w:r>
              <w:rPr>
                <w:rFonts w:ascii="Arial" w:hAnsi="Arial" w:cs="Arial"/>
                <w:sz w:val="22"/>
                <w:szCs w:val="22"/>
              </w:rPr>
              <w:t>Gulliver Methuen-Campbell</w:t>
            </w:r>
          </w:p>
        </w:tc>
      </w:tr>
      <w:tr w:rsidR="000F20A2" w:rsidTr="000F20A2">
        <w:trPr>
          <w:trHeight w:val="849"/>
        </w:trPr>
        <w:tc>
          <w:tcPr>
            <w:tcW w:w="4788" w:type="dxa"/>
            <w:tcBorders>
              <w:top w:val="single" w:sz="4" w:space="0" w:color="000000"/>
              <w:left w:val="single" w:sz="4" w:space="0" w:color="000000"/>
              <w:bottom w:val="single" w:sz="4" w:space="0" w:color="000000"/>
              <w:right w:val="single" w:sz="4" w:space="0" w:color="000000"/>
            </w:tcBorders>
          </w:tcPr>
          <w:p w:rsidR="000F20A2" w:rsidRDefault="000F20A2">
            <w:pPr>
              <w:pStyle w:val="NormalWeb"/>
              <w:spacing w:before="0" w:beforeAutospacing="0" w:after="0" w:afterAutospacing="0"/>
              <w:ind w:right="34"/>
              <w:rPr>
                <w:rFonts w:ascii="Arial" w:hAnsi="Arial" w:cs="Arial"/>
                <w:sz w:val="22"/>
                <w:szCs w:val="22"/>
              </w:rPr>
            </w:pPr>
            <w:r>
              <w:rPr>
                <w:rFonts w:ascii="Arial" w:hAnsi="Arial" w:cs="Arial"/>
                <w:sz w:val="22"/>
                <w:szCs w:val="22"/>
              </w:rPr>
              <w:t>Module code:</w:t>
            </w:r>
          </w:p>
          <w:p w:rsidR="000F20A2" w:rsidRDefault="000F20A2" w:rsidP="000F20A2">
            <w:pPr>
              <w:pStyle w:val="Heading1"/>
              <w:jc w:val="center"/>
            </w:pPr>
            <w:r>
              <w:t>AHHI 7016</w:t>
            </w:r>
          </w:p>
          <w:p w:rsidR="000F20A2" w:rsidRDefault="000F20A2">
            <w:pPr>
              <w:pStyle w:val="NormalWeb"/>
              <w:spacing w:before="0" w:beforeAutospacing="0" w:after="0" w:afterAutospacing="0"/>
              <w:ind w:right="34"/>
              <w:rPr>
                <w:rFonts w:ascii="Arial" w:hAnsi="Arial" w:cs="Arial"/>
                <w:sz w:val="22"/>
                <w:szCs w:val="22"/>
              </w:rPr>
            </w:pPr>
          </w:p>
          <w:p w:rsidR="000F20A2" w:rsidRDefault="000F20A2">
            <w:pPr>
              <w:pStyle w:val="NormalWeb"/>
              <w:spacing w:before="0" w:beforeAutospacing="0" w:after="0" w:afterAutospacing="0"/>
              <w:ind w:right="34"/>
              <w:rPr>
                <w:rFonts w:ascii="Arial" w:hAnsi="Arial" w:cs="Arial"/>
                <w:sz w:val="22"/>
                <w:szCs w:val="22"/>
              </w:rPr>
            </w:pPr>
            <w:r>
              <w:rPr>
                <w:rFonts w:ascii="Arial" w:hAnsi="Arial" w:cs="Arial"/>
                <w:sz w:val="22"/>
                <w:szCs w:val="22"/>
              </w:rPr>
              <w:t>Module title:</w:t>
            </w:r>
          </w:p>
          <w:p w:rsidR="000F20A2" w:rsidRDefault="000F20A2" w:rsidP="000F20A2">
            <w:pPr>
              <w:pStyle w:val="Heading1"/>
              <w:jc w:val="center"/>
            </w:pPr>
            <w:r>
              <w:t>Studying the Medieval</w:t>
            </w:r>
          </w:p>
          <w:p w:rsidR="000F20A2" w:rsidRDefault="000F20A2">
            <w:pPr>
              <w:pStyle w:val="NormalWeb"/>
              <w:spacing w:before="0" w:beforeAutospacing="0" w:after="0" w:afterAutospacing="0"/>
              <w:ind w:right="34"/>
              <w:rPr>
                <w:rFonts w:ascii="Arial" w:hAnsi="Arial" w:cs="Arial"/>
                <w:sz w:val="22"/>
                <w:szCs w:val="22"/>
              </w:rPr>
            </w:pPr>
          </w:p>
          <w:p w:rsidR="000F20A2" w:rsidRDefault="000F20A2">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rsidR="000F20A2" w:rsidRDefault="000F20A2">
            <w:pPr>
              <w:pStyle w:val="NormalWeb"/>
              <w:spacing w:before="0" w:beforeAutospacing="0" w:after="0" w:afterAutospacing="0"/>
              <w:ind w:right="34"/>
              <w:rPr>
                <w:rFonts w:ascii="Arial" w:hAnsi="Arial" w:cs="Arial"/>
                <w:sz w:val="22"/>
                <w:szCs w:val="22"/>
              </w:rPr>
            </w:pPr>
            <w:r>
              <w:rPr>
                <w:rFonts w:ascii="Arial" w:hAnsi="Arial" w:cs="Arial"/>
                <w:sz w:val="22"/>
                <w:szCs w:val="22"/>
              </w:rPr>
              <w:t>Student ID number:</w:t>
            </w:r>
          </w:p>
          <w:p w:rsidR="000F20A2" w:rsidRDefault="000F20A2">
            <w:pPr>
              <w:pStyle w:val="NormalWeb"/>
              <w:spacing w:before="0" w:beforeAutospacing="0" w:after="0" w:afterAutospacing="0"/>
              <w:ind w:right="34"/>
              <w:rPr>
                <w:rFonts w:ascii="Arial" w:hAnsi="Arial" w:cs="Arial"/>
                <w:sz w:val="22"/>
                <w:szCs w:val="22"/>
              </w:rPr>
            </w:pPr>
          </w:p>
          <w:p w:rsidR="000F20A2" w:rsidRDefault="000F20A2">
            <w:pPr>
              <w:pStyle w:val="NormalWeb"/>
              <w:spacing w:before="0" w:beforeAutospacing="0" w:after="0" w:afterAutospacing="0"/>
              <w:ind w:right="34"/>
              <w:rPr>
                <w:rFonts w:ascii="Arial" w:hAnsi="Arial" w:cs="Arial"/>
                <w:sz w:val="22"/>
                <w:szCs w:val="22"/>
              </w:rPr>
            </w:pPr>
            <w:r w:rsidRPr="000F20A2">
              <w:rPr>
                <w:rFonts w:ascii="Arial" w:hAnsi="Arial" w:cs="Arial"/>
                <w:sz w:val="22"/>
                <w:szCs w:val="22"/>
              </w:rPr>
              <w:t>1705164</w:t>
            </w:r>
          </w:p>
        </w:tc>
        <w:tc>
          <w:tcPr>
            <w:tcW w:w="1802" w:type="dxa"/>
            <w:tcBorders>
              <w:top w:val="single" w:sz="4" w:space="0" w:color="000000"/>
              <w:left w:val="single" w:sz="4" w:space="0" w:color="000000"/>
              <w:bottom w:val="single" w:sz="4" w:space="0" w:color="000000"/>
              <w:right w:val="single" w:sz="4" w:space="0" w:color="000000"/>
            </w:tcBorders>
            <w:hideMark/>
          </w:tcPr>
          <w:p w:rsidR="000F20A2" w:rsidRDefault="000F20A2">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rsidR="000F20A2" w:rsidRDefault="000F20A2">
            <w:pPr>
              <w:pStyle w:val="NormalWeb"/>
              <w:spacing w:before="0" w:beforeAutospacing="0" w:after="0" w:afterAutospacing="0"/>
              <w:ind w:right="34"/>
              <w:rPr>
                <w:rFonts w:ascii="Arial" w:hAnsi="Arial" w:cs="Arial"/>
                <w:sz w:val="22"/>
                <w:szCs w:val="22"/>
              </w:rPr>
            </w:pPr>
            <w:r>
              <w:rPr>
                <w:rFonts w:ascii="Arial" w:hAnsi="Arial" w:cs="Arial"/>
                <w:sz w:val="22"/>
                <w:szCs w:val="22"/>
              </w:rPr>
              <w:t>Yes/</w:t>
            </w:r>
            <w:r w:rsidRPr="000F20A2">
              <w:rPr>
                <w:rFonts w:ascii="Arial" w:hAnsi="Arial" w:cs="Arial"/>
                <w:sz w:val="22"/>
                <w:szCs w:val="22"/>
                <w:u w:val="single"/>
              </w:rPr>
              <w:t>No</w:t>
            </w:r>
          </w:p>
        </w:tc>
      </w:tr>
      <w:tr w:rsidR="000F20A2" w:rsidTr="000F20A2">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rsidR="000F20A2" w:rsidRDefault="000F20A2">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rsidR="000F20A2" w:rsidRDefault="000F20A2">
            <w:pPr>
              <w:pStyle w:val="NormalWeb"/>
              <w:spacing w:before="0" w:beforeAutospacing="0" w:after="0" w:afterAutospacing="0"/>
              <w:ind w:right="34"/>
              <w:rPr>
                <w:rFonts w:ascii="Arial" w:hAnsi="Arial" w:cs="Arial"/>
                <w:sz w:val="22"/>
                <w:szCs w:val="22"/>
              </w:rPr>
            </w:pPr>
            <w:r>
              <w:rPr>
                <w:rFonts w:ascii="Arial" w:hAnsi="Arial" w:cs="Arial"/>
                <w:sz w:val="22"/>
                <w:szCs w:val="22"/>
              </w:rPr>
              <w:t>Janet Burton</w:t>
            </w:r>
          </w:p>
          <w:p w:rsidR="000F20A2" w:rsidRDefault="000F20A2">
            <w:pPr>
              <w:pStyle w:val="NormalWeb"/>
              <w:spacing w:before="0" w:beforeAutospacing="0" w:after="0" w:afterAutospacing="0"/>
              <w:ind w:right="34"/>
              <w:rPr>
                <w:rFonts w:ascii="Arial" w:hAnsi="Arial" w:cs="Arial"/>
                <w:sz w:val="22"/>
                <w:szCs w:val="22"/>
              </w:rPr>
            </w:pPr>
          </w:p>
          <w:p w:rsidR="000F20A2" w:rsidRDefault="000F20A2">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w:t>
            </w:r>
            <w:r>
              <w:rPr>
                <w:rFonts w:ascii="Arial" w:hAnsi="Arial" w:cs="Arial"/>
                <w:sz w:val="22"/>
                <w:szCs w:val="22"/>
              </w:rPr>
              <w:t xml:space="preserve"> 30</w:t>
            </w:r>
            <w:r w:rsidRPr="000F20A2">
              <w:rPr>
                <w:rFonts w:ascii="Arial" w:hAnsi="Arial" w:cs="Arial"/>
                <w:sz w:val="22"/>
                <w:szCs w:val="22"/>
                <w:vertAlign w:val="superscript"/>
              </w:rPr>
              <w:t>th</w:t>
            </w:r>
            <w:r>
              <w:rPr>
                <w:rFonts w:ascii="Arial" w:hAnsi="Arial" w:cs="Arial"/>
                <w:sz w:val="22"/>
                <w:szCs w:val="22"/>
              </w:rPr>
              <w:t xml:space="preserve"> Aug 19</w:t>
            </w:r>
          </w:p>
        </w:tc>
      </w:tr>
      <w:tr w:rsidR="000F20A2" w:rsidTr="000F20A2">
        <w:trPr>
          <w:trHeight w:val="978"/>
        </w:trPr>
        <w:tc>
          <w:tcPr>
            <w:tcW w:w="8856" w:type="dxa"/>
            <w:gridSpan w:val="5"/>
            <w:tcBorders>
              <w:top w:val="single" w:sz="4" w:space="0" w:color="000000"/>
              <w:left w:val="single" w:sz="4" w:space="0" w:color="000000"/>
              <w:bottom w:val="single" w:sz="4" w:space="0" w:color="000000"/>
              <w:right w:val="single" w:sz="4" w:space="0" w:color="000000"/>
            </w:tcBorders>
          </w:tcPr>
          <w:p w:rsidR="000F20A2" w:rsidRDefault="000F20A2">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rsidR="000F20A2" w:rsidRDefault="000F20A2">
            <w:pPr>
              <w:rPr>
                <w:rFonts w:ascii="Arial" w:hAnsi="Arial" w:cs="Arial"/>
              </w:rPr>
            </w:pPr>
          </w:p>
          <w:p w:rsidR="000F20A2" w:rsidRDefault="000F20A2">
            <w:pPr>
              <w:rPr>
                <w:rFonts w:ascii="Arial" w:hAnsi="Arial" w:cs="Arial"/>
              </w:rPr>
            </w:pPr>
            <w:r>
              <w:rPr>
                <w:rFonts w:ascii="Arial" w:hAnsi="Arial" w:cs="Arial"/>
              </w:rPr>
              <w:t>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1" w:name="Check13"/>
            <w:r>
              <w:rPr>
                <w:rFonts w:ascii="Arial" w:hAnsi="Arial" w:cs="Arial"/>
              </w:rPr>
              <w:instrText xml:space="preserve"> FORMCHECKBOX </w:instrText>
            </w:r>
            <w:r>
              <w:rPr>
                <w:rFonts w:ascii="Times New Roman" w:hAnsi="Times New Roman" w:cs="Times New Roman"/>
                <w:sz w:val="24"/>
                <w:szCs w:val="24"/>
              </w:rPr>
              <w:fldChar w:fldCharType="end"/>
            </w:r>
            <w:bookmarkEnd w:id="1"/>
            <w:r>
              <w:rPr>
                <w:rFonts w:ascii="Arial" w:hAnsi="Arial" w:cs="Arial"/>
              </w:rPr>
              <w:t xml:space="preserve">    2</w:t>
            </w:r>
            <w:r>
              <w:rPr>
                <w:rFonts w:ascii="Arial" w:hAnsi="Arial" w:cs="Arial"/>
                <w:vertAlign w:val="superscript"/>
              </w:rPr>
              <w:t>nd</w:t>
            </w:r>
            <w:r>
              <w:rPr>
                <w:rFonts w:ascii="Arial" w:hAnsi="Arial" w:cs="Arial"/>
              </w:rPr>
              <w:t xml:space="preserve">  </w:t>
            </w:r>
            <w:r>
              <w:rPr>
                <w:rFonts w:ascii="Arial" w:hAnsi="Arial" w:cs="Arial"/>
              </w:rPr>
              <w:fldChar w:fldCharType="begin">
                <w:ffData>
                  <w:name w:val="Check14"/>
                  <w:enabled/>
                  <w:calcOnExit w:val="0"/>
                  <w:checkBox>
                    <w:sizeAuto/>
                    <w:default w:val="0"/>
                  </w:checkBox>
                </w:ffData>
              </w:fldChar>
            </w:r>
            <w:bookmarkStart w:id="2" w:name="Check14"/>
            <w:r>
              <w:rPr>
                <w:rFonts w:ascii="Arial" w:hAnsi="Arial" w:cs="Arial"/>
              </w:rPr>
              <w:instrText xml:space="preserve"> FORMCHECKBOX </w:instrText>
            </w:r>
            <w:r>
              <w:rPr>
                <w:rFonts w:ascii="Times New Roman" w:hAnsi="Times New Roman" w:cs="Times New Roman"/>
                <w:sz w:val="24"/>
                <w:szCs w:val="24"/>
              </w:rPr>
              <w:fldChar w:fldCharType="end"/>
            </w:r>
            <w:bookmarkEnd w:id="2"/>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1"/>
                  </w:checkBox>
                </w:ffData>
              </w:fldChar>
            </w:r>
            <w:bookmarkStart w:id="3" w:name="Check15"/>
            <w:r>
              <w:rPr>
                <w:rFonts w:ascii="Arial" w:hAnsi="Arial" w:cs="Arial"/>
              </w:rPr>
              <w:instrText xml:space="preserve"> FORMCHECKBOX </w:instrText>
            </w:r>
            <w:r>
              <w:rPr>
                <w:rFonts w:ascii="Arial" w:hAnsi="Arial" w:cs="Arial"/>
              </w:rPr>
            </w:r>
            <w:r>
              <w:rPr>
                <w:rFonts w:ascii="Arial" w:hAnsi="Arial" w:cs="Arial"/>
              </w:rPr>
              <w:fldChar w:fldCharType="end"/>
            </w:r>
            <w:bookmarkEnd w:id="3"/>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4" w:name="Check16"/>
            <w:r>
              <w:rPr>
                <w:rFonts w:ascii="Arial" w:hAnsi="Arial" w:cs="Arial"/>
              </w:rPr>
              <w:instrText xml:space="preserve"> FORMCHECKBOX </w:instrText>
            </w:r>
            <w:r>
              <w:rPr>
                <w:rFonts w:ascii="Times New Roman" w:hAnsi="Times New Roman" w:cs="Times New Roman"/>
                <w:sz w:val="24"/>
                <w:szCs w:val="24"/>
              </w:rPr>
              <w:fldChar w:fldCharType="end"/>
            </w:r>
            <w:bookmarkEnd w:id="4"/>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5" w:name="Check17"/>
            <w:r>
              <w:rPr>
                <w:rFonts w:ascii="Arial" w:hAnsi="Arial" w:cs="Arial"/>
              </w:rPr>
              <w:instrText xml:space="preserve"> FORMCHECKBOX </w:instrText>
            </w:r>
            <w:r>
              <w:rPr>
                <w:rFonts w:ascii="Times New Roman" w:hAnsi="Times New Roman" w:cs="Times New Roman"/>
                <w:sz w:val="24"/>
                <w:szCs w:val="24"/>
              </w:rPr>
              <w:fldChar w:fldCharType="end"/>
            </w:r>
            <w:bookmarkEnd w:id="5"/>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6" w:name="Check18"/>
            <w:r>
              <w:rPr>
                <w:rFonts w:ascii="Arial" w:hAnsi="Arial" w:cs="Arial"/>
              </w:rPr>
              <w:instrText xml:space="preserve"> FORMCHECKBOX </w:instrText>
            </w:r>
            <w:r>
              <w:rPr>
                <w:rFonts w:ascii="Times New Roman" w:hAnsi="Times New Roman" w:cs="Times New Roman"/>
                <w:sz w:val="24"/>
                <w:szCs w:val="24"/>
              </w:rPr>
              <w:fldChar w:fldCharType="end"/>
            </w:r>
            <w:bookmarkEnd w:id="6"/>
          </w:p>
        </w:tc>
      </w:tr>
      <w:tr w:rsidR="000F20A2" w:rsidTr="000F20A2">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0F20A2" w:rsidRDefault="000F20A2">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rsidR="000F20A2" w:rsidRDefault="000F20A2">
            <w:pPr>
              <w:pStyle w:val="NormalWeb"/>
              <w:spacing w:before="0" w:beforeAutospacing="0" w:after="0" w:afterAutospacing="0"/>
              <w:ind w:right="34"/>
              <w:rPr>
                <w:rFonts w:ascii="Arial" w:hAnsi="Arial" w:cs="Arial"/>
                <w:sz w:val="22"/>
                <w:szCs w:val="22"/>
              </w:rPr>
            </w:pPr>
            <w:r>
              <w:rPr>
                <w:rFonts w:ascii="Arial" w:hAnsi="Arial" w:cs="Arial"/>
                <w:sz w:val="22"/>
                <w:szCs w:val="22"/>
              </w:rPr>
              <w:t>Signed ……………………</w:t>
            </w:r>
            <w:r>
              <w:rPr>
                <w:rFonts w:ascii="Arial" w:hAnsi="Arial" w:cs="Arial"/>
                <w:sz w:val="22"/>
                <w:szCs w:val="22"/>
              </w:rPr>
              <w:t>GMC</w:t>
            </w:r>
            <w:r>
              <w:rPr>
                <w:rFonts w:ascii="Arial" w:hAnsi="Arial" w:cs="Arial"/>
                <w:sz w:val="22"/>
                <w:szCs w:val="22"/>
              </w:rPr>
              <w:t>………………………………</w:t>
            </w:r>
          </w:p>
          <w:p w:rsidR="000F20A2" w:rsidRDefault="000F20A2">
            <w:pPr>
              <w:pStyle w:val="NormalWeb"/>
              <w:spacing w:before="0" w:beforeAutospacing="0" w:after="0" w:afterAutospacing="0"/>
              <w:ind w:right="34"/>
              <w:rPr>
                <w:rFonts w:ascii="Calibri" w:hAnsi="Calibri" w:cs="Calibri"/>
                <w:b/>
                <w:sz w:val="44"/>
                <w:szCs w:val="44"/>
              </w:rPr>
            </w:pPr>
            <w:r>
              <w:rPr>
                <w:rFonts w:ascii="Calibri" w:hAnsi="Calibri" w:cs="Tahoma"/>
                <w:b/>
                <w:sz w:val="24"/>
                <w:szCs w:val="24"/>
              </w:rPr>
              <w:t xml:space="preserve">Email submission: if you are submitting this form via email, please tick this box </w:t>
            </w:r>
            <w:r>
              <w:rPr>
                <w:rFonts w:ascii="Calibri" w:hAnsi="Calibri" w:cs="Calibri"/>
                <w:b/>
                <w:sz w:val="44"/>
                <w:szCs w:val="44"/>
              </w:rPr>
              <w:t>□</w:t>
            </w:r>
          </w:p>
          <w:p w:rsidR="000F20A2" w:rsidRDefault="000F20A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0F20A2" w:rsidTr="000F20A2">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rsidR="000F20A2" w:rsidRDefault="000F20A2">
            <w:pPr>
              <w:rPr>
                <w:rFonts w:ascii="Arial" w:hAnsi="Arial" w:cs="Times New Roman"/>
                <w:b/>
                <w:sz w:val="24"/>
                <w:szCs w:val="24"/>
              </w:rPr>
            </w:pPr>
          </w:p>
          <w:p w:rsidR="000F20A2" w:rsidRDefault="000F20A2">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F20A2">
              <w:tc>
                <w:tcPr>
                  <w:tcW w:w="6970" w:type="dxa"/>
                  <w:tcBorders>
                    <w:top w:val="single" w:sz="4" w:space="0" w:color="auto"/>
                    <w:left w:val="single" w:sz="4" w:space="0" w:color="auto"/>
                    <w:bottom w:val="single" w:sz="4" w:space="0" w:color="auto"/>
                    <w:right w:val="single" w:sz="4" w:space="0" w:color="auto"/>
                  </w:tcBorders>
                </w:tcPr>
                <w:p w:rsidR="000F20A2" w:rsidRDefault="000F20A2">
                  <w:pPr>
                    <w:rPr>
                      <w:rFonts w:ascii="Arial" w:hAnsi="Arial"/>
                      <w:sz w:val="20"/>
                      <w:szCs w:val="20"/>
                    </w:rPr>
                  </w:pPr>
                </w:p>
                <w:p w:rsidR="000F20A2" w:rsidRDefault="000F20A2">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rsidR="000F20A2" w:rsidRDefault="000F20A2">
                  <w:pPr>
                    <w:rPr>
                      <w:rFonts w:ascii="Arial" w:hAnsi="Arial"/>
                      <w:sz w:val="20"/>
                      <w:szCs w:val="20"/>
                    </w:rPr>
                  </w:pPr>
                </w:p>
              </w:tc>
            </w:tr>
            <w:tr w:rsidR="000F20A2">
              <w:tc>
                <w:tcPr>
                  <w:tcW w:w="6970" w:type="dxa"/>
                  <w:tcBorders>
                    <w:top w:val="single" w:sz="4" w:space="0" w:color="auto"/>
                    <w:left w:val="single" w:sz="4" w:space="0" w:color="auto"/>
                    <w:bottom w:val="single" w:sz="4" w:space="0" w:color="auto"/>
                    <w:right w:val="single" w:sz="4" w:space="0" w:color="auto"/>
                  </w:tcBorders>
                </w:tcPr>
                <w:p w:rsidR="000F20A2" w:rsidRDefault="000F20A2">
                  <w:pPr>
                    <w:rPr>
                      <w:rFonts w:ascii="Arial" w:hAnsi="Arial"/>
                      <w:sz w:val="20"/>
                      <w:szCs w:val="20"/>
                    </w:rPr>
                  </w:pPr>
                </w:p>
                <w:p w:rsidR="000F20A2" w:rsidRDefault="000F20A2">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rsidR="000F20A2" w:rsidRDefault="000F20A2">
                  <w:pPr>
                    <w:rPr>
                      <w:rFonts w:ascii="Arial" w:hAnsi="Arial"/>
                      <w:sz w:val="20"/>
                      <w:szCs w:val="20"/>
                    </w:rPr>
                  </w:pPr>
                </w:p>
              </w:tc>
            </w:tr>
            <w:tr w:rsidR="000F20A2">
              <w:tc>
                <w:tcPr>
                  <w:tcW w:w="6970" w:type="dxa"/>
                  <w:tcBorders>
                    <w:top w:val="single" w:sz="4" w:space="0" w:color="auto"/>
                    <w:left w:val="single" w:sz="4" w:space="0" w:color="auto"/>
                    <w:bottom w:val="single" w:sz="4" w:space="0" w:color="auto"/>
                    <w:right w:val="single" w:sz="4" w:space="0" w:color="auto"/>
                  </w:tcBorders>
                </w:tcPr>
                <w:p w:rsidR="000F20A2" w:rsidRDefault="000F20A2">
                  <w:pPr>
                    <w:rPr>
                      <w:rFonts w:ascii="Arial" w:hAnsi="Arial"/>
                      <w:sz w:val="20"/>
                      <w:szCs w:val="20"/>
                    </w:rPr>
                  </w:pPr>
                </w:p>
                <w:p w:rsidR="000F20A2" w:rsidRDefault="000F20A2">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rsidR="000F20A2" w:rsidRDefault="000F20A2">
                  <w:pPr>
                    <w:rPr>
                      <w:rFonts w:ascii="Arial" w:hAnsi="Arial"/>
                      <w:sz w:val="20"/>
                      <w:szCs w:val="20"/>
                    </w:rPr>
                  </w:pPr>
                </w:p>
              </w:tc>
            </w:tr>
            <w:tr w:rsidR="000F20A2">
              <w:tc>
                <w:tcPr>
                  <w:tcW w:w="6970" w:type="dxa"/>
                  <w:tcBorders>
                    <w:top w:val="single" w:sz="4" w:space="0" w:color="auto"/>
                    <w:left w:val="single" w:sz="4" w:space="0" w:color="auto"/>
                    <w:bottom w:val="single" w:sz="4" w:space="0" w:color="auto"/>
                    <w:right w:val="single" w:sz="4" w:space="0" w:color="auto"/>
                  </w:tcBorders>
                </w:tcPr>
                <w:p w:rsidR="000F20A2" w:rsidRDefault="000F20A2">
                  <w:pPr>
                    <w:rPr>
                      <w:rFonts w:ascii="Arial" w:hAnsi="Arial"/>
                      <w:sz w:val="20"/>
                      <w:szCs w:val="20"/>
                    </w:rPr>
                  </w:pPr>
                </w:p>
                <w:p w:rsidR="000F20A2" w:rsidRDefault="000F20A2">
                  <w:pPr>
                    <w:rPr>
                      <w:rFonts w:ascii="Arial" w:hAnsi="Arial"/>
                      <w:b/>
                      <w:sz w:val="20"/>
                      <w:szCs w:val="20"/>
                    </w:rPr>
                  </w:pPr>
                  <w:r>
                    <w:rPr>
                      <w:rFonts w:ascii="Arial" w:hAnsi="Arial"/>
                      <w:b/>
                      <w:sz w:val="20"/>
                      <w:szCs w:val="20"/>
                    </w:rPr>
                    <w:t>Final Mark</w:t>
                  </w:r>
                </w:p>
                <w:p w:rsidR="000F20A2" w:rsidRDefault="000F20A2">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rsidR="000F20A2" w:rsidRDefault="000F20A2">
                  <w:pPr>
                    <w:rPr>
                      <w:rFonts w:ascii="Arial" w:hAnsi="Arial"/>
                      <w:sz w:val="20"/>
                      <w:szCs w:val="20"/>
                    </w:rPr>
                  </w:pPr>
                </w:p>
              </w:tc>
            </w:tr>
          </w:tbl>
          <w:p w:rsidR="000F20A2" w:rsidRDefault="000F20A2">
            <w:pPr>
              <w:pStyle w:val="NormalWeb"/>
              <w:spacing w:before="0" w:beforeAutospacing="0" w:after="0" w:afterAutospacing="0"/>
              <w:ind w:left="142" w:right="34"/>
              <w:rPr>
                <w:rFonts w:ascii="Arial" w:hAnsi="Arial" w:cs="Arial"/>
                <w:b/>
                <w:sz w:val="22"/>
                <w:szCs w:val="22"/>
              </w:rPr>
            </w:pPr>
          </w:p>
          <w:p w:rsidR="000F20A2" w:rsidRDefault="000F20A2">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rsidR="000F20A2" w:rsidRDefault="000F20A2">
            <w:pPr>
              <w:pStyle w:val="NormalWeb"/>
              <w:spacing w:before="0" w:beforeAutospacing="0" w:after="0" w:afterAutospacing="0"/>
              <w:rPr>
                <w:rFonts w:ascii="Arial" w:hAnsi="Arial" w:cs="Arial"/>
                <w:b/>
                <w:sz w:val="22"/>
                <w:szCs w:val="22"/>
              </w:rPr>
            </w:pPr>
          </w:p>
          <w:p w:rsidR="000F20A2" w:rsidRDefault="000F20A2">
            <w:pPr>
              <w:pStyle w:val="NormalWeb"/>
              <w:spacing w:before="0" w:beforeAutospacing="0" w:after="0" w:afterAutospacing="0"/>
              <w:rPr>
                <w:rFonts w:ascii="Arial" w:hAnsi="Arial" w:cs="Arial"/>
                <w:b/>
                <w:sz w:val="22"/>
                <w:szCs w:val="22"/>
              </w:rPr>
            </w:pPr>
          </w:p>
          <w:p w:rsidR="000F20A2" w:rsidRDefault="000F20A2">
            <w:pPr>
              <w:pStyle w:val="NormalWeb"/>
              <w:spacing w:before="0" w:beforeAutospacing="0" w:after="0" w:afterAutospacing="0"/>
              <w:rPr>
                <w:rFonts w:ascii="Arial" w:hAnsi="Arial" w:cs="Arial"/>
                <w:b/>
                <w:sz w:val="22"/>
                <w:szCs w:val="22"/>
              </w:rPr>
            </w:pPr>
          </w:p>
          <w:p w:rsidR="000F20A2" w:rsidRDefault="000F20A2">
            <w:pPr>
              <w:pStyle w:val="NormalWeb"/>
              <w:spacing w:before="0" w:beforeAutospacing="0" w:after="0" w:afterAutospacing="0"/>
              <w:rPr>
                <w:rFonts w:ascii="Arial" w:hAnsi="Arial" w:cs="Arial"/>
                <w:b/>
                <w:sz w:val="22"/>
                <w:szCs w:val="22"/>
              </w:rPr>
            </w:pPr>
          </w:p>
          <w:p w:rsidR="000F20A2" w:rsidRDefault="000F20A2">
            <w:pPr>
              <w:pStyle w:val="NormalWeb"/>
              <w:spacing w:before="0" w:beforeAutospacing="0" w:after="0" w:afterAutospacing="0"/>
              <w:rPr>
                <w:rFonts w:ascii="Arial" w:hAnsi="Arial" w:cs="Arial"/>
                <w:b/>
                <w:sz w:val="22"/>
                <w:szCs w:val="22"/>
              </w:rPr>
            </w:pPr>
          </w:p>
          <w:p w:rsidR="000F20A2" w:rsidRDefault="000F20A2">
            <w:pPr>
              <w:pStyle w:val="NormalWeb"/>
              <w:spacing w:before="0" w:beforeAutospacing="0" w:after="0" w:afterAutospacing="0"/>
              <w:rPr>
                <w:rFonts w:ascii="Arial" w:hAnsi="Arial" w:cs="Arial"/>
                <w:b/>
                <w:sz w:val="22"/>
                <w:szCs w:val="22"/>
              </w:rPr>
            </w:pPr>
            <w:r>
              <w:rPr>
                <w:rFonts w:ascii="Arial" w:hAnsi="Arial" w:cs="Arial"/>
                <w:b/>
                <w:sz w:val="22"/>
                <w:szCs w:val="22"/>
              </w:rPr>
              <w:t xml:space="preserve">For completion by Marker </w:t>
            </w:r>
            <w:proofErr w:type="gramStart"/>
            <w:r>
              <w:rPr>
                <w:rFonts w:ascii="Arial" w:hAnsi="Arial" w:cs="Arial"/>
                <w:b/>
                <w:sz w:val="22"/>
                <w:szCs w:val="22"/>
              </w:rPr>
              <w:t>1 :</w:t>
            </w:r>
            <w:proofErr w:type="gramEnd"/>
          </w:p>
          <w:p w:rsidR="000F20A2" w:rsidRDefault="000F20A2">
            <w:pPr>
              <w:pStyle w:val="NormalWeb"/>
              <w:rPr>
                <w:rFonts w:ascii="Arial" w:hAnsi="Arial" w:cs="Arial"/>
                <w:sz w:val="22"/>
                <w:szCs w:val="22"/>
              </w:rPr>
            </w:pPr>
            <w:r>
              <w:rPr>
                <w:rFonts w:ascii="Arial" w:hAnsi="Arial" w:cs="Arial"/>
                <w:sz w:val="22"/>
                <w:szCs w:val="22"/>
              </w:rPr>
              <w:t>Comments:</w:t>
            </w:r>
          </w:p>
          <w:p w:rsidR="000F20A2" w:rsidRDefault="000F20A2">
            <w:pPr>
              <w:pStyle w:val="NormalWeb"/>
              <w:rPr>
                <w:rFonts w:ascii="Arial" w:hAnsi="Arial" w:cs="Arial"/>
                <w:sz w:val="22"/>
                <w:szCs w:val="22"/>
              </w:rPr>
            </w:pPr>
          </w:p>
        </w:tc>
      </w:tr>
      <w:tr w:rsidR="000F20A2" w:rsidTr="000F20A2">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rsidR="000F20A2" w:rsidRDefault="000F20A2">
            <w:pPr>
              <w:pStyle w:val="NormalWeb"/>
              <w:spacing w:beforeAutospacing="0" w:afterAutospacing="0"/>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0F20A2" w:rsidRDefault="000F20A2">
            <w:pPr>
              <w:pStyle w:val="NormalWeb"/>
              <w:spacing w:beforeAutospacing="0" w:after="0" w:afterAutospacing="0"/>
              <w:ind w:left="142" w:right="34"/>
              <w:rPr>
                <w:rFonts w:ascii="Arial" w:hAnsi="Arial" w:cs="Arial"/>
                <w:sz w:val="22"/>
                <w:szCs w:val="22"/>
              </w:rPr>
            </w:pPr>
            <w:r>
              <w:rPr>
                <w:rFonts w:ascii="Arial" w:hAnsi="Arial" w:cs="Arial"/>
                <w:sz w:val="22"/>
                <w:szCs w:val="22"/>
              </w:rPr>
              <w:t>Date:</w:t>
            </w:r>
          </w:p>
        </w:tc>
      </w:tr>
      <w:tr w:rsidR="000F20A2" w:rsidTr="000F20A2">
        <w:tc>
          <w:tcPr>
            <w:tcW w:w="8856" w:type="dxa"/>
            <w:gridSpan w:val="5"/>
            <w:tcBorders>
              <w:top w:val="single" w:sz="4" w:space="0" w:color="000000"/>
              <w:left w:val="single" w:sz="4" w:space="0" w:color="000000"/>
              <w:bottom w:val="single" w:sz="4" w:space="0" w:color="000000"/>
              <w:right w:val="single" w:sz="4" w:space="0" w:color="000000"/>
            </w:tcBorders>
          </w:tcPr>
          <w:p w:rsidR="000F20A2" w:rsidRDefault="000F20A2">
            <w:pPr>
              <w:pStyle w:val="NormalWeb"/>
              <w:spacing w:before="0" w:beforeAutospacing="0" w:after="0" w:afterAutospacing="0"/>
              <w:ind w:right="-334"/>
              <w:rPr>
                <w:rFonts w:ascii="Arial" w:hAnsi="Arial" w:cs="Arial"/>
                <w:bCs/>
                <w:i/>
                <w:sz w:val="22"/>
                <w:szCs w:val="22"/>
              </w:rPr>
            </w:pPr>
          </w:p>
          <w:p w:rsidR="000F20A2" w:rsidRDefault="000F20A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rsidR="000F20A2" w:rsidRDefault="000F20A2">
            <w:pPr>
              <w:pStyle w:val="NormalWeb"/>
              <w:spacing w:before="0" w:beforeAutospacing="0" w:after="0" w:afterAutospacing="0"/>
              <w:ind w:right="-334"/>
              <w:rPr>
                <w:rFonts w:ascii="Arial" w:hAnsi="Arial" w:cs="Arial"/>
                <w:b/>
                <w:bCs/>
                <w:sz w:val="22"/>
                <w:szCs w:val="22"/>
              </w:rPr>
            </w:pPr>
          </w:p>
          <w:p w:rsidR="000F20A2" w:rsidRDefault="000F20A2">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rsidR="000F20A2" w:rsidRDefault="000F20A2">
            <w:pPr>
              <w:pStyle w:val="NormalWeb"/>
              <w:spacing w:before="0" w:beforeAutospacing="0" w:after="0" w:afterAutospacing="0"/>
              <w:ind w:right="-334"/>
              <w:rPr>
                <w:rFonts w:ascii="Arial" w:hAnsi="Arial" w:cs="Arial"/>
                <w:bCs/>
                <w:sz w:val="22"/>
                <w:szCs w:val="22"/>
              </w:rPr>
            </w:pPr>
          </w:p>
          <w:p w:rsidR="000F20A2" w:rsidRDefault="000F20A2">
            <w:pPr>
              <w:pStyle w:val="NormalWeb"/>
              <w:spacing w:before="0" w:beforeAutospacing="0" w:after="0" w:afterAutospacing="0"/>
              <w:ind w:right="-334"/>
              <w:rPr>
                <w:rFonts w:ascii="Arial" w:hAnsi="Arial" w:cs="Arial"/>
                <w:bCs/>
                <w:sz w:val="22"/>
                <w:szCs w:val="22"/>
              </w:rPr>
            </w:pPr>
          </w:p>
          <w:p w:rsidR="000F20A2" w:rsidRDefault="000F20A2">
            <w:pPr>
              <w:pStyle w:val="NormalWeb"/>
              <w:spacing w:before="0" w:beforeAutospacing="0" w:after="0" w:afterAutospacing="0"/>
              <w:ind w:right="-334"/>
              <w:rPr>
                <w:rFonts w:ascii="Arial" w:hAnsi="Arial" w:cs="Arial"/>
                <w:bCs/>
                <w:sz w:val="22"/>
                <w:szCs w:val="22"/>
              </w:rPr>
            </w:pPr>
          </w:p>
        </w:tc>
      </w:tr>
      <w:tr w:rsidR="000F20A2" w:rsidTr="000F20A2">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0F20A2" w:rsidRDefault="000F20A2">
            <w:pPr>
              <w:pStyle w:val="NormalWeb"/>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0F20A2" w:rsidRDefault="000F20A2">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0F20A2" w:rsidTr="000F20A2">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rsidR="000F20A2" w:rsidRDefault="000F20A2">
            <w:pPr>
              <w:rPr>
                <w:rFonts w:ascii="Arial" w:hAnsi="Arial" w:cs="Arial"/>
                <w:b/>
              </w:rPr>
            </w:pPr>
            <w:r>
              <w:rPr>
                <w:rFonts w:ascii="Arial" w:hAnsi="Arial" w:cs="Arial"/>
                <w:b/>
              </w:rPr>
              <w:t>External Examiner’s comments (if relevant)</w:t>
            </w:r>
          </w:p>
          <w:p w:rsidR="000F20A2" w:rsidRDefault="000F20A2">
            <w:pPr>
              <w:pStyle w:val="NormalWeb"/>
              <w:spacing w:before="0" w:beforeAutospacing="0" w:after="0" w:afterAutospacing="0"/>
              <w:ind w:right="-334"/>
              <w:rPr>
                <w:rFonts w:ascii="Arial" w:hAnsi="Arial" w:cs="Arial"/>
                <w:bCs/>
                <w:sz w:val="22"/>
                <w:szCs w:val="22"/>
              </w:rPr>
            </w:pPr>
          </w:p>
          <w:p w:rsidR="000F20A2" w:rsidRDefault="000F20A2">
            <w:pPr>
              <w:pStyle w:val="NormalWeb"/>
              <w:spacing w:before="0" w:beforeAutospacing="0" w:after="0" w:afterAutospacing="0"/>
              <w:ind w:right="-334"/>
              <w:rPr>
                <w:rFonts w:ascii="Arial" w:hAnsi="Arial" w:cs="Arial"/>
                <w:bCs/>
                <w:sz w:val="22"/>
                <w:szCs w:val="22"/>
              </w:rPr>
            </w:pPr>
          </w:p>
          <w:p w:rsidR="000F20A2" w:rsidRDefault="000F20A2">
            <w:pPr>
              <w:pStyle w:val="NormalWeb"/>
              <w:spacing w:before="0" w:beforeAutospacing="0" w:after="0" w:afterAutospacing="0"/>
              <w:ind w:right="-334"/>
              <w:rPr>
                <w:rFonts w:ascii="Arial" w:hAnsi="Arial" w:cs="Arial"/>
                <w:bCs/>
                <w:sz w:val="22"/>
                <w:szCs w:val="22"/>
              </w:rPr>
            </w:pPr>
          </w:p>
        </w:tc>
      </w:tr>
      <w:tr w:rsidR="000F20A2" w:rsidTr="000F20A2">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0F20A2" w:rsidRDefault="000F20A2">
            <w:pPr>
              <w:rPr>
                <w:rFonts w:ascii="Arial" w:hAnsi="Arial" w:cs="Arial"/>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0F20A2" w:rsidRDefault="000F20A2">
            <w:pPr>
              <w:rPr>
                <w:rFonts w:ascii="Arial" w:hAnsi="Arial" w:cs="Arial"/>
              </w:rPr>
            </w:pPr>
            <w:r>
              <w:rPr>
                <w:rFonts w:ascii="Arial" w:hAnsi="Arial" w:cs="Arial"/>
              </w:rPr>
              <w:t>Date:</w:t>
            </w:r>
          </w:p>
        </w:tc>
      </w:tr>
    </w:tbl>
    <w:p w:rsidR="000F20A2" w:rsidRDefault="000F20A2" w:rsidP="000F20A2">
      <w:pPr>
        <w:pStyle w:val="NormalWeb"/>
        <w:spacing w:before="0" w:beforeAutospacing="0" w:after="0" w:afterAutospacing="0"/>
        <w:ind w:right="-334"/>
        <w:rPr>
          <w:rFonts w:ascii="Trebuchet MS" w:hAnsi="Trebuchet MS" w:cs="Tahoma"/>
          <w:bCs/>
          <w:sz w:val="24"/>
          <w:szCs w:val="24"/>
        </w:rPr>
      </w:pPr>
    </w:p>
    <w:p w:rsidR="000F20A2" w:rsidRDefault="000F20A2" w:rsidP="000F20A2">
      <w:pPr>
        <w:rPr>
          <w:rFonts w:asciiTheme="majorHAnsi" w:eastAsiaTheme="majorEastAsia" w:hAnsiTheme="majorHAnsi" w:cstheme="majorBidi"/>
          <w:spacing w:val="-10"/>
          <w:kern w:val="28"/>
          <w:sz w:val="56"/>
          <w:szCs w:val="56"/>
        </w:rPr>
      </w:pPr>
      <w:r>
        <w:t xml:space="preserve"> </w:t>
      </w:r>
      <w:r>
        <w:br w:type="page"/>
      </w:r>
    </w:p>
    <w:bookmarkEnd w:id="0"/>
    <w:p w:rsidR="000A617D" w:rsidRDefault="00B21141" w:rsidP="00B21141">
      <w:pPr>
        <w:pStyle w:val="Title"/>
      </w:pPr>
      <w:r>
        <w:lastRenderedPageBreak/>
        <w:t>Commentary: The Will of King Alfred</w:t>
      </w:r>
    </w:p>
    <w:p w:rsidR="00B21141" w:rsidRDefault="00B21141" w:rsidP="00B21141">
      <w:pPr>
        <w:pStyle w:val="Heading1"/>
      </w:pPr>
      <w:r>
        <w:t xml:space="preserve">Introduction </w:t>
      </w:r>
    </w:p>
    <w:p w:rsidR="003673FD" w:rsidRPr="008C61C4" w:rsidRDefault="003673FD" w:rsidP="003673FD">
      <w:r>
        <w:t xml:space="preserve">The will of King Alfred is one of only two wills of Anglo-Saxon kings known to have survived in some form. In this case, it is in the form of an inexact copy with two translations – one in Latin, one in Middle English. It is worth noting that the scribe has modernised the spelling to some extent, presumably to make it more accessible to a Middle English reader, for example </w:t>
      </w:r>
      <w:r>
        <w:rPr>
          <w:i/>
        </w:rPr>
        <w:t>þ</w:t>
      </w:r>
      <w:r>
        <w:t xml:space="preserve"> has been </w:t>
      </w:r>
      <w:r w:rsidR="000048E0">
        <w:t xml:space="preserve">transcribed as </w:t>
      </w:r>
      <w:proofErr w:type="spellStart"/>
      <w:r w:rsidR="000048E0">
        <w:rPr>
          <w:i/>
        </w:rPr>
        <w:t>th</w:t>
      </w:r>
      <w:proofErr w:type="spellEnd"/>
      <w:r w:rsidR="008C61C4">
        <w:t xml:space="preserve"> in places. </w:t>
      </w:r>
      <w:proofErr w:type="spellStart"/>
      <w:r w:rsidR="006B3C01" w:rsidRPr="006B3C01">
        <w:rPr>
          <w:i/>
        </w:rPr>
        <w:t>Æ</w:t>
      </w:r>
      <w:r w:rsidR="008C61C4">
        <w:rPr>
          <w:i/>
        </w:rPr>
        <w:t>the</w:t>
      </w:r>
      <w:proofErr w:type="spellEnd"/>
      <w:r w:rsidR="008C61C4">
        <w:rPr>
          <w:i/>
        </w:rPr>
        <w:t>(l)red</w:t>
      </w:r>
      <w:r w:rsidR="008C61C4">
        <w:t xml:space="preserve"> is written once as </w:t>
      </w:r>
      <w:proofErr w:type="spellStart"/>
      <w:r w:rsidR="008C61C4">
        <w:rPr>
          <w:i/>
        </w:rPr>
        <w:t>aeþeredes</w:t>
      </w:r>
      <w:proofErr w:type="spellEnd"/>
      <w:r w:rsidR="008C61C4">
        <w:t xml:space="preserve"> and once as </w:t>
      </w:r>
      <w:proofErr w:type="spellStart"/>
      <w:r w:rsidR="008C61C4">
        <w:rPr>
          <w:i/>
        </w:rPr>
        <w:t>Etherede</w:t>
      </w:r>
      <w:proofErr w:type="spellEnd"/>
      <w:r w:rsidR="008C61C4">
        <w:t xml:space="preserve"> on the same </w:t>
      </w:r>
      <w:proofErr w:type="gramStart"/>
      <w:r w:rsidR="008C61C4">
        <w:t>page(</w:t>
      </w:r>
      <w:proofErr w:type="gramEnd"/>
      <w:r w:rsidR="008C61C4">
        <w:t>f.8v)</w:t>
      </w:r>
    </w:p>
    <w:p w:rsidR="00B21141" w:rsidRPr="00B21141" w:rsidRDefault="00B21141" w:rsidP="00B21141">
      <w:r>
        <w:t>Extensive use will be made of an 1828 reprint of a 1788 translation of the will</w:t>
      </w:r>
      <w:r w:rsidR="008D6DEA">
        <w:t>, particularly in reference to paragraphing that is not used in the original manuscript</w:t>
      </w:r>
      <w:r>
        <w:t>.</w:t>
      </w:r>
      <w:r w:rsidR="005B5396">
        <w:t xml:space="preserve"> The transcription is not without its flaws, being somewhat hyper-corrective of the Anglo-Saxon</w:t>
      </w:r>
      <w:r w:rsidR="002946DB">
        <w:t>, making extensive use of ‘authentic’ Anglo-Saxon lettering not used in the manuscript that it is copied from.</w:t>
      </w:r>
      <w:r w:rsidR="002946DB">
        <w:rPr>
          <w:rStyle w:val="FootnoteReference"/>
        </w:rPr>
        <w:footnoteReference w:id="1"/>
      </w:r>
      <w:r w:rsidR="002946DB">
        <w:t xml:space="preserve"> Compare Figure 1 from the original manuscript to figures 2 (the reprint) and 3 (the original).</w:t>
      </w:r>
      <w:r w:rsidR="00113CC5">
        <w:t xml:space="preserve"> Much as the 15</w:t>
      </w:r>
      <w:r w:rsidR="00113CC5" w:rsidRPr="00113CC5">
        <w:rPr>
          <w:vertAlign w:val="superscript"/>
        </w:rPr>
        <w:t>th</w:t>
      </w:r>
      <w:r w:rsidR="00113CC5">
        <w:t xml:space="preserve"> century scribe converted the text for their readers, the 18</w:t>
      </w:r>
      <w:r w:rsidR="00113CC5" w:rsidRPr="00113CC5">
        <w:rPr>
          <w:vertAlign w:val="superscript"/>
        </w:rPr>
        <w:t>th</w:t>
      </w:r>
      <w:r w:rsidR="00113CC5">
        <w:t xml:space="preserve"> and 19</w:t>
      </w:r>
      <w:r w:rsidR="00113CC5" w:rsidRPr="00113CC5">
        <w:rPr>
          <w:vertAlign w:val="superscript"/>
        </w:rPr>
        <w:t>th</w:t>
      </w:r>
      <w:r w:rsidR="00113CC5">
        <w:t xml:space="preserve"> century typesetters</w:t>
      </w:r>
      <w:r w:rsidR="00C30077">
        <w:t xml:space="preserve"> likely</w:t>
      </w:r>
      <w:r w:rsidR="00113CC5">
        <w:t xml:space="preserve"> did something similar to give it a more ‘authentic’ feel. </w:t>
      </w:r>
    </w:p>
    <w:p w:rsidR="00B21141" w:rsidRDefault="009D2AFC" w:rsidP="009D2AFC">
      <w:pPr>
        <w:pStyle w:val="Heading1"/>
      </w:pPr>
      <w:r>
        <w:t>Features in the Will</w:t>
      </w:r>
    </w:p>
    <w:p w:rsidR="00390ED4" w:rsidRDefault="00390ED4" w:rsidP="00390ED4">
      <w:pPr>
        <w:pStyle w:val="Heading2"/>
      </w:pPr>
      <w:r>
        <w:t>Context and Preamble</w:t>
      </w:r>
    </w:p>
    <w:p w:rsidR="00390ED4" w:rsidRPr="00390ED4" w:rsidRDefault="00390ED4" w:rsidP="00390ED4">
      <w:r>
        <w:t xml:space="preserve">The will opens with a fairly conscientious detailing of the circumstances around how Alfred and his brothers inherited lands from their father, and laid plans for their own children. </w:t>
      </w:r>
    </w:p>
    <w:p w:rsidR="005267A2" w:rsidRDefault="00B21141" w:rsidP="00B21141">
      <w:r>
        <w:t xml:space="preserve">The will begins </w:t>
      </w:r>
      <w:r w:rsidR="005267A2">
        <w:t xml:space="preserve">with an acknowledgement of those who have given the king counsel, and of his soul’s health, as well as the origin of his inheritance. Of this, there is the notable inheritance left by King Ethelwolf to his three youngest sons, “which of [them] </w:t>
      </w:r>
      <w:proofErr w:type="spellStart"/>
      <w:r w:rsidR="005267A2">
        <w:t>soever</w:t>
      </w:r>
      <w:proofErr w:type="spellEnd"/>
      <w:r w:rsidR="005267A2">
        <w:t xml:space="preserve"> longest liver were”</w:t>
      </w:r>
      <w:r w:rsidR="005267A2">
        <w:rPr>
          <w:rStyle w:val="FootnoteReference"/>
        </w:rPr>
        <w:footnoteReference w:id="2"/>
      </w:r>
      <w:r w:rsidR="005267A2">
        <w:t xml:space="preserve">. </w:t>
      </w:r>
      <w:r w:rsidR="00CE343A">
        <w:t>This type of promise is typical of Anglo-Saxon wills, with ‘after my day’ and ‘if I outlive’ being somewhat formulaic inclusions.</w:t>
      </w:r>
      <w:r w:rsidR="00CE343A">
        <w:rPr>
          <w:rStyle w:val="FootnoteReference"/>
        </w:rPr>
        <w:footnoteReference w:id="3"/>
      </w:r>
    </w:p>
    <w:p w:rsidR="00043C3A" w:rsidRDefault="005267A2">
      <w:r>
        <w:t xml:space="preserve">The second paragraph details the death of </w:t>
      </w:r>
      <w:proofErr w:type="spellStart"/>
      <w:r w:rsidR="006B3C01">
        <w:t>Æthelbald</w:t>
      </w:r>
      <w:proofErr w:type="spellEnd"/>
      <w:r w:rsidR="006B3C01">
        <w:t xml:space="preserve">  </w:t>
      </w:r>
      <w:r>
        <w:t xml:space="preserve">and the decision of </w:t>
      </w:r>
      <w:proofErr w:type="spellStart"/>
      <w:r w:rsidR="006B3C01">
        <w:t>Æthelred</w:t>
      </w:r>
      <w:proofErr w:type="spellEnd"/>
      <w:r w:rsidR="006B3C01">
        <w:t xml:space="preserve"> </w:t>
      </w:r>
      <w:r>
        <w:t xml:space="preserve">and Alfred </w:t>
      </w:r>
      <w:r w:rsidR="00A05737">
        <w:t xml:space="preserve">temporarily hand over their lands </w:t>
      </w:r>
      <w:r>
        <w:t>to</w:t>
      </w:r>
      <w:r w:rsidR="00EE7F8E">
        <w:t xml:space="preserve"> their eldest brother, King </w:t>
      </w:r>
      <w:proofErr w:type="spellStart"/>
      <w:r w:rsidR="006B3C01">
        <w:t>Æ</w:t>
      </w:r>
      <w:r w:rsidR="005B5396">
        <w:t>thelbert</w:t>
      </w:r>
      <w:proofErr w:type="spellEnd"/>
      <w:r w:rsidR="00EE7F8E">
        <w:t>, “on the condition that he should re-deliver it to [them] as entire as it then was when [they] did it to him make over”</w:t>
      </w:r>
      <w:r w:rsidR="00A05737">
        <w:t>,</w:t>
      </w:r>
      <w:r w:rsidR="00EE7F8E">
        <w:rPr>
          <w:rStyle w:val="FootnoteReference"/>
        </w:rPr>
        <w:footnoteReference w:id="4"/>
      </w:r>
      <w:r w:rsidR="00A05737">
        <w:t xml:space="preserve"> with the intention of </w:t>
      </w:r>
      <w:r w:rsidR="00962D4D">
        <w:t>“</w:t>
      </w:r>
      <w:r w:rsidR="00A05737">
        <w:t>endorsing his rule over Wessex as well as Ken</w:t>
      </w:r>
      <w:r w:rsidR="00A05737">
        <w:t>t”.</w:t>
      </w:r>
      <w:r w:rsidR="00A05737">
        <w:rPr>
          <w:rStyle w:val="FootnoteReference"/>
        </w:rPr>
        <w:footnoteReference w:id="5"/>
      </w:r>
    </w:p>
    <w:p w:rsidR="005B5396" w:rsidRDefault="00043C3A">
      <w:r>
        <w:t>The third paragraph</w:t>
      </w:r>
      <w:r w:rsidR="005B5396">
        <w:t xml:space="preserve"> details that following </w:t>
      </w:r>
      <w:proofErr w:type="spellStart"/>
      <w:r w:rsidR="006B3C01">
        <w:t>Æ</w:t>
      </w:r>
      <w:r w:rsidR="005B5396">
        <w:t>thelbert’s</w:t>
      </w:r>
      <w:proofErr w:type="spellEnd"/>
      <w:r w:rsidR="005B5396">
        <w:t xml:space="preserve"> death, Albert bade </w:t>
      </w:r>
      <w:r w:rsidR="006B3C01">
        <w:t xml:space="preserve">Æthelred </w:t>
      </w:r>
      <w:r w:rsidR="00C61244">
        <w:t xml:space="preserve">to divide the inherited lands between them, but he was told that the division would be too </w:t>
      </w:r>
      <w:r w:rsidR="00390ED4">
        <w:t>impractical,</w:t>
      </w:r>
      <w:r w:rsidR="00C61244">
        <w:t xml:space="preserve"> and Albert was understanding of this decision.</w:t>
      </w:r>
      <w:r w:rsidR="00F227FC">
        <w:t xml:space="preserve"> This is somewhat different from the analysis of </w:t>
      </w:r>
      <w:r w:rsidR="00F227FC">
        <w:lastRenderedPageBreak/>
        <w:t>Wormald, who states that “t</w:t>
      </w:r>
      <w:r w:rsidR="00F227FC">
        <w:t xml:space="preserve">he arrangement </w:t>
      </w:r>
      <w:r w:rsidR="00F227FC">
        <w:t xml:space="preserve">[temporary transmission of land ownership </w:t>
      </w:r>
      <w:r w:rsidR="00F227FC">
        <w:t xml:space="preserve">was repeated in </w:t>
      </w:r>
      <w:proofErr w:type="spellStart"/>
      <w:r w:rsidR="00F227FC">
        <w:rPr>
          <w:rStyle w:val="name"/>
        </w:rPr>
        <w:t>Æthelred's</w:t>
      </w:r>
      <w:proofErr w:type="spellEnd"/>
      <w:r w:rsidR="00F227FC">
        <w:t xml:space="preserve"> favour, though not without hesitation on </w:t>
      </w:r>
      <w:r w:rsidR="00F227FC">
        <w:rPr>
          <w:rStyle w:val="name"/>
        </w:rPr>
        <w:t>Alfred's</w:t>
      </w:r>
      <w:r w:rsidR="00F227FC">
        <w:t xml:space="preserve"> pa</w:t>
      </w:r>
      <w:r w:rsidR="00F227FC">
        <w:t>rt”.</w:t>
      </w:r>
      <w:r w:rsidR="00F227FC">
        <w:rPr>
          <w:rStyle w:val="FootnoteReference"/>
        </w:rPr>
        <w:footnoteReference w:id="6"/>
      </w:r>
    </w:p>
    <w:p w:rsidR="00205354" w:rsidRDefault="00205354">
      <w:r>
        <w:t xml:space="preserve">The fourth paragraph details their discussion </w:t>
      </w:r>
      <w:r w:rsidR="00390ED4">
        <w:t xml:space="preserve">about the need to support their own children financially, as they had themselves received support and decisions and promises were made with witnesses. </w:t>
      </w:r>
    </w:p>
    <w:p w:rsidR="00390ED4" w:rsidRDefault="00390ED4">
      <w:r>
        <w:t xml:space="preserve">The fifth and final paragraph details the death of </w:t>
      </w:r>
      <w:proofErr w:type="spellStart"/>
      <w:r w:rsidR="006B3C01">
        <w:t>Æthelred</w:t>
      </w:r>
      <w:proofErr w:type="spellEnd"/>
      <w:r w:rsidR="006B3C01">
        <w:t xml:space="preserve"> </w:t>
      </w:r>
      <w:r>
        <w:t xml:space="preserve">and Alfred’s legal claim to the lands that were inherited, including the reading of </w:t>
      </w:r>
      <w:proofErr w:type="spellStart"/>
      <w:r w:rsidR="006B3C01">
        <w:t>Æthelred</w:t>
      </w:r>
      <w:r>
        <w:t>’s</w:t>
      </w:r>
      <w:proofErr w:type="spellEnd"/>
      <w:r>
        <w:t xml:space="preserve"> will</w:t>
      </w:r>
      <w:r w:rsidR="00DE194B">
        <w:t xml:space="preserve"> and the explicit mention that Alfred knew of no conflicting evidence</w:t>
      </w:r>
      <w:r>
        <w:t xml:space="preserve">. Alfred declared that no ill will towards those who spoke against him, and the West-Saxon nobles in attendance declared that he was the rightful heir. </w:t>
      </w:r>
      <w:r w:rsidR="006B3C01">
        <w:t>Wormald describes a</w:t>
      </w:r>
      <w:r w:rsidR="006B3C01">
        <w:t xml:space="preserve"> </w:t>
      </w:r>
      <w:r w:rsidR="006B3C01">
        <w:t>“</w:t>
      </w:r>
      <w:r w:rsidR="006B3C01">
        <w:t xml:space="preserve">complex scheme in </w:t>
      </w:r>
      <w:proofErr w:type="spellStart"/>
      <w:r w:rsidR="006B3C01">
        <w:rPr>
          <w:rStyle w:val="name"/>
        </w:rPr>
        <w:t>Æthelwulf</w:t>
      </w:r>
      <w:r w:rsidR="006B3C01">
        <w:t>’s</w:t>
      </w:r>
      <w:proofErr w:type="spellEnd"/>
      <w:r w:rsidR="006B3C01">
        <w:t xml:space="preserve"> </w:t>
      </w:r>
      <w:r w:rsidR="006B3C01">
        <w:t xml:space="preserve">will as relayed by </w:t>
      </w:r>
      <w:r w:rsidR="006B3C01">
        <w:rPr>
          <w:rStyle w:val="name"/>
        </w:rPr>
        <w:t>Alfred</w:t>
      </w:r>
      <w:r w:rsidR="006B3C01">
        <w:rPr>
          <w:rStyle w:val="name"/>
        </w:rPr>
        <w:t>’</w:t>
      </w:r>
      <w:r w:rsidR="006B3C01">
        <w:rPr>
          <w:rStyle w:val="name"/>
        </w:rPr>
        <w:t>s</w:t>
      </w:r>
      <w:r w:rsidR="006B3C01">
        <w:rPr>
          <w:rStyle w:val="name"/>
        </w:rPr>
        <w:t>”</w:t>
      </w:r>
      <w:r w:rsidR="006B3C01">
        <w:t xml:space="preserve"> </w:t>
      </w:r>
      <w:r w:rsidR="006B3C01">
        <w:t>to bestow “</w:t>
      </w:r>
      <w:r w:rsidR="006B3C01">
        <w:t xml:space="preserve">his younger sons enough of the land </w:t>
      </w:r>
      <w:r w:rsidR="006B3C01">
        <w:t>[...]</w:t>
      </w:r>
      <w:r w:rsidR="006B3C01">
        <w:t xml:space="preserve"> to maintain them in strength and style</w:t>
      </w:r>
      <w:r w:rsidR="006B3C01">
        <w:t>,”</w:t>
      </w:r>
      <w:r w:rsidR="006B3C01">
        <w:rPr>
          <w:rStyle w:val="FootnoteReference"/>
        </w:rPr>
        <w:footnoteReference w:id="7"/>
      </w:r>
      <w:r w:rsidR="006B3C01">
        <w:t xml:space="preserve"> so </w:t>
      </w:r>
      <w:r w:rsidR="00313F9D">
        <w:t>the detail and precision seem to reflect this</w:t>
      </w:r>
      <w:r w:rsidR="00C3228D">
        <w:t xml:space="preserve"> and in turn </w:t>
      </w:r>
      <w:proofErr w:type="spellStart"/>
      <w:r w:rsidR="00C3228D">
        <w:t>Æthelwulf’s</w:t>
      </w:r>
      <w:proofErr w:type="spellEnd"/>
      <w:r w:rsidR="00C3228D">
        <w:t xml:space="preserve"> desire to protect his legacy. </w:t>
      </w:r>
      <w:r w:rsidR="00204856">
        <w:t>The meticulousness of the history of inheritance possibly is demonstrative of Alfred’s history as a scholar</w:t>
      </w:r>
      <w:r w:rsidR="0030498A">
        <w:t xml:space="preserve"> as well as a documentation of legitimacy. </w:t>
      </w:r>
      <w:r w:rsidR="00204856">
        <w:t xml:space="preserve"> </w:t>
      </w:r>
    </w:p>
    <w:p w:rsidR="00275044" w:rsidRDefault="00275044" w:rsidP="00B764D0">
      <w:r>
        <w:t>The repeated references to West-Saxon Nobles reflect the fact that under Anglo-Saxon law, “t</w:t>
      </w:r>
      <w:r>
        <w:t>he wills were the oral declarations before witnesses; the writings were merely evidentiary</w:t>
      </w:r>
      <w:r>
        <w:t>”</w:t>
      </w:r>
      <w:r w:rsidR="00FB3722">
        <w:t>.</w:t>
      </w:r>
      <w:r>
        <w:rPr>
          <w:rStyle w:val="FootnoteReference"/>
        </w:rPr>
        <w:footnoteReference w:id="8"/>
      </w:r>
      <w:r w:rsidR="00FB3722">
        <w:t xml:space="preserve"> Interestingly, these nobles are not named as one may expect, supporting the document as a sort of summary of events rather than a legal document itself.</w:t>
      </w:r>
      <w:r w:rsidR="002E6AFE">
        <w:t xml:space="preserve"> The</w:t>
      </w:r>
      <w:r w:rsidR="00B764D0">
        <w:t xml:space="preserve"> emphasis on the presence of the </w:t>
      </w:r>
      <w:r w:rsidR="00B764D0">
        <w:rPr>
          <w:i/>
        </w:rPr>
        <w:t>Witan</w:t>
      </w:r>
      <w:r w:rsidR="00B764D0">
        <w:t xml:space="preserve"> is an emphasis on legitimacy “</w:t>
      </w:r>
      <w:r w:rsidR="00B764D0">
        <w:t>suggesting that his evidence</w:t>
      </w:r>
      <w:r w:rsidR="00B764D0">
        <w:t xml:space="preserve"> </w:t>
      </w:r>
      <w:r w:rsidR="00B764D0">
        <w:t>was given during the formal hearing of a dispute</w:t>
      </w:r>
      <w:r w:rsidR="00B764D0">
        <w:t>”;</w:t>
      </w:r>
      <w:r w:rsidR="00B764D0">
        <w:rPr>
          <w:rStyle w:val="FootnoteReference"/>
        </w:rPr>
        <w:footnoteReference w:id="9"/>
      </w:r>
      <w:r w:rsidR="002E6AFE">
        <w:t xml:space="preserve"> </w:t>
      </w:r>
      <w:r w:rsidR="00B764D0">
        <w:t>challenges to his kingship were coming from multiple directions, and the need to document that everything was done ‘properly’ is representative of the need for a show of security</w:t>
      </w:r>
      <w:r w:rsidR="00E0600E">
        <w:t>.</w:t>
      </w:r>
    </w:p>
    <w:p w:rsidR="006B3C01" w:rsidRDefault="006B3C01" w:rsidP="006B3C01">
      <w:pPr>
        <w:pStyle w:val="Heading2"/>
      </w:pPr>
      <w:r>
        <w:t>The Will Proper</w:t>
      </w:r>
    </w:p>
    <w:p w:rsidR="004B28CE" w:rsidRDefault="004B28CE" w:rsidP="000F5A68">
      <w:r>
        <w:t>The will proper begins with the division of “book-lands”, that is, lands which he was at liberty to divide and pass on freely</w:t>
      </w:r>
      <w:r w:rsidR="00A922B9">
        <w:t>.</w:t>
      </w:r>
      <w:r>
        <w:rPr>
          <w:rStyle w:val="FootnoteReference"/>
        </w:rPr>
        <w:footnoteReference w:id="10"/>
      </w:r>
      <w:r w:rsidR="00A922B9">
        <w:t xml:space="preserve"> </w:t>
      </w:r>
      <w:r w:rsidR="00A922B9">
        <w:t xml:space="preserve">“An estate of </w:t>
      </w:r>
      <w:proofErr w:type="spellStart"/>
      <w:r w:rsidR="00A922B9">
        <w:t>bookland</w:t>
      </w:r>
      <w:proofErr w:type="spellEnd"/>
      <w:r w:rsidR="00A922B9">
        <w:t>, once created, could be given or sold to another person</w:t>
      </w:r>
      <w:r w:rsidR="00A922B9">
        <w:t>”, rendering them enormously valuable.</w:t>
      </w:r>
      <w:r w:rsidR="00A922B9">
        <w:rPr>
          <w:rStyle w:val="FootnoteReference"/>
        </w:rPr>
        <w:footnoteReference w:id="11"/>
      </w:r>
      <w:r w:rsidR="00115FFD">
        <w:t xml:space="preserve"> This is divided largely between immediate family, first sons, then daughters, then other family members and lastly to close allies and then members of the church.</w:t>
      </w:r>
      <w:r w:rsidR="00835431">
        <w:t xml:space="preserve"> The distribution of land, including his inherited land, is markedly unequal, favouring his sons, almost certainly to increase their status and therefore “</w:t>
      </w:r>
      <w:proofErr w:type="spellStart"/>
      <w:r w:rsidR="00835431">
        <w:t>throneworthiness</w:t>
      </w:r>
      <w:proofErr w:type="spellEnd"/>
      <w:r w:rsidR="00835431">
        <w:t>”.</w:t>
      </w:r>
      <w:r w:rsidR="00835431">
        <w:rPr>
          <w:rStyle w:val="FootnoteReference"/>
        </w:rPr>
        <w:footnoteReference w:id="12"/>
      </w:r>
    </w:p>
    <w:p w:rsidR="006A4CB7" w:rsidRDefault="006A4CB7" w:rsidP="004B28CE">
      <w:r>
        <w:t>This is followed by the division of his monetary wealth</w:t>
      </w:r>
      <w:r w:rsidR="00600CB5">
        <w:t>, with a disclaimer that if anything be left then his aldermen and ministers are to divide who they see fit.</w:t>
      </w:r>
    </w:p>
    <w:p w:rsidR="008B026F" w:rsidRDefault="009126ED" w:rsidP="008B026F">
      <w:r>
        <w:t>Alfred makes explicit that he has had all prior versions of his will that he could recover, and that if any other is found “let it stand for nothing”.</w:t>
      </w:r>
      <w:r>
        <w:rPr>
          <w:rStyle w:val="FootnoteReference"/>
        </w:rPr>
        <w:footnoteReference w:id="13"/>
      </w:r>
      <w:r w:rsidR="00510B0E">
        <w:t xml:space="preserve"> </w:t>
      </w:r>
      <w:r w:rsidR="008B026F">
        <w:t xml:space="preserve">Anglo-Saxon written evidential wills were </w:t>
      </w:r>
      <w:r w:rsidR="008B026F">
        <w:lastRenderedPageBreak/>
        <w:t>typically written in duplicate or triplicate and one “</w:t>
      </w:r>
      <w:r w:rsidR="008B026F">
        <w:t>copy was</w:t>
      </w:r>
      <w:r w:rsidR="008B026F">
        <w:t xml:space="preserve"> </w:t>
      </w:r>
      <w:r w:rsidR="008B026F">
        <w:t>always held by the donor, while the two remaining copies were</w:t>
      </w:r>
      <w:r w:rsidR="008B026F">
        <w:t xml:space="preserve"> </w:t>
      </w:r>
      <w:r w:rsidR="008B026F">
        <w:t xml:space="preserve">held by two of the principal </w:t>
      </w:r>
      <w:proofErr w:type="spellStart"/>
      <w:r w:rsidR="008B026F">
        <w:t>donees</w:t>
      </w:r>
      <w:proofErr w:type="spellEnd"/>
      <w:r w:rsidR="008B026F">
        <w:t>”</w:t>
      </w:r>
      <w:r w:rsidR="008B026F">
        <w:rPr>
          <w:rStyle w:val="FootnoteReference"/>
        </w:rPr>
        <w:footnoteReference w:id="14"/>
      </w:r>
    </w:p>
    <w:p w:rsidR="009126ED" w:rsidRDefault="00510B0E" w:rsidP="009126ED">
      <w:r>
        <w:t xml:space="preserve">This is followed by a request that his father’s will be </w:t>
      </w:r>
      <w:proofErr w:type="gramStart"/>
      <w:r>
        <w:t>taken into account</w:t>
      </w:r>
      <w:proofErr w:type="gramEnd"/>
      <w:r>
        <w:t xml:space="preserve"> and finally fulfilled, and a request that his relatives repay any debts he may have. </w:t>
      </w:r>
    </w:p>
    <w:p w:rsidR="0083745F" w:rsidRDefault="007B7C1B" w:rsidP="009126ED">
      <w:r>
        <w:t>He then requests that the men who have inherited the book-land keep in in the family</w:t>
      </w:r>
      <w:r w:rsidR="00A80866">
        <w:t xml:space="preserve">, excepting in cases where </w:t>
      </w:r>
      <w:r w:rsidR="00986B10">
        <w:t>land inherited from his grandfather</w:t>
      </w:r>
      <w:r w:rsidR="00A80866">
        <w:t xml:space="preserve"> be passed to a member of the family who marries</w:t>
      </w:r>
      <w:r w:rsidR="004B7644">
        <w:t xml:space="preserve">; </w:t>
      </w:r>
      <w:r w:rsidR="00FB2148">
        <w:t>his grandfather “ha</w:t>
      </w:r>
      <w:r w:rsidR="00986B10">
        <w:t>th</w:t>
      </w:r>
      <w:r w:rsidR="00FB2148">
        <w:t xml:space="preserve"> bequeathed his Land to the Spear-side, and not to the Spindle-side”.</w:t>
      </w:r>
      <w:r w:rsidR="00FB2148">
        <w:rPr>
          <w:rStyle w:val="FootnoteReference"/>
        </w:rPr>
        <w:footnoteReference w:id="15"/>
      </w:r>
      <w:r w:rsidR="00986B10">
        <w:t xml:space="preserve"> </w:t>
      </w:r>
      <w:r w:rsidR="00EE14D6">
        <w:t>While Alfred does leave land to women, he stipulates that u</w:t>
      </w:r>
      <w:r w:rsidR="00986B10">
        <w:t>pon marriage, the land is to be returned to Alfred’s relations</w:t>
      </w:r>
      <w:r w:rsidR="00EE14D6">
        <w:t xml:space="preserve"> or the married-into families pay for it.</w:t>
      </w:r>
    </w:p>
    <w:p w:rsidR="007B7C1B" w:rsidRPr="009126ED" w:rsidRDefault="0083745F" w:rsidP="009126ED">
      <w:r>
        <w:t xml:space="preserve">The will closes with a request that his relatives do not obstruct his will, and he gives the people of </w:t>
      </w:r>
      <w:proofErr w:type="spellStart"/>
      <w:r>
        <w:t>Domerha</w:t>
      </w:r>
      <w:r w:rsidR="00B86C5A">
        <w:t>m</w:t>
      </w:r>
      <w:proofErr w:type="spellEnd"/>
      <w:r w:rsidR="00B86C5A">
        <w:t xml:space="preserve"> the right to leave freely or remain under the lordship of the area, of their own free will.</w:t>
      </w:r>
    </w:p>
    <w:p w:rsidR="005B5396" w:rsidRDefault="00C30077" w:rsidP="00C30077">
      <w:pPr>
        <w:pStyle w:val="Heading1"/>
      </w:pPr>
      <w:r>
        <w:t>Primary Sources</w:t>
      </w:r>
    </w:p>
    <w:p w:rsidR="0010174D" w:rsidRPr="0010174D" w:rsidRDefault="0010174D" w:rsidP="0010174D">
      <w:r w:rsidRPr="0010174D">
        <w:rPr>
          <w:i/>
        </w:rPr>
        <w:t xml:space="preserve">Liber de </w:t>
      </w:r>
      <w:proofErr w:type="spellStart"/>
      <w:r w:rsidRPr="0010174D">
        <w:rPr>
          <w:i/>
        </w:rPr>
        <w:t>Hyda</w:t>
      </w:r>
      <w:proofErr w:type="spellEnd"/>
      <w:r w:rsidRPr="0010174D">
        <w:rPr>
          <w:i/>
        </w:rPr>
        <w:t xml:space="preserve"> or Liber </w:t>
      </w:r>
      <w:proofErr w:type="spellStart"/>
      <w:r w:rsidRPr="0010174D">
        <w:rPr>
          <w:i/>
        </w:rPr>
        <w:t>Abbatiae</w:t>
      </w:r>
      <w:proofErr w:type="spellEnd"/>
      <w:r w:rsidRPr="0010174D">
        <w:rPr>
          <w:i/>
        </w:rPr>
        <w:t>: a chronicle-cartulary of Hyde Abbey, AD 455-1023, compiled from earlier sources</w:t>
      </w:r>
      <w:r>
        <w:t xml:space="preserve">, London, </w:t>
      </w:r>
      <w:r w:rsidRPr="0010174D">
        <w:t>The</w:t>
      </w:r>
      <w:r>
        <w:t xml:space="preserve"> British Library,</w:t>
      </w:r>
      <w:r w:rsidRPr="0010174D">
        <w:t xml:space="preserve"> </w:t>
      </w:r>
      <w:r w:rsidRPr="0010174D">
        <w:t>Add MS 82931</w:t>
      </w:r>
    </w:p>
    <w:p w:rsidR="00C30077" w:rsidRDefault="00C30077" w:rsidP="00C30077">
      <w:pPr>
        <w:pStyle w:val="Heading1"/>
      </w:pPr>
      <w:r>
        <w:t>References</w:t>
      </w:r>
    </w:p>
    <w:p w:rsidR="00835431" w:rsidRPr="00835431" w:rsidRDefault="0010174D" w:rsidP="00835431">
      <w:pPr>
        <w:pStyle w:val="Bibliography"/>
        <w:rPr>
          <w:rFonts w:ascii="Cambria" w:hAnsi="Cambria"/>
        </w:rPr>
      </w:pPr>
      <w:r>
        <w:fldChar w:fldCharType="begin"/>
      </w:r>
      <w:r>
        <w:instrText xml:space="preserve"> ADDIN ZOTERO_BIBL {"uncited":[],"omitted":[],"custom":[]} CSL_BIBLIOGRAPHY </w:instrText>
      </w:r>
      <w:r>
        <w:fldChar w:fldCharType="separate"/>
      </w:r>
      <w:r w:rsidR="00835431" w:rsidRPr="00835431">
        <w:rPr>
          <w:rFonts w:ascii="Cambria" w:hAnsi="Cambria"/>
        </w:rPr>
        <w:t>‘</w:t>
      </w:r>
      <w:proofErr w:type="spellStart"/>
      <w:r w:rsidR="00835431" w:rsidRPr="00835431">
        <w:rPr>
          <w:rFonts w:ascii="Cambria" w:hAnsi="Cambria"/>
        </w:rPr>
        <w:t>Bookland</w:t>
      </w:r>
      <w:proofErr w:type="spellEnd"/>
      <w:r w:rsidR="00835431" w:rsidRPr="00835431">
        <w:rPr>
          <w:rFonts w:ascii="Cambria" w:hAnsi="Cambria"/>
        </w:rPr>
        <w:t xml:space="preserve"> - Hull Domesday Project’ &lt;http://www.domesdaybook.net/domesday-book/data-terminology/landholding/bookland&gt; [accessed 30 August 2019]</w:t>
      </w:r>
    </w:p>
    <w:p w:rsidR="00835431" w:rsidRPr="00835431" w:rsidRDefault="00835431" w:rsidP="00835431">
      <w:pPr>
        <w:pStyle w:val="Bibliography"/>
        <w:rPr>
          <w:rFonts w:ascii="Cambria" w:hAnsi="Cambria"/>
        </w:rPr>
      </w:pPr>
      <w:r w:rsidRPr="00835431">
        <w:rPr>
          <w:rFonts w:ascii="Cambria" w:hAnsi="Cambria"/>
        </w:rPr>
        <w:t xml:space="preserve">Manning, Owen, </w:t>
      </w:r>
      <w:proofErr w:type="spellStart"/>
      <w:r w:rsidRPr="00835431">
        <w:rPr>
          <w:rFonts w:ascii="Cambria" w:hAnsi="Cambria"/>
        </w:rPr>
        <w:t>tran</w:t>
      </w:r>
      <w:proofErr w:type="spellEnd"/>
      <w:r w:rsidRPr="00835431">
        <w:rPr>
          <w:rFonts w:ascii="Cambria" w:hAnsi="Cambria"/>
        </w:rPr>
        <w:t xml:space="preserve">., </w:t>
      </w:r>
      <w:r w:rsidRPr="00835431">
        <w:rPr>
          <w:rFonts w:ascii="Cambria" w:hAnsi="Cambria"/>
          <w:i/>
          <w:iCs/>
        </w:rPr>
        <w:t>The Will of King Alfred</w:t>
      </w:r>
      <w:r w:rsidRPr="00835431">
        <w:rPr>
          <w:rFonts w:ascii="Cambria" w:hAnsi="Cambria"/>
        </w:rPr>
        <w:t xml:space="preserve"> (Oxford: Clarendon Press, 1788)</w:t>
      </w:r>
    </w:p>
    <w:p w:rsidR="00835431" w:rsidRPr="00835431" w:rsidRDefault="00835431" w:rsidP="00835431">
      <w:pPr>
        <w:pStyle w:val="Bibliography"/>
        <w:rPr>
          <w:rFonts w:ascii="Cambria" w:hAnsi="Cambria"/>
        </w:rPr>
      </w:pPr>
      <w:r w:rsidRPr="00835431">
        <w:rPr>
          <w:rFonts w:ascii="Cambria" w:hAnsi="Cambria"/>
        </w:rPr>
        <w:t xml:space="preserve">———, </w:t>
      </w:r>
      <w:proofErr w:type="spellStart"/>
      <w:r w:rsidRPr="00835431">
        <w:rPr>
          <w:rFonts w:ascii="Cambria" w:hAnsi="Cambria"/>
        </w:rPr>
        <w:t>tran</w:t>
      </w:r>
      <w:proofErr w:type="spellEnd"/>
      <w:r w:rsidRPr="00835431">
        <w:rPr>
          <w:rFonts w:ascii="Cambria" w:hAnsi="Cambria"/>
        </w:rPr>
        <w:t xml:space="preserve">., </w:t>
      </w:r>
      <w:r w:rsidRPr="00835431">
        <w:rPr>
          <w:rFonts w:ascii="Cambria" w:hAnsi="Cambria"/>
          <w:i/>
          <w:iCs/>
        </w:rPr>
        <w:t>The Will of King Alfred; Reprinted from the Oxford Ed. of 1788. With a Preface, and Additional Notes</w:t>
      </w:r>
      <w:r w:rsidRPr="00835431">
        <w:rPr>
          <w:rFonts w:ascii="Cambria" w:hAnsi="Cambria"/>
        </w:rPr>
        <w:t xml:space="preserve"> (London: W. Pickering, 1828)</w:t>
      </w:r>
    </w:p>
    <w:p w:rsidR="00835431" w:rsidRPr="00835431" w:rsidRDefault="00835431" w:rsidP="00835431">
      <w:pPr>
        <w:pStyle w:val="Bibliography"/>
        <w:rPr>
          <w:rFonts w:ascii="Cambria" w:hAnsi="Cambria"/>
        </w:rPr>
      </w:pPr>
      <w:r w:rsidRPr="00835431">
        <w:rPr>
          <w:rFonts w:ascii="Cambria" w:hAnsi="Cambria"/>
        </w:rPr>
        <w:t xml:space="preserve">Tollerton, Linda, </w:t>
      </w:r>
      <w:r w:rsidRPr="00835431">
        <w:rPr>
          <w:rFonts w:ascii="Cambria" w:hAnsi="Cambria"/>
          <w:i/>
          <w:iCs/>
        </w:rPr>
        <w:t>Wills and Will-Making in Anglo-Saxon England</w:t>
      </w:r>
      <w:r w:rsidRPr="00835431">
        <w:rPr>
          <w:rFonts w:ascii="Cambria" w:hAnsi="Cambria"/>
        </w:rPr>
        <w:t xml:space="preserve"> (Boydell Press: Woodbridge, </w:t>
      </w:r>
      <w:proofErr w:type="gramStart"/>
      <w:r w:rsidRPr="00835431">
        <w:rPr>
          <w:rFonts w:ascii="Cambria" w:hAnsi="Cambria"/>
        </w:rPr>
        <w:t>Suffolk :</w:t>
      </w:r>
      <w:proofErr w:type="gramEnd"/>
      <w:r w:rsidRPr="00835431">
        <w:rPr>
          <w:rFonts w:ascii="Cambria" w:hAnsi="Cambria"/>
        </w:rPr>
        <w:t xml:space="preserve"> York Medieval Press ; Rochester, N.Y, 2011)</w:t>
      </w:r>
    </w:p>
    <w:p w:rsidR="00835431" w:rsidRPr="00835431" w:rsidRDefault="00835431" w:rsidP="00835431">
      <w:pPr>
        <w:pStyle w:val="Bibliography"/>
        <w:rPr>
          <w:rFonts w:ascii="Cambria" w:hAnsi="Cambria"/>
        </w:rPr>
      </w:pPr>
      <w:proofErr w:type="spellStart"/>
      <w:r w:rsidRPr="00835431">
        <w:rPr>
          <w:rFonts w:ascii="Cambria" w:hAnsi="Cambria"/>
        </w:rPr>
        <w:t>Whitelock</w:t>
      </w:r>
      <w:proofErr w:type="spellEnd"/>
      <w:r w:rsidRPr="00835431">
        <w:rPr>
          <w:rFonts w:ascii="Cambria" w:hAnsi="Cambria"/>
        </w:rPr>
        <w:t xml:space="preserve">, Dorothy, ed., </w:t>
      </w:r>
      <w:r w:rsidRPr="00835431">
        <w:rPr>
          <w:rFonts w:ascii="Cambria" w:hAnsi="Cambria"/>
          <w:i/>
          <w:iCs/>
        </w:rPr>
        <w:t>Anglo-Saxon Wills</w:t>
      </w:r>
      <w:r w:rsidRPr="00835431">
        <w:rPr>
          <w:rFonts w:ascii="Cambria" w:hAnsi="Cambria"/>
        </w:rPr>
        <w:t xml:space="preserve">, Cambridge Studies in English Legal History, First paperback </w:t>
      </w:r>
      <w:proofErr w:type="gramStart"/>
      <w:r w:rsidRPr="00835431">
        <w:rPr>
          <w:rFonts w:ascii="Cambria" w:hAnsi="Cambria"/>
        </w:rPr>
        <w:t>edition ;</w:t>
      </w:r>
      <w:proofErr w:type="gramEnd"/>
      <w:r w:rsidRPr="00835431">
        <w:rPr>
          <w:rFonts w:ascii="Cambria" w:hAnsi="Cambria"/>
        </w:rPr>
        <w:t xml:space="preserve"> reprinted edition (Cambridge New York Melbourne Madrid Cape Town Singapore São Paulo Delhi Tokyo Mexico City: Cambridge University Press, 2011)</w:t>
      </w:r>
    </w:p>
    <w:p w:rsidR="00835431" w:rsidRPr="00835431" w:rsidRDefault="00835431" w:rsidP="00835431">
      <w:pPr>
        <w:pStyle w:val="Bibliography"/>
        <w:rPr>
          <w:rFonts w:ascii="Cambria" w:hAnsi="Cambria"/>
        </w:rPr>
      </w:pPr>
      <w:r w:rsidRPr="00835431">
        <w:rPr>
          <w:rFonts w:ascii="Cambria" w:hAnsi="Cambria"/>
        </w:rPr>
        <w:t xml:space="preserve">Wormald, Patrick, </w:t>
      </w:r>
      <w:r w:rsidRPr="00835431">
        <w:rPr>
          <w:rFonts w:ascii="Cambria" w:hAnsi="Cambria"/>
          <w:i/>
          <w:iCs/>
        </w:rPr>
        <w:t>Alfred [</w:t>
      </w:r>
      <w:proofErr w:type="spellStart"/>
      <w:r w:rsidRPr="00835431">
        <w:rPr>
          <w:rFonts w:ascii="Cambria" w:hAnsi="Cambria"/>
          <w:i/>
          <w:iCs/>
        </w:rPr>
        <w:t>Ælfred</w:t>
      </w:r>
      <w:proofErr w:type="spellEnd"/>
      <w:r w:rsidRPr="00835431">
        <w:rPr>
          <w:rFonts w:ascii="Cambria" w:hAnsi="Cambria"/>
          <w:i/>
          <w:iCs/>
        </w:rPr>
        <w:t>] (848/9–899), King of the West Saxons and of the Anglo-Saxons</w:t>
      </w:r>
      <w:r w:rsidRPr="00835431">
        <w:rPr>
          <w:rFonts w:ascii="Cambria" w:hAnsi="Cambria"/>
        </w:rPr>
        <w:t xml:space="preserve"> (Oxford University Press, 2006) &lt;https://www.oxforddnb.com/view/10.1093/ref:odnb/9780198614128.001.0001/odnb-9780198614128-e-183&gt;</w:t>
      </w:r>
    </w:p>
    <w:p w:rsidR="00C30077" w:rsidRPr="00C30077" w:rsidRDefault="0010174D" w:rsidP="008C61C4">
      <w:pPr>
        <w:pStyle w:val="Heading1"/>
      </w:pPr>
      <w:r>
        <w:lastRenderedPageBreak/>
        <w:fldChar w:fldCharType="end"/>
      </w:r>
      <w:r w:rsidR="00C30077">
        <w:t>Appendix: Images</w:t>
      </w:r>
    </w:p>
    <w:p w:rsidR="005B5396" w:rsidRDefault="005B5396" w:rsidP="005B5396">
      <w:pPr>
        <w:keepNext/>
      </w:pPr>
      <w:r>
        <w:rPr>
          <w:noProof/>
        </w:rPr>
        <w:drawing>
          <wp:inline distT="0" distB="0" distL="0" distR="0" wp14:anchorId="0133B93E" wp14:editId="2F650466">
            <wp:extent cx="5731510" cy="10172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017270"/>
                    </a:xfrm>
                    <a:prstGeom prst="rect">
                      <a:avLst/>
                    </a:prstGeom>
                  </pic:spPr>
                </pic:pic>
              </a:graphicData>
            </a:graphic>
          </wp:inline>
        </w:drawing>
      </w:r>
    </w:p>
    <w:p w:rsidR="005B5396" w:rsidRDefault="005B5396" w:rsidP="005B5396">
      <w:pPr>
        <w:pStyle w:val="Caption"/>
      </w:pPr>
      <w:r>
        <w:t xml:space="preserve">Figure </w:t>
      </w:r>
      <w:r w:rsidR="00E82C9E">
        <w:fldChar w:fldCharType="begin"/>
      </w:r>
      <w:r w:rsidR="00E82C9E">
        <w:instrText xml:space="preserve"> SEQ Figure \* ARABIC </w:instrText>
      </w:r>
      <w:r w:rsidR="00E82C9E">
        <w:fldChar w:fldCharType="separate"/>
      </w:r>
      <w:r w:rsidR="002946DB">
        <w:rPr>
          <w:noProof/>
        </w:rPr>
        <w:t>1</w:t>
      </w:r>
      <w:r w:rsidR="00E82C9E">
        <w:rPr>
          <w:noProof/>
        </w:rPr>
        <w:fldChar w:fldCharType="end"/>
      </w:r>
      <w:r>
        <w:t xml:space="preserve"> British Library </w:t>
      </w:r>
      <w:r w:rsidRPr="003C7CF6">
        <w:t>Add MS 82931</w:t>
      </w:r>
      <w:r>
        <w:t xml:space="preserve"> f.8v</w:t>
      </w:r>
    </w:p>
    <w:p w:rsidR="005B5396" w:rsidRDefault="005B5396" w:rsidP="005B5396">
      <w:pPr>
        <w:keepNext/>
      </w:pPr>
      <w:r>
        <w:rPr>
          <w:noProof/>
        </w:rPr>
        <w:drawing>
          <wp:inline distT="0" distB="0" distL="0" distR="0" wp14:anchorId="0FC46EA4" wp14:editId="7B967118">
            <wp:extent cx="4133850" cy="1104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33850" cy="1104900"/>
                    </a:xfrm>
                    <a:prstGeom prst="rect">
                      <a:avLst/>
                    </a:prstGeom>
                  </pic:spPr>
                </pic:pic>
              </a:graphicData>
            </a:graphic>
          </wp:inline>
        </w:drawing>
      </w:r>
    </w:p>
    <w:p w:rsidR="005B5396" w:rsidRDefault="005B5396" w:rsidP="005B5396">
      <w:pPr>
        <w:pStyle w:val="Caption"/>
      </w:pPr>
      <w:r>
        <w:t xml:space="preserve">Figure </w:t>
      </w:r>
      <w:r w:rsidR="00E82C9E">
        <w:fldChar w:fldCharType="begin"/>
      </w:r>
      <w:r w:rsidR="00E82C9E">
        <w:instrText xml:space="preserve"> SEQ Figure \* ARABIC </w:instrText>
      </w:r>
      <w:r w:rsidR="00E82C9E">
        <w:fldChar w:fldCharType="separate"/>
      </w:r>
      <w:r w:rsidR="002946DB">
        <w:rPr>
          <w:noProof/>
        </w:rPr>
        <w:t>2</w:t>
      </w:r>
      <w:r w:rsidR="00E82C9E">
        <w:rPr>
          <w:noProof/>
        </w:rPr>
        <w:fldChar w:fldCharType="end"/>
      </w:r>
      <w:r>
        <w:t xml:space="preserve"> </w:t>
      </w:r>
      <w:r w:rsidRPr="00AC420C">
        <w:t>The will of King Alfred</w:t>
      </w:r>
      <w:r w:rsidR="002946DB">
        <w:t xml:space="preserve"> </w:t>
      </w:r>
      <w:proofErr w:type="spellStart"/>
      <w:r w:rsidR="002946DB">
        <w:t>repring</w:t>
      </w:r>
      <w:proofErr w:type="spellEnd"/>
      <w:r>
        <w:t xml:space="preserve"> p. 2</w:t>
      </w:r>
    </w:p>
    <w:p w:rsidR="002946DB" w:rsidRDefault="002946DB" w:rsidP="002946DB">
      <w:pPr>
        <w:keepNext/>
      </w:pPr>
      <w:r>
        <w:rPr>
          <w:noProof/>
        </w:rPr>
        <w:drawing>
          <wp:inline distT="0" distB="0" distL="0" distR="0" wp14:anchorId="33DD0EF7" wp14:editId="4207ED4C">
            <wp:extent cx="4229100" cy="781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29100" cy="781050"/>
                    </a:xfrm>
                    <a:prstGeom prst="rect">
                      <a:avLst/>
                    </a:prstGeom>
                  </pic:spPr>
                </pic:pic>
              </a:graphicData>
            </a:graphic>
          </wp:inline>
        </w:drawing>
      </w:r>
    </w:p>
    <w:p w:rsidR="002946DB" w:rsidRDefault="002946DB" w:rsidP="002946DB">
      <w:pPr>
        <w:pStyle w:val="Caption"/>
      </w:pPr>
      <w:r>
        <w:t xml:space="preserve">Figure </w:t>
      </w:r>
      <w:r w:rsidR="00E82C9E">
        <w:fldChar w:fldCharType="begin"/>
      </w:r>
      <w:r w:rsidR="00E82C9E">
        <w:instrText xml:space="preserve"> SEQ Figure \* ARABIC </w:instrText>
      </w:r>
      <w:r w:rsidR="00E82C9E">
        <w:fldChar w:fldCharType="separate"/>
      </w:r>
      <w:r>
        <w:rPr>
          <w:noProof/>
        </w:rPr>
        <w:t>3</w:t>
      </w:r>
      <w:r w:rsidR="00E82C9E">
        <w:rPr>
          <w:noProof/>
        </w:rPr>
        <w:fldChar w:fldCharType="end"/>
      </w:r>
      <w:r>
        <w:t xml:space="preserve"> The Will of King Alfred 1788 edition, p. 6</w:t>
      </w:r>
    </w:p>
    <w:p w:rsidR="00B21141" w:rsidRPr="00EE7F8E" w:rsidRDefault="00B21141"/>
    <w:sectPr w:rsidR="00B21141" w:rsidRPr="00EE7F8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2C9E" w:rsidRDefault="00E82C9E" w:rsidP="00B21141">
      <w:pPr>
        <w:spacing w:after="0" w:line="240" w:lineRule="auto"/>
      </w:pPr>
      <w:r>
        <w:separator/>
      </w:r>
    </w:p>
  </w:endnote>
  <w:endnote w:type="continuationSeparator" w:id="0">
    <w:p w:rsidR="00E82C9E" w:rsidRDefault="00E82C9E" w:rsidP="00B21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141" w:rsidRDefault="00B21141" w:rsidP="00B21141">
    <w:pPr>
      <w:pStyle w:val="Footer"/>
      <w:jc w:val="right"/>
    </w:pPr>
    <w:r>
      <w:t>Gulliver Methuen-Campbell</w:t>
    </w:r>
    <w:r>
      <w:tab/>
    </w:r>
    <w:r>
      <w:tab/>
    </w:r>
    <w:sdt>
      <w:sdtPr>
        <w:id w:val="-81403311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2C9E" w:rsidRDefault="00E82C9E" w:rsidP="00B21141">
      <w:pPr>
        <w:spacing w:after="0" w:line="240" w:lineRule="auto"/>
      </w:pPr>
      <w:r>
        <w:separator/>
      </w:r>
    </w:p>
  </w:footnote>
  <w:footnote w:type="continuationSeparator" w:id="0">
    <w:p w:rsidR="00E82C9E" w:rsidRDefault="00E82C9E" w:rsidP="00B21141">
      <w:pPr>
        <w:spacing w:after="0" w:line="240" w:lineRule="auto"/>
      </w:pPr>
      <w:r>
        <w:continuationSeparator/>
      </w:r>
    </w:p>
  </w:footnote>
  <w:footnote w:id="1">
    <w:p w:rsidR="002946DB" w:rsidRDefault="002946DB">
      <w:pPr>
        <w:pStyle w:val="FootnoteText"/>
      </w:pPr>
      <w:r>
        <w:rPr>
          <w:rStyle w:val="FootnoteReference"/>
        </w:rPr>
        <w:footnoteRef/>
      </w:r>
      <w:r>
        <w:t xml:space="preserve"> </w:t>
      </w:r>
      <w:r>
        <w:fldChar w:fldCharType="begin"/>
      </w:r>
      <w:r w:rsidR="0010174D">
        <w:instrText xml:space="preserve"> ADDIN ZOTERO_ITEM CSL_CITATION {"citationID":"WrvAhWl6","properties":{"formattedCitation":"{\\i{}The Will of King Alfred}, trans. by Owen Manning (Oxford: Clarendon Press, 1788), p. i.","plainCitation":"The Will of King Alfred, trans. by Owen Manning (Oxford: Clarendon Press, 1788), p. i.","noteIndex":1},"citationItems":[{"id":755,"uris":["http://zotero.org/users/685164/items/AAS9S46E"],"uri":["http://zotero.org/users/685164/items/AAS9S46E"],"itemData":{"id":755,"type":"book","title":"The will of King Alfred","publisher":"Clarendon Press","publisher-place":"Oxford","event-place":"Oxford","translator":[{"family":"Manning","given":"Owen"}],"issued":{"date-parts":[["1788"]]}},"locator":"i"}],"schema":"https://github.com/citation-style-language/schema/raw/master/csl-citation.json"} </w:instrText>
      </w:r>
      <w:r>
        <w:fldChar w:fldCharType="separate"/>
      </w:r>
      <w:r w:rsidR="0010174D" w:rsidRPr="0010174D">
        <w:rPr>
          <w:rFonts w:ascii="Cambria" w:hAnsi="Cambria" w:cs="Times New Roman"/>
          <w:i/>
          <w:iCs/>
          <w:szCs w:val="24"/>
        </w:rPr>
        <w:t>The Will of King Alfred</w:t>
      </w:r>
      <w:r w:rsidR="0010174D" w:rsidRPr="0010174D">
        <w:rPr>
          <w:rFonts w:ascii="Cambria" w:hAnsi="Cambria" w:cs="Times New Roman"/>
          <w:szCs w:val="24"/>
        </w:rPr>
        <w:t xml:space="preserve">, trans. by Owen Manning (Oxford: Clarendon Press, 1788), p. </w:t>
      </w:r>
      <w:proofErr w:type="spellStart"/>
      <w:r w:rsidR="0010174D" w:rsidRPr="0010174D">
        <w:rPr>
          <w:rFonts w:ascii="Cambria" w:hAnsi="Cambria" w:cs="Times New Roman"/>
          <w:szCs w:val="24"/>
        </w:rPr>
        <w:t>i</w:t>
      </w:r>
      <w:proofErr w:type="spellEnd"/>
      <w:r w:rsidR="0010174D" w:rsidRPr="0010174D">
        <w:rPr>
          <w:rFonts w:ascii="Cambria" w:hAnsi="Cambria" w:cs="Times New Roman"/>
          <w:szCs w:val="24"/>
        </w:rPr>
        <w:t>.</w:t>
      </w:r>
      <w:r>
        <w:fldChar w:fldCharType="end"/>
      </w:r>
    </w:p>
  </w:footnote>
  <w:footnote w:id="2">
    <w:p w:rsidR="005267A2" w:rsidRDefault="005267A2">
      <w:pPr>
        <w:pStyle w:val="FootnoteText"/>
      </w:pPr>
      <w:r>
        <w:rPr>
          <w:rStyle w:val="FootnoteReference"/>
        </w:rPr>
        <w:footnoteRef/>
      </w:r>
      <w:r>
        <w:t xml:space="preserve"> </w:t>
      </w:r>
      <w:r>
        <w:fldChar w:fldCharType="begin"/>
      </w:r>
      <w:r w:rsidR="0010174D">
        <w:instrText xml:space="preserve"> ADDIN ZOTERO_ITEM CSL_CITATION {"citationID":"ljEX7twe","properties":{"formattedCitation":"{\\i{}The Will of King Alfred; Reprinted from the Oxford Ed. of 1788. With a Preface, and Additional Notes}, trans. by Owen Manning (London: W. Pickering, 1828), p. 3.","plainCitation":"The Will of King Alfred; Reprinted from the Oxford Ed. of 1788. With a Preface, and Additional Notes, trans. by Owen Manning (London: W. Pickering, 1828), p. 3.","noteIndex":2},"citationItems":[{"id":751,"uris":["http://zotero.org/users/685164/items/PGIH7734"],"uri":["http://zotero.org/users/685164/items/PGIH7734"],"itemData":{"id":751,"type":"book","title":"The will of King Alfred; reprinted from the Oxford ed. of 1788. With a preface, and additional notes","publisher":"W. Pickering","publisher-place":"London","event-place":"London","translator":[{"family":"Manning","given":"Owen"}],"issued":{"date-parts":[["1828"]]}},"locator":"3"}],"schema":"https://github.com/citation-style-language/schema/raw/master/csl-citation.json"} </w:instrText>
      </w:r>
      <w:r>
        <w:fldChar w:fldCharType="separate"/>
      </w:r>
      <w:r w:rsidR="0010174D" w:rsidRPr="0010174D">
        <w:rPr>
          <w:rFonts w:ascii="Cambria" w:hAnsi="Cambria" w:cs="Times New Roman"/>
          <w:i/>
          <w:iCs/>
          <w:szCs w:val="24"/>
        </w:rPr>
        <w:t>The Will of King Alfred; Reprinted from the Oxford Ed. of 1788. With a Preface, and Additional Notes</w:t>
      </w:r>
      <w:r w:rsidR="0010174D" w:rsidRPr="0010174D">
        <w:rPr>
          <w:rFonts w:ascii="Cambria" w:hAnsi="Cambria" w:cs="Times New Roman"/>
          <w:szCs w:val="24"/>
        </w:rPr>
        <w:t>, trans. by Owen Manning (London: W. Pickering, 1828), p. 3.</w:t>
      </w:r>
      <w:r>
        <w:fldChar w:fldCharType="end"/>
      </w:r>
    </w:p>
  </w:footnote>
  <w:footnote w:id="3">
    <w:p w:rsidR="00CE343A" w:rsidRDefault="00CE343A">
      <w:pPr>
        <w:pStyle w:val="FootnoteText"/>
      </w:pPr>
      <w:r>
        <w:rPr>
          <w:rStyle w:val="FootnoteReference"/>
        </w:rPr>
        <w:footnoteRef/>
      </w:r>
      <w:r>
        <w:t xml:space="preserve"> </w:t>
      </w:r>
      <w:r>
        <w:fldChar w:fldCharType="begin"/>
      </w:r>
      <w:r>
        <w:instrText xml:space="preserve"> ADDIN ZOTERO_ITEM CSL_CITATION {"citationID":"pvl4oEA7","properties":{"formattedCitation":"{\\i{}Anglo-Saxon Wills}, ed. by Dorothy Whitelock, Cambridge Studies in English Legal History, First paperback edition ; reprinted edition (Cambridge New York Melbourne Madrid Cape Town Singapore S\\uc0\\u227{}o Paulo Delhi Tokyo Mexico City: Cambridge University Press, 2011), p. xxii.","plainCitation":"Anglo-Saxon Wills, ed. by Dorothy Whitelock, Cambridge Studies in English Legal History, First paperback edition ; reprinted edition (Cambridge New York Melbourne Madrid Cape Town Singapore São Paulo Delhi Tokyo Mexico City: Cambridge University Press, 2011), p. xxii.","noteIndex":3},"citationItems":[{"id":759,"uris":["http://zotero.org/users/685164/items/FWX9IXXF"],"uri":["http://zotero.org/users/685164/items/FWX9IXXF"],"itemData":{"id":759,"type":"book","title":"Anglo-saxon wills","collection-title":"Cambridge studies in English legal history","publisher":"Cambridge University Press","publisher-place":"Cambridge New York Melbourne Madrid Cape Town Singapore São Paulo Delhi Tokyo Mexico City","number-of-pages":"244","edition":"First paperback edition ; reprinted edition","source":"Gemeinsamer Bibliotheksverbund ISBN","event-place":"Cambridge New York Melbourne Madrid Cape Town Singapore São Paulo Delhi Tokyo Mexico City","abstract":"\"This volume, first published in 1930, contains the original texts, with translations and commentaries, of the great majority of surviving Anglo-Saxon wills drawn up in the tenth and eleventh centuries. The documents are of special interest for the light they cast on the families and connections of those who made the wills, and on the ways in which the testators managed the disposition of their lands and other possessions. The reissue of Professor Whitelock's book is complemented by reissues of Florence Harmer's Select English Historical Documents of the Ninth and Tenth Centuries (1914), and of Agnes Jane Robertson's Anglo-Saxon Charters (1939, 2nd edition 1956). Between them, the three volumes represent the surviving corpus of Anglo-Saxon documents in the vernacular, to set beside the corpus of royal diplomas (in Latin), and the corpus of Anglo-Saxon legislation, and to serve at the same time as evidence of the uses of written English in the Anglo-Saxon period\"--Page 4 of cover","ISBN":"978-1-107-40221-8","note":"OCLC: 714728179","language":"eng","editor":[{"family":"Whitelock","given":"Dorothy"}],"issued":{"date-parts":[["2011"]]}},"locator":"xxii"}],"schema":"https://github.com/citation-style-language/schema/raw/master/csl-citation.json"} </w:instrText>
      </w:r>
      <w:r>
        <w:fldChar w:fldCharType="separate"/>
      </w:r>
      <w:r w:rsidRPr="00CE343A">
        <w:rPr>
          <w:rFonts w:ascii="Cambria" w:hAnsi="Cambria" w:cs="Times New Roman"/>
          <w:i/>
          <w:iCs/>
          <w:szCs w:val="24"/>
        </w:rPr>
        <w:t>Anglo-Saxon Wills</w:t>
      </w:r>
      <w:r w:rsidRPr="00CE343A">
        <w:rPr>
          <w:rFonts w:ascii="Cambria" w:hAnsi="Cambria" w:cs="Times New Roman"/>
          <w:szCs w:val="24"/>
        </w:rPr>
        <w:t xml:space="preserve">, ed. by Dorothy </w:t>
      </w:r>
      <w:proofErr w:type="spellStart"/>
      <w:r w:rsidRPr="00CE343A">
        <w:rPr>
          <w:rFonts w:ascii="Cambria" w:hAnsi="Cambria" w:cs="Times New Roman"/>
          <w:szCs w:val="24"/>
        </w:rPr>
        <w:t>Whitelock</w:t>
      </w:r>
      <w:proofErr w:type="spellEnd"/>
      <w:r w:rsidRPr="00CE343A">
        <w:rPr>
          <w:rFonts w:ascii="Cambria" w:hAnsi="Cambria" w:cs="Times New Roman"/>
          <w:szCs w:val="24"/>
        </w:rPr>
        <w:t xml:space="preserve">, Cambridge Studies in English Legal History, First paperback </w:t>
      </w:r>
      <w:proofErr w:type="gramStart"/>
      <w:r w:rsidRPr="00CE343A">
        <w:rPr>
          <w:rFonts w:ascii="Cambria" w:hAnsi="Cambria" w:cs="Times New Roman"/>
          <w:szCs w:val="24"/>
        </w:rPr>
        <w:t>edition ;</w:t>
      </w:r>
      <w:proofErr w:type="gramEnd"/>
      <w:r w:rsidRPr="00CE343A">
        <w:rPr>
          <w:rFonts w:ascii="Cambria" w:hAnsi="Cambria" w:cs="Times New Roman"/>
          <w:szCs w:val="24"/>
        </w:rPr>
        <w:t xml:space="preserve"> reprinted edition (Cambridge New York Melbourne Madrid Cape Town Singapore São Paulo Delhi Tokyo Mexico City: Cambridge University Press, 2011), p. xxii.</w:t>
      </w:r>
      <w:r>
        <w:fldChar w:fldCharType="end"/>
      </w:r>
    </w:p>
  </w:footnote>
  <w:footnote w:id="4">
    <w:p w:rsidR="00EE7F8E" w:rsidRDefault="00EE7F8E">
      <w:pPr>
        <w:pStyle w:val="FootnoteText"/>
      </w:pPr>
      <w:r>
        <w:rPr>
          <w:rStyle w:val="FootnoteReference"/>
        </w:rPr>
        <w:footnoteRef/>
      </w:r>
      <w:r>
        <w:t xml:space="preserve"> </w:t>
      </w:r>
      <w:r>
        <w:fldChar w:fldCharType="begin"/>
      </w:r>
      <w:r w:rsidR="00CE343A">
        <w:instrText xml:space="preserve"> ADDIN ZOTERO_ITEM CSL_CITATION {"citationID":"XdTJmJdg","properties":{"formattedCitation":"Manning, p. 5.","plainCitation":"Manning, p. 5.","noteIndex":4},"citationItems":[{"id":751,"uris":["http://zotero.org/users/685164/items/PGIH7734"],"uri":["http://zotero.org/users/685164/items/PGIH7734"],"itemData":{"id":751,"type":"book","title":"The will of King Alfred; reprinted from the Oxford ed. of 1788. With a preface, and additional notes","publisher":"W. Pickering","publisher-place":"London","event-place":"London","translator":[{"family":"Manning","given":"Owen"}],"issued":{"date-parts":[["1828"]]}},"locator":"5"}],"schema":"https://github.com/citation-style-language/schema/raw/master/csl-citation.json"} </w:instrText>
      </w:r>
      <w:r>
        <w:fldChar w:fldCharType="separate"/>
      </w:r>
      <w:r w:rsidR="0010174D" w:rsidRPr="0010174D">
        <w:rPr>
          <w:rFonts w:ascii="Cambria" w:hAnsi="Cambria"/>
        </w:rPr>
        <w:t>Manning, p. 5.</w:t>
      </w:r>
      <w:r>
        <w:fldChar w:fldCharType="end"/>
      </w:r>
    </w:p>
  </w:footnote>
  <w:footnote w:id="5">
    <w:p w:rsidR="00A05737" w:rsidRDefault="00A05737">
      <w:pPr>
        <w:pStyle w:val="FootnoteText"/>
      </w:pPr>
      <w:r>
        <w:rPr>
          <w:rStyle w:val="FootnoteReference"/>
        </w:rPr>
        <w:footnoteRef/>
      </w:r>
      <w:r>
        <w:t xml:space="preserve"> </w:t>
      </w:r>
      <w:r>
        <w:fldChar w:fldCharType="begin"/>
      </w:r>
      <w:r w:rsidR="00CE343A">
        <w:instrText xml:space="preserve"> ADDIN ZOTERO_ITEM CSL_CITATION {"citationID":"pNzlGASB","properties":{"formattedCitation":"Patrick Wormald, {\\i{}Alfred [\\uc0\\u198{}lfred] (848/9\\uc0\\u8211{}899), King of the West Saxons and of the Anglo-Saxons} (Oxford University Press, 2006) &lt;https://www.oxforddnb.com/view/10.1093/ref:odnb/9780198614128.001.0001/odnb-9780198614128-e-183&gt;.","plainCitation":"Patrick Wormald, Alfred [Ælfred] (848/9–899), King of the West Saxons and of the Anglo-Saxons (Oxford University Press, 2006) &lt;https://www.oxforddnb.com/view/10.1093/ref:odnb/9780198614128.001.0001/odnb-9780198614128-e-183&gt;.","noteIndex":5},"citationItems":[{"id":756,"uris":["http://zotero.org/users/685164/items/K2QJX9VW"],"uri":["http://zotero.org/users/685164/items/K2QJX9VW"],"itemData":{"id":756,"type":"book","title":"Alfred [Ælfred] (848/9–899), king of the West Saxons and of the Anglo-Saxons","publisher":"Oxford University Press","URL":"https://www.oxforddnb.com/view/10.1093/ref:odnb/9780198614128.001.0001/odnb-9780198614128-e-183","author":[{"family":"Wormald","given":"Patrick"}],"issued":{"date-parts":[["2006"]]}}}],"schema":"https://github.com/citation-style-language/schema/raw/master/csl-citation.json"} </w:instrText>
      </w:r>
      <w:r>
        <w:fldChar w:fldCharType="separate"/>
      </w:r>
      <w:r w:rsidRPr="00A05737">
        <w:rPr>
          <w:rFonts w:ascii="Cambria" w:hAnsi="Cambria" w:cs="Times New Roman"/>
          <w:szCs w:val="24"/>
        </w:rPr>
        <w:t xml:space="preserve">Patrick Wormald, </w:t>
      </w:r>
      <w:r w:rsidRPr="00A05737">
        <w:rPr>
          <w:rFonts w:ascii="Cambria" w:hAnsi="Cambria" w:cs="Times New Roman"/>
          <w:i/>
          <w:iCs/>
          <w:szCs w:val="24"/>
        </w:rPr>
        <w:t>Alfred [</w:t>
      </w:r>
      <w:proofErr w:type="spellStart"/>
      <w:r w:rsidRPr="00A05737">
        <w:rPr>
          <w:rFonts w:ascii="Cambria" w:hAnsi="Cambria" w:cs="Times New Roman"/>
          <w:i/>
          <w:iCs/>
          <w:szCs w:val="24"/>
        </w:rPr>
        <w:t>Ælfred</w:t>
      </w:r>
      <w:proofErr w:type="spellEnd"/>
      <w:r w:rsidRPr="00A05737">
        <w:rPr>
          <w:rFonts w:ascii="Cambria" w:hAnsi="Cambria" w:cs="Times New Roman"/>
          <w:i/>
          <w:iCs/>
          <w:szCs w:val="24"/>
        </w:rPr>
        <w:t>] (848/9–899), King of the West Saxons and of the Anglo-Saxons</w:t>
      </w:r>
      <w:r w:rsidRPr="00A05737">
        <w:rPr>
          <w:rFonts w:ascii="Cambria" w:hAnsi="Cambria" w:cs="Times New Roman"/>
          <w:szCs w:val="24"/>
        </w:rPr>
        <w:t xml:space="preserve"> (Oxford University Press, 2006) &lt;https://www.oxforddnb.com/view/10.1093/ref:odnb/9780198614128.001.0001/odnb-9780198614128-e-183&gt;.</w:t>
      </w:r>
      <w:r>
        <w:fldChar w:fldCharType="end"/>
      </w:r>
    </w:p>
  </w:footnote>
  <w:footnote w:id="6">
    <w:p w:rsidR="00F227FC" w:rsidRDefault="00F227FC">
      <w:pPr>
        <w:pStyle w:val="FootnoteText"/>
      </w:pPr>
      <w:r>
        <w:rPr>
          <w:rStyle w:val="FootnoteReference"/>
        </w:rPr>
        <w:footnoteRef/>
      </w:r>
      <w:r>
        <w:t xml:space="preserve"> </w:t>
      </w:r>
      <w:r>
        <w:fldChar w:fldCharType="begin"/>
      </w:r>
      <w:r w:rsidR="00CE343A">
        <w:instrText xml:space="preserve"> ADDIN ZOTERO_ITEM CSL_CITATION {"citationID":"stklO32S","properties":{"formattedCitation":"Wormald.","plainCitation":"Wormald.","noteIndex":6},"citationItems":[{"id":756,"uris":["http://zotero.org/users/685164/items/K2QJX9VW"],"uri":["http://zotero.org/users/685164/items/K2QJX9VW"],"itemData":{"id":756,"type":"book","title":"Alfred [Ælfred] (848/9–899), king of the West Saxons and of the Anglo-Saxons","publisher":"Oxford University Press","URL":"https://www.oxforddnb.com/view/10.1093/ref:odnb/9780198614128.001.0001/odnb-9780198614128-e-183","author":[{"family":"Wormald","given":"Patrick"}],"issued":{"date-parts":[["2006"]]}}}],"schema":"https://github.com/citation-style-language/schema/raw/master/csl-citation.json"} </w:instrText>
      </w:r>
      <w:r>
        <w:fldChar w:fldCharType="separate"/>
      </w:r>
      <w:r w:rsidRPr="00F227FC">
        <w:rPr>
          <w:rFonts w:ascii="Cambria" w:hAnsi="Cambria"/>
        </w:rPr>
        <w:t>Wormald.</w:t>
      </w:r>
      <w:r>
        <w:fldChar w:fldCharType="end"/>
      </w:r>
    </w:p>
  </w:footnote>
  <w:footnote w:id="7">
    <w:p w:rsidR="006B3C01" w:rsidRDefault="006B3C01">
      <w:pPr>
        <w:pStyle w:val="FootnoteText"/>
      </w:pPr>
      <w:r>
        <w:rPr>
          <w:rStyle w:val="FootnoteReference"/>
        </w:rPr>
        <w:footnoteRef/>
      </w:r>
      <w:r>
        <w:t xml:space="preserve"> </w:t>
      </w:r>
      <w:r>
        <w:fldChar w:fldCharType="begin"/>
      </w:r>
      <w:r w:rsidR="00CE343A">
        <w:instrText xml:space="preserve"> ADDIN ZOTERO_ITEM CSL_CITATION {"citationID":"w63xA88e","properties":{"formattedCitation":"Wormald.","plainCitation":"Wormald.","noteIndex":7},"citationItems":[{"id":756,"uris":["http://zotero.org/users/685164/items/K2QJX9VW"],"uri":["http://zotero.org/users/685164/items/K2QJX9VW"],"itemData":{"id":756,"type":"book","title":"Alfred [Ælfred] (848/9–899), king of the West Saxons and of the Anglo-Saxons","publisher":"Oxford University Press","URL":"https://www.oxforddnb.com/view/10.1093/ref:odnb/9780198614128.001.0001/odnb-9780198614128-e-183","author":[{"family":"Wormald","given":"Patrick"}],"issued":{"date-parts":[["2006"]]}}}],"schema":"https://github.com/citation-style-language/schema/raw/master/csl-citation.json"} </w:instrText>
      </w:r>
      <w:r>
        <w:fldChar w:fldCharType="separate"/>
      </w:r>
      <w:r w:rsidR="00A05737" w:rsidRPr="00A05737">
        <w:rPr>
          <w:rFonts w:ascii="Cambria" w:hAnsi="Cambria"/>
        </w:rPr>
        <w:t>Wormald.</w:t>
      </w:r>
      <w:r>
        <w:fldChar w:fldCharType="end"/>
      </w:r>
    </w:p>
  </w:footnote>
  <w:footnote w:id="8">
    <w:p w:rsidR="00275044" w:rsidRDefault="00275044">
      <w:pPr>
        <w:pStyle w:val="FootnoteText"/>
      </w:pPr>
      <w:r>
        <w:rPr>
          <w:rStyle w:val="FootnoteReference"/>
        </w:rPr>
        <w:footnoteRef/>
      </w:r>
      <w:r>
        <w:t xml:space="preserve"> </w:t>
      </w:r>
      <w:r>
        <w:fldChar w:fldCharType="begin"/>
      </w:r>
      <w:r w:rsidR="00CE343A">
        <w:instrText xml:space="preserve"> ADDIN ZOTERO_ITEM CSL_CITATION {"citationID":"s3seoSwq","properties":{"formattedCitation":"Whitelock, p. xii.","plainCitation":"Whitelock, p. xii.","noteIndex":8},"citationItems":[{"id":759,"uris":["http://zotero.org/users/685164/items/FWX9IXXF"],"uri":["http://zotero.org/users/685164/items/FWX9IXXF"],"itemData":{"id":759,"type":"book","title":"Anglo-saxon wills","collection-title":"Cambridge studies in English legal history","publisher":"Cambridge University Press","publisher-place":"Cambridge New York Melbourne Madrid Cape Town Singapore São Paulo Delhi Tokyo Mexico City","number-of-pages":"244","edition":"First paperback edition ; reprinted edition","source":"Gemeinsamer Bibliotheksverbund ISBN","event-place":"Cambridge New York Melbourne Madrid Cape Town Singapore São Paulo Delhi Tokyo Mexico City","abstract":"\"This volume, first published in 1930, contains the original texts, with translations and commentaries, of the great majority of surviving Anglo-Saxon wills drawn up in the tenth and eleventh centuries. The documents are of special interest for the light they cast on the families and connections of those who made the wills, and on the ways in which the testators managed the disposition of their lands and other possessions. The reissue of Professor Whitelock's book is complemented by reissues of Florence Harmer's Select English Historical Documents of the Ninth and Tenth Centuries (1914), and of Agnes Jane Robertson's Anglo-Saxon Charters (1939, 2nd edition 1956). Between them, the three volumes represent the surviving corpus of Anglo-Saxon documents in the vernacular, to set beside the corpus of royal diplomas (in Latin), and the corpus of Anglo-Saxon legislation, and to serve at the same time as evidence of the uses of written English in the Anglo-Saxon period\"--Page 4 of cover","ISBN":"978-1-107-40221-8","note":"OCLC: 714728179","language":"eng","editor":[{"family":"Whitelock","given":"Dorothy"}],"issued":{"date-parts":[["2011"]]}},"locator":"xii"}],"schema":"https://github.com/citation-style-language/schema/raw/master/csl-citation.json"} </w:instrText>
      </w:r>
      <w:r>
        <w:fldChar w:fldCharType="separate"/>
      </w:r>
      <w:proofErr w:type="spellStart"/>
      <w:r w:rsidR="00CE343A" w:rsidRPr="00CE343A">
        <w:rPr>
          <w:rFonts w:ascii="Cambria" w:hAnsi="Cambria"/>
        </w:rPr>
        <w:t>Whitelock</w:t>
      </w:r>
      <w:proofErr w:type="spellEnd"/>
      <w:r w:rsidR="00CE343A" w:rsidRPr="00CE343A">
        <w:rPr>
          <w:rFonts w:ascii="Cambria" w:hAnsi="Cambria"/>
        </w:rPr>
        <w:t>, p. xii.</w:t>
      </w:r>
      <w:r>
        <w:fldChar w:fldCharType="end"/>
      </w:r>
    </w:p>
  </w:footnote>
  <w:footnote w:id="9">
    <w:p w:rsidR="00B764D0" w:rsidRDefault="00B764D0">
      <w:pPr>
        <w:pStyle w:val="FootnoteText"/>
      </w:pPr>
      <w:r>
        <w:rPr>
          <w:rStyle w:val="FootnoteReference"/>
        </w:rPr>
        <w:footnoteRef/>
      </w:r>
      <w:r>
        <w:t xml:space="preserve"> </w:t>
      </w:r>
      <w:r>
        <w:fldChar w:fldCharType="begin"/>
      </w:r>
      <w:r>
        <w:instrText xml:space="preserve"> ADDIN ZOTERO_ITEM CSL_CITATION {"citationID":"i7N6ZrPf","properties":{"formattedCitation":"Linda Tollerton, {\\i{}Wills and Will-Making in Anglo-Saxon England} (Boydell Press: Woodbridge, Suffolk\\uc0\\u8239{}: York Medieval Press\\uc0\\u8239{}; Rochester, N.Y, 2011), p. 82.","plainCitation":"Linda Tollerton, Wills and Will-Making in Anglo-Saxon England (Boydell Press: Woodbridge, Suffolk : York Medieval Press ; Rochester, N.Y, 2011), p. 82.","noteIndex":9},"citationItems":[{"id":761,"uris":["http://zotero.org/users/685164/items/XZI3XGIC"],"uri":["http://zotero.org/users/685164/items/XZI3XGIC"],"itemData":{"id":761,"type":"book","title":"Wills and will-making in Anglo-Saxon England","publisher":"Woodbridge, Suffolk : York Medieval Press ; Rochester, N.Y","publisher-place":"Boydell Press","number-of-pages":"327","source":"Library of Congress ISBN","event-place":"Boydell Press","ISBN":"978-1-903153-37-6","call-number":"KD1509 .T65 2011","author":[{"family":"Tollerton","given":"Linda"}],"issued":{"date-parts":[["2011"]]}},"locator":"82"}],"schema":"https://github.com/citation-style-language/schema/raw/master/csl-citation.json"} </w:instrText>
      </w:r>
      <w:r>
        <w:fldChar w:fldCharType="separate"/>
      </w:r>
      <w:r w:rsidRPr="00B764D0">
        <w:rPr>
          <w:rFonts w:ascii="Cambria" w:hAnsi="Cambria" w:cs="Times New Roman"/>
          <w:szCs w:val="24"/>
        </w:rPr>
        <w:t xml:space="preserve">Linda Tollerton, </w:t>
      </w:r>
      <w:r w:rsidRPr="00B764D0">
        <w:rPr>
          <w:rFonts w:ascii="Cambria" w:hAnsi="Cambria" w:cs="Times New Roman"/>
          <w:i/>
          <w:iCs/>
          <w:szCs w:val="24"/>
        </w:rPr>
        <w:t>Wills and Will-Making in Anglo-Saxon England</w:t>
      </w:r>
      <w:r w:rsidRPr="00B764D0">
        <w:rPr>
          <w:rFonts w:ascii="Cambria" w:hAnsi="Cambria" w:cs="Times New Roman"/>
          <w:szCs w:val="24"/>
        </w:rPr>
        <w:t xml:space="preserve"> (Boydell Press: Woodbridge, </w:t>
      </w:r>
      <w:proofErr w:type="gramStart"/>
      <w:r w:rsidRPr="00B764D0">
        <w:rPr>
          <w:rFonts w:ascii="Cambria" w:hAnsi="Cambria" w:cs="Times New Roman"/>
          <w:szCs w:val="24"/>
        </w:rPr>
        <w:t>Suffolk :</w:t>
      </w:r>
      <w:proofErr w:type="gramEnd"/>
      <w:r w:rsidRPr="00B764D0">
        <w:rPr>
          <w:rFonts w:ascii="Cambria" w:hAnsi="Cambria" w:cs="Times New Roman"/>
          <w:szCs w:val="24"/>
        </w:rPr>
        <w:t xml:space="preserve"> York Medieval Press ; Rochester, N.Y, 2011), p. 82.</w:t>
      </w:r>
      <w:r>
        <w:fldChar w:fldCharType="end"/>
      </w:r>
    </w:p>
  </w:footnote>
  <w:footnote w:id="10">
    <w:p w:rsidR="004B28CE" w:rsidRDefault="004B28CE">
      <w:pPr>
        <w:pStyle w:val="FootnoteText"/>
      </w:pPr>
      <w:r>
        <w:rPr>
          <w:rStyle w:val="FootnoteReference"/>
        </w:rPr>
        <w:footnoteRef/>
      </w:r>
      <w:r>
        <w:t xml:space="preserve"> </w:t>
      </w:r>
      <w:r>
        <w:fldChar w:fldCharType="begin"/>
      </w:r>
      <w:r>
        <w:instrText xml:space="preserve"> ADDIN ZOTERO_ITEM CSL_CITATION {"citationID":"KFUTMqNB","properties":{"formattedCitation":"\\uc0\\u8216{}Bookland - Hull Domesday Project\\uc0\\u8217{} &lt;http://www.domesdaybook.net/domesday-book/data-terminology/landholding/bookland&gt; [accessed 30 August 2019].","plainCitation":"‘Bookland - Hull Domesday Project’ &lt;http://www.domesdaybook.net/domesday-book/data-terminology/landholding/bookland&gt; [accessed 30 August 2019].","noteIndex":5},"citationItems":[{"id":757,"uris":["http://zotero.org/users/685164/items/AMDJG4B8"],"uri":["http://zotero.org/users/685164/items/AMDJG4B8"],"itemData":{"id":757,"type":"webpage","title":"bookland - Hull Domesday Project","abstract":"Resources for scholars, students and anyone interested in Domesday Book.","URL":"http://www.domesdaybook.net/domesday-book/data-terminology/landholding/bookland","accessed":{"date-parts":[["2019",8,30]]}}}],"schema":"https://github.com/citation-style-language/schema/raw/master/csl-citation.json"} </w:instrText>
      </w:r>
      <w:r>
        <w:fldChar w:fldCharType="separate"/>
      </w:r>
      <w:r w:rsidRPr="004B28CE">
        <w:rPr>
          <w:rFonts w:ascii="Cambria" w:hAnsi="Cambria" w:cs="Times New Roman"/>
          <w:szCs w:val="24"/>
        </w:rPr>
        <w:t>‘</w:t>
      </w:r>
      <w:proofErr w:type="spellStart"/>
      <w:r w:rsidRPr="004B28CE">
        <w:rPr>
          <w:rFonts w:ascii="Cambria" w:hAnsi="Cambria" w:cs="Times New Roman"/>
          <w:szCs w:val="24"/>
        </w:rPr>
        <w:t>Bookland</w:t>
      </w:r>
      <w:proofErr w:type="spellEnd"/>
      <w:r w:rsidRPr="004B28CE">
        <w:rPr>
          <w:rFonts w:ascii="Cambria" w:hAnsi="Cambria" w:cs="Times New Roman"/>
          <w:szCs w:val="24"/>
        </w:rPr>
        <w:t xml:space="preserve"> - Hull Domesday Project’ &lt;http://www.domesdaybook.net/domesday-book/data-terminology/landholding/bookland&gt; [accessed 30 August 2019].</w:t>
      </w:r>
      <w:r>
        <w:fldChar w:fldCharType="end"/>
      </w:r>
    </w:p>
  </w:footnote>
  <w:footnote w:id="11">
    <w:p w:rsidR="00A922B9" w:rsidRDefault="00A922B9">
      <w:pPr>
        <w:pStyle w:val="FootnoteText"/>
      </w:pPr>
      <w:r>
        <w:rPr>
          <w:rStyle w:val="FootnoteReference"/>
        </w:rPr>
        <w:footnoteRef/>
      </w:r>
      <w:r>
        <w:t xml:space="preserve"> </w:t>
      </w:r>
      <w:r>
        <w:fldChar w:fldCharType="begin"/>
      </w:r>
      <w:r w:rsidR="00CE343A">
        <w:instrText xml:space="preserve"> ADDIN ZOTERO_ITEM CSL_CITATION {"citationID":"EVzDdF1l","properties":{"formattedCitation":"Whitelock, p. ii.","plainCitation":"Whitelock, p. ii.","noteIndex":10},"citationItems":[{"id":759,"uris":["http://zotero.org/users/685164/items/FWX9IXXF"],"uri":["http://zotero.org/users/685164/items/FWX9IXXF"],"itemData":{"id":759,"type":"book","title":"Anglo-saxon wills","collection-title":"Cambridge studies in English legal history","publisher":"Cambridge University Press","publisher-place":"Cambridge New York Melbourne Madrid Cape Town Singapore São Paulo Delhi Tokyo Mexico City","number-of-pages":"244","edition":"First paperback edition ; reprinted edition","source":"Gemeinsamer Bibliotheksverbund ISBN","event-place":"Cambridge New York Melbourne Madrid Cape Town Singapore São Paulo Delhi Tokyo Mexico City","abstract":"\"This volume, first published in 1930, contains the original texts, with translations and commentaries, of the great majority of surviving Anglo-Saxon wills drawn up in the tenth and eleventh centuries. The documents are of special interest for the light they cast on the families and connections of those who made the wills, and on the ways in which the testators managed the disposition of their lands and other possessions. The reissue of Professor Whitelock's book is complemented by reissues of Florence Harmer's Select English Historical Documents of the Ninth and Tenth Centuries (1914), and of Agnes Jane Robertson's Anglo-Saxon Charters (1939, 2nd edition 1956). Between them, the three volumes represent the surviving corpus of Anglo-Saxon documents in the vernacular, to set beside the corpus of royal diplomas (in Latin), and the corpus of Anglo-Saxon legislation, and to serve at the same time as evidence of the uses of written English in the Anglo-Saxon period\"--Page 4 of cover","ISBN":"978-1-107-40221-8","note":"OCLC: 714728179","language":"eng","editor":[{"family":"Whitelock","given":"Dorothy"}],"issued":{"date-parts":[["2011"]]}},"locator":"ii"}],"schema":"https://github.com/citation-style-language/schema/raw/master/csl-citation.json"} </w:instrText>
      </w:r>
      <w:r>
        <w:fldChar w:fldCharType="separate"/>
      </w:r>
      <w:proofErr w:type="spellStart"/>
      <w:r w:rsidR="00275044" w:rsidRPr="00275044">
        <w:rPr>
          <w:rFonts w:ascii="Cambria" w:hAnsi="Cambria"/>
        </w:rPr>
        <w:t>Whitelock</w:t>
      </w:r>
      <w:proofErr w:type="spellEnd"/>
      <w:r w:rsidR="00275044" w:rsidRPr="00275044">
        <w:rPr>
          <w:rFonts w:ascii="Cambria" w:hAnsi="Cambria"/>
        </w:rPr>
        <w:t>, p. ii.</w:t>
      </w:r>
      <w:r>
        <w:fldChar w:fldCharType="end"/>
      </w:r>
    </w:p>
  </w:footnote>
  <w:footnote w:id="12">
    <w:p w:rsidR="00835431" w:rsidRDefault="00835431">
      <w:pPr>
        <w:pStyle w:val="FootnoteText"/>
      </w:pPr>
      <w:r>
        <w:rPr>
          <w:rStyle w:val="FootnoteReference"/>
        </w:rPr>
        <w:footnoteRef/>
      </w:r>
      <w:r>
        <w:t xml:space="preserve"> </w:t>
      </w:r>
      <w:r>
        <w:fldChar w:fldCharType="begin"/>
      </w:r>
      <w:r>
        <w:instrText xml:space="preserve"> ADDIN ZOTERO_ITEM CSL_CITATION {"citationID":"W99gUafQ","properties":{"formattedCitation":"Tollerton, p. 88.","plainCitation":"Tollerton, p. 88.","noteIndex":12},"citationItems":[{"id":761,"uris":["http://zotero.org/users/685164/items/XZI3XGIC"],"uri":["http://zotero.org/users/685164/items/XZI3XGIC"],"itemData":{"id":761,"type":"book","title":"Wills and will-making in Anglo-Saxon England","publisher":"Woodbridge, Suffolk : York Medieval Press ; Rochester, N.Y","publisher-place":"Boydell Press","number-of-pages":"327","source":"Library of Congress ISBN","event-place":"Boydell Press","ISBN":"978-1-903153-37-6","call-number":"KD1509 .T65 2011","author":[{"family":"Tollerton","given":"Linda"}],"issued":{"date-parts":[["2011"]]}},"locator":"88"}],"schema":"https://github.com/citation-style-language/schema/raw/master/csl-citation.json"} </w:instrText>
      </w:r>
      <w:r>
        <w:fldChar w:fldCharType="separate"/>
      </w:r>
      <w:r w:rsidRPr="00835431">
        <w:rPr>
          <w:rFonts w:ascii="Cambria" w:hAnsi="Cambria"/>
        </w:rPr>
        <w:t>Tollerton, p. 88.</w:t>
      </w:r>
      <w:r>
        <w:fldChar w:fldCharType="end"/>
      </w:r>
    </w:p>
  </w:footnote>
  <w:footnote w:id="13">
    <w:p w:rsidR="009126ED" w:rsidRDefault="009126ED">
      <w:pPr>
        <w:pStyle w:val="FootnoteText"/>
      </w:pPr>
      <w:r>
        <w:rPr>
          <w:rStyle w:val="FootnoteReference"/>
        </w:rPr>
        <w:footnoteRef/>
      </w:r>
      <w:r>
        <w:t xml:space="preserve"> </w:t>
      </w:r>
      <w:r>
        <w:fldChar w:fldCharType="begin"/>
      </w:r>
      <w:r w:rsidR="00A922B9">
        <w:instrText xml:space="preserve"> ADDIN ZOTERO_ITEM CSL_CITATION {"citationID":"4qnP2FP4","properties":{"formattedCitation":"Manning, p. 23.","plainCitation":"Manning, p. 23.","noteIndex":9},"citationItems":[{"id":751,"uris":["http://zotero.org/users/685164/items/PGIH7734"],"uri":["http://zotero.org/users/685164/items/PGIH7734"],"itemData":{"id":751,"type":"book","title":"The will of King Alfred; reprinted from the Oxford ed. of 1788. With a preface, and additional notes","publisher":"W. Pickering","publisher-place":"London","event-place":"London","translator":[{"family":"Manning","given":"Owen"}],"issued":{"date-parts":[["1828"]]}},"locator":"23"}],"schema":"https://github.com/citation-style-language/schema/raw/master/csl-citation.json"} </w:instrText>
      </w:r>
      <w:r>
        <w:fldChar w:fldCharType="separate"/>
      </w:r>
      <w:r w:rsidRPr="009126ED">
        <w:rPr>
          <w:rFonts w:ascii="Cambria" w:hAnsi="Cambria"/>
        </w:rPr>
        <w:t>Manning, p. 23.</w:t>
      </w:r>
      <w:r>
        <w:fldChar w:fldCharType="end"/>
      </w:r>
    </w:p>
  </w:footnote>
  <w:footnote w:id="14">
    <w:p w:rsidR="008B026F" w:rsidRDefault="008B026F">
      <w:pPr>
        <w:pStyle w:val="FootnoteText"/>
      </w:pPr>
      <w:r>
        <w:rPr>
          <w:rStyle w:val="FootnoteReference"/>
        </w:rPr>
        <w:footnoteRef/>
      </w:r>
      <w:r>
        <w:t xml:space="preserve"> </w:t>
      </w:r>
      <w:r>
        <w:fldChar w:fldCharType="begin"/>
      </w:r>
      <w:r>
        <w:instrText xml:space="preserve"> ADDIN ZOTERO_ITEM CSL_CITATION {"citationID":"E1i0PJIb","properties":{"formattedCitation":"Whitelock, p. xxiii.","plainCitation":"Whitelock, p. xxiii.","noteIndex":12},"citationItems":[{"id":759,"uris":["http://zotero.org/users/685164/items/FWX9IXXF"],"uri":["http://zotero.org/users/685164/items/FWX9IXXF"],"itemData":{"id":759,"type":"book","title":"Anglo-saxon wills","collection-title":"Cambridge studies in English legal history","publisher":"Cambridge University Press","publisher-place":"Cambridge New York Melbourne Madrid Cape Town Singapore São Paulo Delhi Tokyo Mexico City","number-of-pages":"244","edition":"First paperback edition ; reprinted edition","source":"Gemeinsamer Bibliotheksverbund ISBN","event-place":"Cambridge New York Melbourne Madrid Cape Town Singapore São Paulo Delhi Tokyo Mexico City","abstract":"\"This volume, first published in 1930, contains the original texts, with translations and commentaries, of the great majority of surviving Anglo-Saxon wills drawn up in the tenth and eleventh centuries. The documents are of special interest for the light they cast on the families and connections of those who made the wills, and on the ways in which the testators managed the disposition of their lands and other possessions. The reissue of Professor Whitelock's book is complemented by reissues of Florence Harmer's Select English Historical Documents of the Ninth and Tenth Centuries (1914), and of Agnes Jane Robertson's Anglo-Saxon Charters (1939, 2nd edition 1956). Between them, the three volumes represent the surviving corpus of Anglo-Saxon documents in the vernacular, to set beside the corpus of royal diplomas (in Latin), and the corpus of Anglo-Saxon legislation, and to serve at the same time as evidence of the uses of written English in the Anglo-Saxon period\"--Page 4 of cover","ISBN":"978-1-107-40221-8","note":"OCLC: 714728179","language":"eng","editor":[{"family":"Whitelock","given":"Dorothy"}],"issued":{"date-parts":[["2011"]]}},"locator":"xxiii"}],"schema":"https://github.com/citation-style-language/schema/raw/master/csl-citation.json"} </w:instrText>
      </w:r>
      <w:r>
        <w:fldChar w:fldCharType="separate"/>
      </w:r>
      <w:proofErr w:type="spellStart"/>
      <w:r w:rsidRPr="008B026F">
        <w:rPr>
          <w:rFonts w:ascii="Cambria" w:hAnsi="Cambria"/>
        </w:rPr>
        <w:t>Whitelock</w:t>
      </w:r>
      <w:proofErr w:type="spellEnd"/>
      <w:r w:rsidRPr="008B026F">
        <w:rPr>
          <w:rFonts w:ascii="Cambria" w:hAnsi="Cambria"/>
        </w:rPr>
        <w:t>, p. xxiii.</w:t>
      </w:r>
      <w:r>
        <w:fldChar w:fldCharType="end"/>
      </w:r>
    </w:p>
  </w:footnote>
  <w:footnote w:id="15">
    <w:p w:rsidR="00FB2148" w:rsidRDefault="00FB2148">
      <w:pPr>
        <w:pStyle w:val="FootnoteText"/>
      </w:pPr>
      <w:r>
        <w:rPr>
          <w:rStyle w:val="FootnoteReference"/>
        </w:rPr>
        <w:footnoteRef/>
      </w:r>
      <w:r>
        <w:t xml:space="preserve"> </w:t>
      </w:r>
      <w:r>
        <w:fldChar w:fldCharType="begin"/>
      </w:r>
      <w:r w:rsidR="008B026F">
        <w:instrText xml:space="preserve"> ADDIN ZOTERO_ITEM CSL_CITATION {"citationID":"H8IxVer4","properties":{"formattedCitation":"Manning, p. 28.","plainCitation":"Manning, p. 28.","noteIndex":13},"citationItems":[{"id":751,"uris":["http://zotero.org/users/685164/items/PGIH7734"],"uri":["http://zotero.org/users/685164/items/PGIH7734"],"itemData":{"id":751,"type":"book","title":"The will of King Alfred; reprinted from the Oxford ed. of 1788. With a preface, and additional notes","publisher":"W. Pickering","publisher-place":"London","event-place":"London","translator":[{"family":"Manning","given":"Owen"}],"issued":{"date-parts":[["1828"]]}},"locator":"28"}],"schema":"https://github.com/citation-style-language/schema/raw/master/csl-citation.json"} </w:instrText>
      </w:r>
      <w:r>
        <w:fldChar w:fldCharType="separate"/>
      </w:r>
      <w:r w:rsidRPr="00FB2148">
        <w:rPr>
          <w:rFonts w:ascii="Cambria" w:hAnsi="Cambria"/>
        </w:rPr>
        <w:t>Manning, p. 28.</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141"/>
    <w:rsid w:val="000048E0"/>
    <w:rsid w:val="00043C3A"/>
    <w:rsid w:val="000A617D"/>
    <w:rsid w:val="000F20A2"/>
    <w:rsid w:val="000F5A68"/>
    <w:rsid w:val="0010174D"/>
    <w:rsid w:val="00113CC5"/>
    <w:rsid w:val="00115FFD"/>
    <w:rsid w:val="00204856"/>
    <w:rsid w:val="00205354"/>
    <w:rsid w:val="00211A24"/>
    <w:rsid w:val="00275044"/>
    <w:rsid w:val="0029454C"/>
    <w:rsid w:val="002946DB"/>
    <w:rsid w:val="002E6AFE"/>
    <w:rsid w:val="0030498A"/>
    <w:rsid w:val="00313F9D"/>
    <w:rsid w:val="003673FD"/>
    <w:rsid w:val="003740BC"/>
    <w:rsid w:val="00390ED4"/>
    <w:rsid w:val="004B28CE"/>
    <w:rsid w:val="004B7644"/>
    <w:rsid w:val="00510B0E"/>
    <w:rsid w:val="005267A2"/>
    <w:rsid w:val="00547AE0"/>
    <w:rsid w:val="005B5396"/>
    <w:rsid w:val="00600CB5"/>
    <w:rsid w:val="00665147"/>
    <w:rsid w:val="006A4CB7"/>
    <w:rsid w:val="006B3C01"/>
    <w:rsid w:val="007B7C1B"/>
    <w:rsid w:val="00835431"/>
    <w:rsid w:val="0083745F"/>
    <w:rsid w:val="008B026F"/>
    <w:rsid w:val="008C61C4"/>
    <w:rsid w:val="008D6DEA"/>
    <w:rsid w:val="009126ED"/>
    <w:rsid w:val="00962D4D"/>
    <w:rsid w:val="00974612"/>
    <w:rsid w:val="00986B10"/>
    <w:rsid w:val="009D2AFC"/>
    <w:rsid w:val="00A05737"/>
    <w:rsid w:val="00A80866"/>
    <w:rsid w:val="00A922B9"/>
    <w:rsid w:val="00AA17BA"/>
    <w:rsid w:val="00AC5290"/>
    <w:rsid w:val="00B21141"/>
    <w:rsid w:val="00B22482"/>
    <w:rsid w:val="00B51048"/>
    <w:rsid w:val="00B764D0"/>
    <w:rsid w:val="00B86C5A"/>
    <w:rsid w:val="00C30077"/>
    <w:rsid w:val="00C3228D"/>
    <w:rsid w:val="00C61244"/>
    <w:rsid w:val="00CE343A"/>
    <w:rsid w:val="00D93A9F"/>
    <w:rsid w:val="00DE194B"/>
    <w:rsid w:val="00DF13B7"/>
    <w:rsid w:val="00E0600E"/>
    <w:rsid w:val="00E82C9E"/>
    <w:rsid w:val="00EE14D6"/>
    <w:rsid w:val="00EE7F8E"/>
    <w:rsid w:val="00F227FC"/>
    <w:rsid w:val="00FB2148"/>
    <w:rsid w:val="00FB37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49AE7"/>
  <w15:chartTrackingRefBased/>
  <w15:docId w15:val="{54E50BC7-E39A-4D4E-8CE2-F26462421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1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0E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F20A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141"/>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B211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14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21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141"/>
  </w:style>
  <w:style w:type="paragraph" w:styleId="Footer">
    <w:name w:val="footer"/>
    <w:basedOn w:val="Normal"/>
    <w:link w:val="FooterChar"/>
    <w:uiPriority w:val="99"/>
    <w:unhideWhenUsed/>
    <w:rsid w:val="00B21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141"/>
  </w:style>
  <w:style w:type="paragraph" w:styleId="FootnoteText">
    <w:name w:val="footnote text"/>
    <w:basedOn w:val="Normal"/>
    <w:link w:val="FootnoteTextChar"/>
    <w:uiPriority w:val="99"/>
    <w:semiHidden/>
    <w:unhideWhenUsed/>
    <w:rsid w:val="00B211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1141"/>
    <w:rPr>
      <w:sz w:val="20"/>
      <w:szCs w:val="20"/>
    </w:rPr>
  </w:style>
  <w:style w:type="character" w:styleId="FootnoteReference">
    <w:name w:val="footnote reference"/>
    <w:basedOn w:val="DefaultParagraphFont"/>
    <w:uiPriority w:val="99"/>
    <w:semiHidden/>
    <w:unhideWhenUsed/>
    <w:rsid w:val="00B21141"/>
    <w:rPr>
      <w:vertAlign w:val="superscript"/>
    </w:rPr>
  </w:style>
  <w:style w:type="paragraph" w:styleId="BalloonText">
    <w:name w:val="Balloon Text"/>
    <w:basedOn w:val="Normal"/>
    <w:link w:val="BalloonTextChar"/>
    <w:uiPriority w:val="99"/>
    <w:semiHidden/>
    <w:unhideWhenUsed/>
    <w:rsid w:val="005B53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5396"/>
    <w:rPr>
      <w:rFonts w:ascii="Segoe UI" w:hAnsi="Segoe UI" w:cs="Segoe UI"/>
      <w:sz w:val="18"/>
      <w:szCs w:val="18"/>
    </w:rPr>
  </w:style>
  <w:style w:type="paragraph" w:styleId="Caption">
    <w:name w:val="caption"/>
    <w:basedOn w:val="Normal"/>
    <w:next w:val="Normal"/>
    <w:uiPriority w:val="35"/>
    <w:semiHidden/>
    <w:unhideWhenUsed/>
    <w:qFormat/>
    <w:rsid w:val="005B539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0174D"/>
    <w:pPr>
      <w:spacing w:after="240" w:line="240" w:lineRule="auto"/>
      <w:ind w:left="720" w:hanging="720"/>
    </w:pPr>
  </w:style>
  <w:style w:type="character" w:customStyle="1" w:styleId="Heading2Char">
    <w:name w:val="Heading 2 Char"/>
    <w:basedOn w:val="DefaultParagraphFont"/>
    <w:link w:val="Heading2"/>
    <w:uiPriority w:val="9"/>
    <w:rsid w:val="00390ED4"/>
    <w:rPr>
      <w:rFonts w:asciiTheme="majorHAnsi" w:eastAsiaTheme="majorEastAsia" w:hAnsiTheme="majorHAnsi" w:cstheme="majorBidi"/>
      <w:color w:val="2F5496" w:themeColor="accent1" w:themeShade="BF"/>
      <w:sz w:val="26"/>
      <w:szCs w:val="26"/>
    </w:rPr>
  </w:style>
  <w:style w:type="character" w:customStyle="1" w:styleId="name">
    <w:name w:val="name"/>
    <w:basedOn w:val="DefaultParagraphFont"/>
    <w:rsid w:val="006B3C01"/>
  </w:style>
  <w:style w:type="character" w:customStyle="1" w:styleId="Heading3Char">
    <w:name w:val="Heading 3 Char"/>
    <w:basedOn w:val="DefaultParagraphFont"/>
    <w:link w:val="Heading3"/>
    <w:uiPriority w:val="9"/>
    <w:semiHidden/>
    <w:rsid w:val="000F20A2"/>
    <w:rPr>
      <w:rFonts w:asciiTheme="majorHAnsi" w:eastAsiaTheme="majorEastAsia" w:hAnsiTheme="majorHAnsi" w:cstheme="majorBidi"/>
      <w:color w:val="1F3763" w:themeColor="accent1" w:themeShade="7F"/>
      <w:sz w:val="24"/>
      <w:szCs w:val="24"/>
    </w:rPr>
  </w:style>
  <w:style w:type="paragraph" w:styleId="NormalWeb">
    <w:name w:val="Normal (Web)"/>
    <w:basedOn w:val="Normal"/>
    <w:semiHidden/>
    <w:unhideWhenUsed/>
    <w:rsid w:val="000F20A2"/>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61691">
      <w:bodyDiv w:val="1"/>
      <w:marLeft w:val="0"/>
      <w:marRight w:val="0"/>
      <w:marTop w:val="0"/>
      <w:marBottom w:val="0"/>
      <w:divBdr>
        <w:top w:val="none" w:sz="0" w:space="0" w:color="auto"/>
        <w:left w:val="none" w:sz="0" w:space="0" w:color="auto"/>
        <w:bottom w:val="none" w:sz="0" w:space="0" w:color="auto"/>
        <w:right w:val="none" w:sz="0" w:space="0" w:color="auto"/>
      </w:divBdr>
    </w:div>
    <w:div w:id="331881124">
      <w:bodyDiv w:val="1"/>
      <w:marLeft w:val="0"/>
      <w:marRight w:val="0"/>
      <w:marTop w:val="0"/>
      <w:marBottom w:val="0"/>
      <w:divBdr>
        <w:top w:val="none" w:sz="0" w:space="0" w:color="auto"/>
        <w:left w:val="none" w:sz="0" w:space="0" w:color="auto"/>
        <w:bottom w:val="none" w:sz="0" w:space="0" w:color="auto"/>
        <w:right w:val="none" w:sz="0" w:space="0" w:color="auto"/>
      </w:divBdr>
    </w:div>
    <w:div w:id="462040798">
      <w:bodyDiv w:val="1"/>
      <w:marLeft w:val="0"/>
      <w:marRight w:val="0"/>
      <w:marTop w:val="0"/>
      <w:marBottom w:val="0"/>
      <w:divBdr>
        <w:top w:val="none" w:sz="0" w:space="0" w:color="auto"/>
        <w:left w:val="none" w:sz="0" w:space="0" w:color="auto"/>
        <w:bottom w:val="none" w:sz="0" w:space="0" w:color="auto"/>
        <w:right w:val="none" w:sz="0" w:space="0" w:color="auto"/>
      </w:divBdr>
      <w:divsChild>
        <w:div w:id="1105423075">
          <w:marLeft w:val="0"/>
          <w:marRight w:val="0"/>
          <w:marTop w:val="0"/>
          <w:marBottom w:val="0"/>
          <w:divBdr>
            <w:top w:val="none" w:sz="0" w:space="0" w:color="auto"/>
            <w:left w:val="none" w:sz="0" w:space="0" w:color="auto"/>
            <w:bottom w:val="none" w:sz="0" w:space="0" w:color="auto"/>
            <w:right w:val="none" w:sz="0" w:space="0" w:color="auto"/>
          </w:divBdr>
        </w:div>
      </w:divsChild>
    </w:div>
    <w:div w:id="607547328">
      <w:bodyDiv w:val="1"/>
      <w:marLeft w:val="0"/>
      <w:marRight w:val="0"/>
      <w:marTop w:val="0"/>
      <w:marBottom w:val="0"/>
      <w:divBdr>
        <w:top w:val="none" w:sz="0" w:space="0" w:color="auto"/>
        <w:left w:val="none" w:sz="0" w:space="0" w:color="auto"/>
        <w:bottom w:val="none" w:sz="0" w:space="0" w:color="auto"/>
        <w:right w:val="none" w:sz="0" w:space="0" w:color="auto"/>
      </w:divBdr>
    </w:div>
    <w:div w:id="814105826">
      <w:bodyDiv w:val="1"/>
      <w:marLeft w:val="0"/>
      <w:marRight w:val="0"/>
      <w:marTop w:val="0"/>
      <w:marBottom w:val="0"/>
      <w:divBdr>
        <w:top w:val="none" w:sz="0" w:space="0" w:color="auto"/>
        <w:left w:val="none" w:sz="0" w:space="0" w:color="auto"/>
        <w:bottom w:val="none" w:sz="0" w:space="0" w:color="auto"/>
        <w:right w:val="none" w:sz="0" w:space="0" w:color="auto"/>
      </w:divBdr>
    </w:div>
    <w:div w:id="1208183789">
      <w:bodyDiv w:val="1"/>
      <w:marLeft w:val="0"/>
      <w:marRight w:val="0"/>
      <w:marTop w:val="0"/>
      <w:marBottom w:val="0"/>
      <w:divBdr>
        <w:top w:val="none" w:sz="0" w:space="0" w:color="auto"/>
        <w:left w:val="none" w:sz="0" w:space="0" w:color="auto"/>
        <w:bottom w:val="none" w:sz="0" w:space="0" w:color="auto"/>
        <w:right w:val="none" w:sz="0" w:space="0" w:color="auto"/>
      </w:divBdr>
    </w:div>
    <w:div w:id="209901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Calibri Light"/>
        <a:ea typeface=""/>
        <a:cs typeface=""/>
      </a:majorFont>
      <a:minorFont>
        <a:latin typeface="Cambr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1377</Words>
  <Characters>7852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Gulliver Methuen-Campbell</dc:creator>
  <cp:keywords/>
  <dc:description/>
  <cp:lastModifiedBy>Gulliver Methuen-Campbell</cp:lastModifiedBy>
  <cp:revision>44</cp:revision>
  <dcterms:created xsi:type="dcterms:W3CDTF">2019-08-29T11:21:00Z</dcterms:created>
  <dcterms:modified xsi:type="dcterms:W3CDTF">2019-08-30T16:31:00Z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zotero-version="5.0.74"&gt;&lt;session id="CxOqqPTN"/&gt;&lt;style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