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03DC" w:rsidP="26CAED35" w:rsidRDefault="36F94C5F" w14:paraId="232DE461" w14:noSpellErr="1" w14:textId="4EF3B3B3">
      <w:pPr>
        <w:spacing w:line="360" w:lineRule="auto"/>
        <w:ind w:firstLine="720"/>
        <w:jc w:val="left"/>
        <w:rPr>
          <w:rFonts w:ascii="Times New Roman" w:hAnsi="Times New Roman" w:eastAsia="Times New Roman" w:cs="Times New Roman"/>
        </w:rPr>
      </w:pPr>
      <w:r w:rsidRPr="26CAED35" w:rsidR="26CAED35">
        <w:rPr>
          <w:rFonts w:ascii="Times New Roman" w:hAnsi="Times New Roman" w:eastAsia="Times New Roman" w:cs="Times New Roman"/>
        </w:rPr>
        <w:t xml:space="preserve">In Suzanne Mackenzie’s article </w:t>
      </w:r>
      <w:r w:rsidRPr="26CAED35" w:rsidR="26CAED35">
        <w:rPr>
          <w:rFonts w:ascii="Times New Roman" w:hAnsi="Times New Roman" w:eastAsia="Times New Roman" w:cs="Times New Roman"/>
          <w:i w:val="1"/>
          <w:iCs w:val="1"/>
        </w:rPr>
        <w:t xml:space="preserve">Teaching Assistants’ Experiences of Inclusive Education </w:t>
      </w:r>
      <w:r w:rsidRPr="26CAED35" w:rsidR="26CAED35">
        <w:rPr>
          <w:rFonts w:ascii="Times New Roman" w:hAnsi="Times New Roman" w:eastAsia="Times New Roman" w:cs="Times New Roman"/>
        </w:rPr>
        <w:t>the author contends that teaching assistants often have negative perceptions of their status within schools.  It is implied that TAs feel undervalued and that their input is often dismissed or not asked for. Furthermore, the author explores relationships of teaching assistants with other staff that they work with, particularly teachers. It is stated that “respondents were almost wholly negative about their relationships with teachers” (Mackenzie, 2011, p. 69). Mackenzie also claims that growing tensions amongst staff in schools and a lack of meaningful communication from teachers to TAs contributes to TAs feeling resentful and undervalued. The purpose of this critical analysis is to take the aforementioned points and attempt to provide sufficient contrary evidence that will provide a more balanced argument that will place a more positive spotlight on the role of the TAs in today's education system.</w:t>
      </w:r>
    </w:p>
    <w:p w:rsidR="00EE03DC" w:rsidP="26CAED35" w:rsidRDefault="00EE03DC" w14:paraId="3B6406B7" w14:textId="65FA665A" w14:noSpellErr="1">
      <w:pPr>
        <w:spacing w:line="360" w:lineRule="auto"/>
        <w:ind w:firstLine="720"/>
        <w:jc w:val="left"/>
        <w:rPr>
          <w:rFonts w:ascii="Times New Roman" w:hAnsi="Times New Roman" w:eastAsia="Times New Roman" w:cs="Times New Roman"/>
        </w:rPr>
      </w:pPr>
    </w:p>
    <w:p w:rsidR="0077238C" w:rsidP="26CAED35" w:rsidRDefault="00056D50" w14:paraId="66C0A671" w14:textId="3CC1B47B" w14:noSpellErr="1">
      <w:pPr>
        <w:pStyle w:val="Normal"/>
        <w:spacing w:line="360" w:lineRule="auto"/>
        <w:ind w:firstLine="720"/>
        <w:jc w:val="left"/>
        <w:rPr>
          <w:rFonts w:ascii="Times New Roman" w:hAnsi="Times New Roman" w:eastAsia="Times New Roman" w:cs="Times New Roman"/>
        </w:rPr>
      </w:pPr>
      <w:r w:rsidRPr="26CAED35" w:rsidR="26CAED35">
        <w:rPr>
          <w:rFonts w:ascii="Times New Roman" w:hAnsi="Times New Roman" w:eastAsia="Times New Roman" w:cs="Times New Roman"/>
        </w:rPr>
        <w:t xml:space="preserve">Before moving on to analyse the mentioned points, the particularly biased nature of the article should be noted. The article appears to have an unbalanced bias towards negativity, this could be as a result of the small-scale sample group used. The text states that “the respondents were all known to the researcher as current or former students” </w:t>
      </w:r>
      <w:r w:rsidRPr="26CAED35" w:rsidR="26CAED35">
        <w:rPr>
          <w:rFonts w:ascii="Times New Roman" w:hAnsi="Times New Roman" w:eastAsia="Times New Roman" w:cs="Times New Roman"/>
        </w:rPr>
        <w:t>(</w:t>
      </w:r>
      <w:r w:rsidRPr="26CAED35" w:rsidR="26CAED35">
        <w:rPr>
          <w:rFonts w:ascii="Times New Roman" w:hAnsi="Times New Roman" w:eastAsia="Times New Roman" w:cs="Times New Roman"/>
        </w:rPr>
        <w:t>Mackenzie</w:t>
      </w:r>
      <w:r w:rsidRPr="26CAED35" w:rsidR="26CAED35">
        <w:rPr>
          <w:rFonts w:ascii="Times New Roman" w:hAnsi="Times New Roman" w:eastAsia="Times New Roman" w:cs="Times New Roman"/>
        </w:rPr>
        <w:t xml:space="preserve">, </w:t>
      </w:r>
      <w:r w:rsidRPr="26CAED35" w:rsidR="26CAED35">
        <w:rPr>
          <w:rFonts w:ascii="Times New Roman" w:hAnsi="Times New Roman" w:eastAsia="Times New Roman" w:cs="Times New Roman"/>
        </w:rPr>
        <w:t>2011</w:t>
      </w:r>
      <w:r w:rsidRPr="26CAED35" w:rsidR="26CAED35">
        <w:rPr>
          <w:rFonts w:ascii="Times New Roman" w:hAnsi="Times New Roman" w:eastAsia="Times New Roman" w:cs="Times New Roman"/>
        </w:rPr>
        <w:t xml:space="preserve">, p. </w:t>
      </w:r>
      <w:r w:rsidRPr="26CAED35" w:rsidR="26CAED35">
        <w:rPr>
          <w:rFonts w:ascii="Times New Roman" w:hAnsi="Times New Roman" w:eastAsia="Times New Roman" w:cs="Times New Roman"/>
        </w:rPr>
        <w:t>66). This could imply that they in turn were bias in their responses to assure the author met their objective of showing how TAs felt tension and negativity about their role. The study was small, interviewing only 13 TAs and representatives were all from the same area, East London.  The narrow sample area and choice of participants all indicate that the author could have been more subjective by providing a wider scale study that was more impartial.</w:t>
      </w:r>
    </w:p>
    <w:p w:rsidR="0077238C" w:rsidP="26CAED35" w:rsidRDefault="0077238C" w14:paraId="22BD57C9" w14:textId="77777777" w14:noSpellErr="1">
      <w:pPr>
        <w:spacing w:line="360" w:lineRule="auto"/>
        <w:ind w:firstLine="720"/>
        <w:jc w:val="left"/>
        <w:rPr>
          <w:rFonts w:ascii="Times New Roman" w:hAnsi="Times New Roman" w:eastAsia="Times New Roman" w:cs="Times New Roman"/>
        </w:rPr>
      </w:pPr>
    </w:p>
    <w:p w:rsidR="22ED4545" w:rsidP="26CAED35" w:rsidRDefault="22ED4545" w14:paraId="5668BC22" w14:textId="38CF366C">
      <w:pPr>
        <w:pStyle w:val="Normal"/>
        <w:spacing w:line="360" w:lineRule="auto"/>
        <w:ind w:left="0" w:firstLine="720"/>
        <w:jc w:val="both"/>
        <w:rPr>
          <w:rFonts w:ascii="Times New Roman" w:hAnsi="Times New Roman" w:eastAsia="Times New Roman" w:cs="Times New Roman"/>
          <w:noProof w:val="0"/>
          <w:sz w:val="22"/>
          <w:szCs w:val="22"/>
          <w:lang w:val="en-GB"/>
        </w:rPr>
      </w:pPr>
      <w:r w:rsidRPr="26CAED35" w:rsidR="26CAED35">
        <w:rPr>
          <w:rFonts w:ascii="Times New Roman" w:hAnsi="Times New Roman" w:eastAsia="Times New Roman" w:cs="Times New Roman"/>
          <w:color w:val="000000" w:themeColor="text1" w:themeTint="FF" w:themeShade="FF"/>
        </w:rPr>
        <w:t xml:space="preserve">To address the first point of TAs feeling undervalued, a counter-point could be that TAs are often seen as positive, much valued members of the whole school community. They regularly gain the trust of those parents who find the authoritative figure of the teacher unapproachable. </w:t>
      </w:r>
      <w:r w:rsidRPr="26CAED35" w:rsidR="26CAED35">
        <w:rPr>
          <w:rFonts w:ascii="Times New Roman" w:hAnsi="Times New Roman" w:eastAsia="Times New Roman" w:cs="Times New Roman"/>
          <w:color w:val="000000" w:themeColor="text1" w:themeTint="FF" w:themeShade="FF"/>
        </w:rPr>
        <w:t xml:space="preserve">Howes (2003) reports that </w:t>
      </w:r>
      <w:r w:rsidRPr="26CAED35" w:rsidR="26CAED35">
        <w:rPr>
          <w:rFonts w:ascii="Times New Roman" w:hAnsi="Times New Roman" w:eastAsia="Times New Roman" w:cs="Times New Roman"/>
          <w:color w:val="000000" w:themeColor="text1" w:themeTint="FF" w:themeShade="FF"/>
        </w:rPr>
        <w:t xml:space="preserve">TAs are “often seen by parents as being more approachable than teachers as they may have similar values and perspectives, live in the local community and have detailed knowledge about pupils’ </w:t>
      </w:r>
      <w:r w:rsidRPr="26CAED35" w:rsidR="26CAED35">
        <w:rPr>
          <w:rFonts w:ascii="Times New Roman" w:hAnsi="Times New Roman" w:eastAsia="Times New Roman" w:cs="Times New Roman"/>
          <w:color w:val="000000" w:themeColor="text1" w:themeTint="FF" w:themeShade="FF"/>
        </w:rPr>
        <w:t>lives”</w:t>
      </w:r>
      <w:r w:rsidRPr="26CAED35" w:rsidR="26CAED35">
        <w:rPr>
          <w:rFonts w:ascii="Times New Roman" w:hAnsi="Times New Roman" w:eastAsia="Times New Roman" w:cs="Times New Roman"/>
          <w:color w:val="000000" w:themeColor="text1" w:themeTint="FF" w:themeShade="FF"/>
        </w:rPr>
        <w:t xml:space="preserve"> </w:t>
      </w:r>
      <w:r w:rsidRPr="26CAED35" w:rsidR="26CAED35">
        <w:rPr>
          <w:rFonts w:ascii="Times New Roman" w:hAnsi="Times New Roman" w:eastAsia="Times New Roman" w:cs="Times New Roman"/>
          <w:color w:val="000000" w:themeColor="text1" w:themeTint="FF" w:themeShade="FF"/>
        </w:rPr>
        <w:t>(</w:t>
      </w:r>
      <w:r w:rsidRPr="26CAED35" w:rsidR="26CAED35">
        <w:rPr>
          <w:rFonts w:ascii="Times New Roman" w:hAnsi="Times New Roman" w:eastAsia="Times New Roman" w:cs="Times New Roman"/>
          <w:color w:val="000000" w:themeColor="text1" w:themeTint="FF" w:themeShade="FF"/>
        </w:rPr>
        <w:t xml:space="preserve">Howes, </w:t>
      </w:r>
      <w:r w:rsidRPr="26CAED35" w:rsidR="26CAED35">
        <w:rPr>
          <w:rFonts w:ascii="Times New Roman" w:hAnsi="Times New Roman" w:eastAsia="Times New Roman" w:cs="Times New Roman"/>
          <w:color w:val="000000" w:themeColor="text1" w:themeTint="FF" w:themeShade="FF"/>
        </w:rPr>
        <w:t xml:space="preserve">2003, </w:t>
      </w:r>
      <w:r w:rsidRPr="26CAED35" w:rsidR="26CAED35">
        <w:rPr>
          <w:rFonts w:ascii="Times New Roman" w:hAnsi="Times New Roman" w:eastAsia="Times New Roman" w:cs="Times New Roman"/>
          <w:color w:val="000000" w:themeColor="text1" w:themeTint="FF" w:themeShade="FF"/>
        </w:rPr>
        <w:t xml:space="preserve">p. </w:t>
      </w:r>
      <w:r w:rsidRPr="26CAED35" w:rsidR="26CAED35">
        <w:rPr>
          <w:rFonts w:ascii="Times New Roman" w:hAnsi="Times New Roman" w:eastAsia="Times New Roman" w:cs="Times New Roman"/>
          <w:color w:val="000000" w:themeColor="text1" w:themeTint="FF" w:themeShade="FF"/>
        </w:rPr>
        <w:t>147-153).</w:t>
      </w:r>
      <w:r w:rsidRPr="26CAED35" w:rsidR="26CAED35">
        <w:rPr>
          <w:rFonts w:ascii="Times New Roman" w:hAnsi="Times New Roman" w:eastAsia="Times New Roman" w:cs="Times New Roman"/>
          <w:color w:val="000000" w:themeColor="text1" w:themeTint="FF" w:themeShade="FF"/>
        </w:rPr>
        <w:t xml:space="preserve"> </w:t>
      </w:r>
      <w:r w:rsidRPr="26CAED35" w:rsidR="26CAED35">
        <w:rPr>
          <w:rFonts w:ascii="Times New Roman" w:hAnsi="Times New Roman" w:eastAsia="Times New Roman" w:cs="Times New Roman"/>
        </w:rPr>
        <w:t xml:space="preserve">The role of the TA is often to act as a go between for parents as they are perceived to be less threatening than teaching staff. It is imperative for children (especially those with additional needs) that they have parents whom can fully engage with their schooling and education with open and honest communication lines. As Logan and Feiler (2006) point out </w:t>
      </w:r>
      <w:r w:rsidRPr="26CAED35" w:rsidR="26CAED35">
        <w:rPr>
          <w:rFonts w:ascii="Times New Roman" w:hAnsi="Times New Roman" w:eastAsia="Times New Roman" w:cs="Times New Roman"/>
        </w:rPr>
        <w:t xml:space="preserve">in their article </w:t>
      </w:r>
      <w:r w:rsidRPr="26CAED35" w:rsidR="26CAED35">
        <w:rPr>
          <w:rFonts w:ascii="Times New Roman" w:hAnsi="Times New Roman" w:eastAsia="Times New Roman" w:cs="Times New Roman"/>
          <w:i w:val="1"/>
          <w:iCs w:val="1"/>
        </w:rPr>
        <w:t xml:space="preserve">Forging links between parents and schools: a new role for </w:t>
      </w:r>
      <w:proofErr w:type="spellStart"/>
      <w:r w:rsidRPr="26CAED35" w:rsidR="26CAED35">
        <w:rPr>
          <w:rFonts w:ascii="Times New Roman" w:hAnsi="Times New Roman" w:eastAsia="Times New Roman" w:cs="Times New Roman"/>
          <w:i w:val="1"/>
          <w:iCs w:val="1"/>
        </w:rPr>
        <w:t>Taching</w:t>
      </w:r>
      <w:proofErr w:type="spellEnd"/>
      <w:r w:rsidRPr="26CAED35" w:rsidR="26CAED35">
        <w:rPr>
          <w:rFonts w:ascii="Times New Roman" w:hAnsi="Times New Roman" w:eastAsia="Times New Roman" w:cs="Times New Roman"/>
          <w:i w:val="1"/>
          <w:iCs w:val="1"/>
        </w:rPr>
        <w:t xml:space="preserve"> </w:t>
      </w:r>
      <w:r w:rsidRPr="26CAED35" w:rsidR="26CAED35">
        <w:rPr>
          <w:rFonts w:ascii="Times New Roman" w:hAnsi="Times New Roman" w:eastAsia="Times New Roman" w:cs="Times New Roman"/>
          <w:i w:val="1"/>
          <w:iCs w:val="1"/>
        </w:rPr>
        <w:t xml:space="preserve">Assistants </w:t>
      </w:r>
      <w:r w:rsidRPr="26CAED35" w:rsidR="26CAED35">
        <w:rPr>
          <w:rFonts w:ascii="Times New Roman" w:hAnsi="Times New Roman" w:eastAsia="Times New Roman" w:cs="Times New Roman"/>
          <w:i w:val="0"/>
          <w:iCs w:val="0"/>
        </w:rPr>
        <w:t xml:space="preserve">a </w:t>
      </w:r>
      <w:r w:rsidRPr="26CAED35" w:rsidR="26CAED35">
        <w:rPr>
          <w:rFonts w:ascii="Times New Roman" w:hAnsi="Times New Roman" w:eastAsia="Times New Roman" w:cs="Times New Roman"/>
          <w:i w:val="0"/>
          <w:iCs w:val="0"/>
        </w:rPr>
        <w:t>recent</w:t>
      </w:r>
      <w:r w:rsidRPr="26CAED35" w:rsidR="26CAED35">
        <w:rPr>
          <w:rFonts w:ascii="Times New Roman" w:hAnsi="Times New Roman" w:eastAsia="Times New Roman" w:cs="Times New Roman"/>
          <w:i w:val="0"/>
          <w:iCs w:val="0"/>
        </w:rPr>
        <w:t xml:space="preserve"> Ofsted repor</w:t>
      </w:r>
      <w:r w:rsidRPr="26CAED35" w:rsidR="26CAED35">
        <w:rPr>
          <w:rFonts w:ascii="Times New Roman" w:hAnsi="Times New Roman" w:eastAsia="Times New Roman" w:cs="Times New Roman"/>
          <w:i w:val="1"/>
          <w:iCs w:val="1"/>
        </w:rPr>
        <w:t>t</w:t>
      </w:r>
      <w:r w:rsidRPr="26CAED35" w:rsidR="26CAED35">
        <w:rPr>
          <w:rFonts w:ascii="Times New Roman" w:hAnsi="Times New Roman" w:eastAsia="Times New Roman" w:cs="Times New Roman"/>
          <w:i w:val="1"/>
          <w:iCs w:val="1"/>
        </w:rPr>
        <w:t>;</w:t>
      </w:r>
    </w:p>
    <w:p w:rsidR="22ED4545" w:rsidP="26CAED35" w:rsidRDefault="22ED4545" w14:paraId="20235908" w14:textId="317D722A" w14:noSpellErr="1">
      <w:pPr>
        <w:pStyle w:val="Normal"/>
        <w:spacing w:line="360" w:lineRule="auto"/>
        <w:ind w:left="1296" w:right="1152" w:firstLine="0"/>
        <w:jc w:val="both"/>
        <w:rPr>
          <w:rFonts w:ascii="Times New Roman" w:hAnsi="Times New Roman" w:eastAsia="Times New Roman" w:cs="Times New Roman"/>
          <w:i w:val="0"/>
          <w:iCs w:val="0"/>
          <w:noProof w:val="0"/>
          <w:sz w:val="22"/>
          <w:szCs w:val="22"/>
          <w:lang w:val="en-GB"/>
        </w:rPr>
      </w:pPr>
      <w:r w:rsidRPr="26CAED35" w:rsidR="26CAED35">
        <w:rPr>
          <w:rFonts w:ascii="Times New Roman" w:hAnsi="Times New Roman" w:eastAsia="Times New Roman" w:cs="Times New Roman"/>
          <w:i w:val="0"/>
          <w:iCs w:val="0"/>
        </w:rPr>
        <w:t>e</w:t>
      </w:r>
      <w:r w:rsidRPr="26CAED35" w:rsidR="26CAED35">
        <w:rPr>
          <w:rFonts w:ascii="Times New Roman" w:hAnsi="Times New Roman" w:eastAsia="Times New Roman" w:cs="Times New Roman"/>
          <w:i w:val="0"/>
          <w:iCs w:val="0"/>
        </w:rPr>
        <w:t xml:space="preserve">mphasised the considerable range of difficulties that many schools experience in involving parents in their children’s learning, and the role of Teaching Assistants (TAs) was highlighted as being significant when working with ‘some of the most challenging groups and individual pupils </w:t>
      </w:r>
    </w:p>
    <w:p w:rsidR="22B1C1E1" w:rsidP="26CAED35" w:rsidRDefault="22B1C1E1" w14:paraId="49D40A41" w14:textId="44D7B10C" w14:noSpellErr="1">
      <w:pPr>
        <w:pStyle w:val="Normal"/>
        <w:spacing w:line="360" w:lineRule="auto"/>
        <w:ind w:left="3600" w:right="720" w:firstLine="720"/>
        <w:jc w:val="both"/>
        <w:rPr>
          <w:rFonts w:ascii="Times New Roman" w:hAnsi="Times New Roman" w:eastAsia="Times New Roman" w:cs="Times New Roman"/>
          <w:color w:val="000000" w:themeColor="text1" w:themeTint="FF" w:themeShade="FF"/>
        </w:rPr>
      </w:pPr>
      <w:r w:rsidRPr="26CAED35" w:rsidR="26CAED35">
        <w:rPr>
          <w:rFonts w:ascii="Times New Roman" w:hAnsi="Times New Roman" w:eastAsia="Times New Roman" w:cs="Times New Roman"/>
        </w:rPr>
        <w:t xml:space="preserve">                    </w:t>
      </w:r>
      <w:r w:rsidRPr="26CAED35" w:rsidR="26CAED35">
        <w:rPr>
          <w:rFonts w:ascii="Times New Roman" w:hAnsi="Times New Roman" w:eastAsia="Times New Roman" w:cs="Times New Roman"/>
        </w:rPr>
        <w:t xml:space="preserve">          (</w:t>
      </w:r>
      <w:r w:rsidRPr="26CAED35" w:rsidR="26CAED35">
        <w:rPr>
          <w:rFonts w:ascii="Times New Roman" w:hAnsi="Times New Roman" w:eastAsia="Times New Roman" w:cs="Times New Roman"/>
          <w:noProof w:val="0"/>
          <w:sz w:val="22"/>
          <w:szCs w:val="22"/>
          <w:lang w:val="en-GB"/>
        </w:rPr>
        <w:t>Ofsted, 2004: 26)</w:t>
      </w:r>
    </w:p>
    <w:p w:rsidR="22ED4545" w:rsidP="26CAED35" w:rsidRDefault="22ED4545" w14:paraId="767B221C" w14:textId="4F586D6E">
      <w:pPr>
        <w:pStyle w:val="Normal"/>
        <w:spacing w:line="360" w:lineRule="auto"/>
        <w:ind w:left="0" w:right="720" w:firstLine="720"/>
        <w:jc w:val="both"/>
        <w:rPr>
          <w:rFonts w:ascii="Times New Roman" w:hAnsi="Times New Roman" w:eastAsia="Times New Roman" w:cs="Times New Roman"/>
        </w:rPr>
      </w:pPr>
      <w:r w:rsidRPr="26CAED35" w:rsidR="26CAED35">
        <w:rPr>
          <w:rFonts w:ascii="Times New Roman" w:hAnsi="Times New Roman" w:eastAsia="Times New Roman" w:cs="Times New Roman"/>
        </w:rPr>
        <w:t xml:space="preserve">TAs are in the privileged position of being able to build and sustain positive, engaging relationships with hard to reach families. This is particularly relevant with those parents who might not have had positive experiences of education themselves and as adults have a mistrust of teachers. </w:t>
      </w:r>
      <w:r w:rsidRPr="26CAED35" w:rsidR="26CAED35">
        <w:rPr>
          <w:rFonts w:ascii="Times New Roman" w:hAnsi="Times New Roman" w:eastAsia="Times New Roman" w:cs="Times New Roman"/>
        </w:rPr>
        <w:t xml:space="preserve">It has been reported </w:t>
      </w:r>
      <w:r w:rsidRPr="26CAED35" w:rsidR="26CAED35">
        <w:rPr>
          <w:rFonts w:ascii="Times New Roman" w:hAnsi="Times New Roman" w:eastAsia="Times New Roman" w:cs="Times New Roman"/>
        </w:rPr>
        <w:t xml:space="preserve">that </w:t>
      </w:r>
      <w:r w:rsidRPr="26CAED35" w:rsidR="26CAED35">
        <w:rPr>
          <w:rFonts w:ascii="Times New Roman" w:hAnsi="Times New Roman" w:eastAsia="Times New Roman" w:cs="Times New Roman"/>
        </w:rPr>
        <w:t>“</w:t>
      </w:r>
      <w:r w:rsidRPr="26CAED35" w:rsidR="26CAED35">
        <w:rPr>
          <w:rFonts w:ascii="Times New Roman" w:hAnsi="Times New Roman" w:eastAsia="Times New Roman" w:cs="Times New Roman"/>
        </w:rPr>
        <w:t xml:space="preserve">the parent may have had poor academic performance...these difficulties resulted in the parent possessing a less than favourable view of </w:t>
      </w:r>
      <w:r w:rsidRPr="26CAED35" w:rsidR="26CAED35">
        <w:rPr>
          <w:rFonts w:ascii="Times New Roman" w:hAnsi="Times New Roman" w:eastAsia="Times New Roman" w:cs="Times New Roman"/>
        </w:rPr>
        <w:t>education</w:t>
      </w:r>
      <w:r w:rsidRPr="26CAED35" w:rsidR="26CAED35">
        <w:rPr>
          <w:rFonts w:ascii="Times New Roman" w:hAnsi="Times New Roman" w:eastAsia="Times New Roman" w:cs="Times New Roman"/>
        </w:rPr>
        <w:t>”</w:t>
      </w:r>
      <w:r w:rsidRPr="26CAED35" w:rsidR="26CAED35">
        <w:rPr>
          <w:rFonts w:ascii="Times New Roman" w:hAnsi="Times New Roman" w:eastAsia="Times New Roman" w:cs="Times New Roman"/>
        </w:rPr>
        <w:t xml:space="preserve"> (</w:t>
      </w:r>
      <w:proofErr w:type="spellStart"/>
      <w:r w:rsidRPr="26CAED35" w:rsidR="26CAED35">
        <w:rPr>
          <w:rFonts w:ascii="Times New Roman" w:hAnsi="Times New Roman" w:eastAsia="Times New Roman" w:cs="Times New Roman"/>
        </w:rPr>
        <w:t>Jaksec</w:t>
      </w:r>
      <w:proofErr w:type="spellEnd"/>
      <w:r w:rsidRPr="26CAED35" w:rsidR="26CAED35">
        <w:rPr>
          <w:rFonts w:ascii="Times New Roman" w:hAnsi="Times New Roman" w:eastAsia="Times New Roman" w:cs="Times New Roman"/>
        </w:rPr>
        <w:t xml:space="preserve">, </w:t>
      </w:r>
      <w:r w:rsidRPr="26CAED35" w:rsidR="26CAED35">
        <w:rPr>
          <w:rFonts w:ascii="Times New Roman" w:hAnsi="Times New Roman" w:eastAsia="Times New Roman" w:cs="Times New Roman"/>
        </w:rPr>
        <w:t>2013</w:t>
      </w:r>
      <w:r w:rsidRPr="26CAED35" w:rsidR="26CAED35">
        <w:rPr>
          <w:rFonts w:ascii="Times New Roman" w:hAnsi="Times New Roman" w:eastAsia="Times New Roman" w:cs="Times New Roman"/>
        </w:rPr>
        <w:t>, p. 22</w:t>
      </w:r>
      <w:r w:rsidRPr="26CAED35" w:rsidR="26CAED35">
        <w:rPr>
          <w:rFonts w:ascii="Times New Roman" w:hAnsi="Times New Roman" w:eastAsia="Times New Roman" w:cs="Times New Roman"/>
        </w:rPr>
        <w:t>)</w:t>
      </w:r>
      <w:r w:rsidRPr="26CAED35" w:rsidR="26CAED35">
        <w:rPr>
          <w:rFonts w:ascii="Times New Roman" w:hAnsi="Times New Roman" w:eastAsia="Times New Roman" w:cs="Times New Roman"/>
        </w:rPr>
        <w:t>.</w:t>
      </w:r>
      <w:r w:rsidRPr="26CAED35" w:rsidR="26CAED35">
        <w:rPr>
          <w:rFonts w:ascii="Times New Roman" w:hAnsi="Times New Roman" w:eastAsia="Times New Roman" w:cs="Times New Roman"/>
        </w:rPr>
        <w:t xml:space="preserve"> These deep-rooted, negative emotions towards the education system are often resurrected when parents once again face having to communicate with schools. This is where the TA </w:t>
      </w:r>
      <w:r w:rsidRPr="26CAED35" w:rsidR="26CAED35">
        <w:rPr>
          <w:rFonts w:ascii="Times New Roman" w:hAnsi="Times New Roman" w:eastAsia="Times New Roman" w:cs="Times New Roman"/>
        </w:rPr>
        <w:t>can</w:t>
      </w:r>
      <w:r w:rsidRPr="26CAED35" w:rsidR="26CAED35">
        <w:rPr>
          <w:rFonts w:ascii="Times New Roman" w:hAnsi="Times New Roman" w:eastAsia="Times New Roman" w:cs="Times New Roman"/>
        </w:rPr>
        <w:t xml:space="preserve"> mediate, being able to communicate without the jargon that parents often associate with teacher talk as claimed by Logan and Feiler (2006).</w:t>
      </w:r>
    </w:p>
    <w:p w:rsidR="037ABF22" w:rsidP="26CAED35" w:rsidRDefault="037ABF22" w14:paraId="5867F869" w14:textId="1EBA0D05" w14:noSpellErr="1">
      <w:pPr>
        <w:pStyle w:val="Normal"/>
        <w:spacing w:line="360" w:lineRule="auto"/>
        <w:ind w:left="0" w:right="720" w:firstLine="720"/>
        <w:jc w:val="both"/>
        <w:rPr>
          <w:rFonts w:ascii="Times New Roman" w:hAnsi="Times New Roman" w:eastAsia="Times New Roman" w:cs="Times New Roman"/>
        </w:rPr>
      </w:pPr>
      <w:r w:rsidRPr="26CAED35" w:rsidR="26CAED35">
        <w:rPr>
          <w:rFonts w:ascii="Times New Roman" w:hAnsi="Times New Roman" w:eastAsia="Times New Roman" w:cs="Times New Roman"/>
        </w:rPr>
        <w:t xml:space="preserve">Utilisation of TA’s skills in this way could only be successful if the relationship between themselves and teaching staff is a positive one, this is contrary to Mackenzie’s claim of the relationships between TA’s and teachers being strained.  Many teachers </w:t>
      </w:r>
      <w:r w:rsidRPr="26CAED35" w:rsidR="26CAED35">
        <w:rPr>
          <w:rFonts w:ascii="Times New Roman" w:hAnsi="Times New Roman" w:eastAsia="Times New Roman" w:cs="Times New Roman"/>
        </w:rPr>
        <w:t>rel</w:t>
      </w:r>
      <w:r w:rsidRPr="26CAED35" w:rsidR="26CAED35">
        <w:rPr>
          <w:rFonts w:ascii="Times New Roman" w:hAnsi="Times New Roman" w:eastAsia="Times New Roman" w:cs="Times New Roman"/>
        </w:rPr>
        <w:t xml:space="preserve">y on </w:t>
      </w:r>
      <w:r w:rsidRPr="26CAED35" w:rsidR="26CAED35">
        <w:rPr>
          <w:rFonts w:ascii="Times New Roman" w:hAnsi="Times New Roman" w:eastAsia="Times New Roman" w:cs="Times New Roman"/>
        </w:rPr>
        <w:t>the</w:t>
      </w:r>
      <w:r w:rsidRPr="26CAED35" w:rsidR="26CAED35">
        <w:rPr>
          <w:rFonts w:ascii="Times New Roman" w:hAnsi="Times New Roman" w:eastAsia="Times New Roman" w:cs="Times New Roman"/>
        </w:rPr>
        <w:t xml:space="preserve"> support of TAs that they </w:t>
      </w:r>
      <w:r w:rsidRPr="26CAED35" w:rsidR="26CAED35">
        <w:rPr>
          <w:rFonts w:ascii="Times New Roman" w:hAnsi="Times New Roman" w:eastAsia="Times New Roman" w:cs="Times New Roman"/>
        </w:rPr>
        <w:t>w</w:t>
      </w:r>
      <w:r w:rsidRPr="26CAED35" w:rsidR="26CAED35">
        <w:rPr>
          <w:rFonts w:ascii="Times New Roman" w:hAnsi="Times New Roman" w:eastAsia="Times New Roman" w:cs="Times New Roman"/>
        </w:rPr>
        <w:t>ork</w:t>
      </w:r>
      <w:r w:rsidRPr="26CAED35" w:rsidR="26CAED35">
        <w:rPr>
          <w:rFonts w:ascii="Times New Roman" w:hAnsi="Times New Roman" w:eastAsia="Times New Roman" w:cs="Times New Roman"/>
        </w:rPr>
        <w:t xml:space="preserve"> with as they</w:t>
      </w:r>
      <w:r w:rsidRPr="26CAED35" w:rsidR="26CAED35">
        <w:rPr>
          <w:rFonts w:ascii="Times New Roman" w:hAnsi="Times New Roman" w:eastAsia="Times New Roman" w:cs="Times New Roman"/>
        </w:rPr>
        <w:t xml:space="preserve"> “</w:t>
      </w:r>
      <w:r w:rsidRPr="26CAED35" w:rsidR="26CAED35">
        <w:rPr>
          <w:rFonts w:ascii="Times New Roman" w:hAnsi="Times New Roman" w:eastAsia="Times New Roman" w:cs="Times New Roman"/>
          <w:noProof w:val="0"/>
          <w:sz w:val="22"/>
          <w:szCs w:val="22"/>
          <w:lang w:val="en-GB"/>
        </w:rPr>
        <w:t>‘were being accorded status as partners in the education of the children</w:t>
      </w:r>
      <w:r w:rsidRPr="26CAED35" w:rsidR="26CAED35">
        <w:rPr>
          <w:rFonts w:ascii="Times New Roman" w:hAnsi="Times New Roman" w:eastAsia="Times New Roman" w:cs="Times New Roman"/>
        </w:rPr>
        <w:t xml:space="preserve">” </w:t>
      </w:r>
      <w:r w:rsidRPr="26CAED35" w:rsidR="26CAED35">
        <w:rPr>
          <w:rFonts w:ascii="Times New Roman" w:hAnsi="Times New Roman" w:eastAsia="Times New Roman" w:cs="Times New Roman"/>
          <w:b w:val="0"/>
          <w:bCs w:val="0"/>
          <w:i w:val="0"/>
          <w:iCs w:val="0"/>
          <w:noProof w:val="0"/>
          <w:color w:val="000000" w:themeColor="text1" w:themeTint="FF" w:themeShade="FF"/>
          <w:sz w:val="21"/>
          <w:szCs w:val="21"/>
          <w:lang w:val="en-GB"/>
        </w:rPr>
        <w:t>(</w:t>
      </w:r>
      <w:r w:rsidRPr="26CAED35" w:rsidR="26CAED35">
        <w:rPr>
          <w:rFonts w:ascii="Times New Roman" w:hAnsi="Times New Roman" w:eastAsia="Times New Roman" w:cs="Times New Roman"/>
          <w:b w:val="0"/>
          <w:bCs w:val="0"/>
          <w:i w:val="0"/>
          <w:iCs w:val="0"/>
          <w:noProof w:val="0"/>
          <w:color w:val="000000" w:themeColor="text1" w:themeTint="FF" w:themeShade="FF"/>
          <w:sz w:val="21"/>
          <w:szCs w:val="21"/>
          <w:lang w:val="en-GB"/>
        </w:rPr>
        <w:t>Sharpe</w:t>
      </w:r>
      <w:r w:rsidRPr="26CAED35" w:rsidR="26CAED35">
        <w:rPr>
          <w:rFonts w:ascii="Times New Roman" w:hAnsi="Times New Roman" w:eastAsia="Times New Roman" w:cs="Times New Roman"/>
          <w:b w:val="0"/>
          <w:bCs w:val="0"/>
          <w:i w:val="0"/>
          <w:iCs w:val="0"/>
          <w:noProof w:val="0"/>
          <w:color w:val="000000" w:themeColor="text1" w:themeTint="FF" w:themeShade="FF"/>
          <w:sz w:val="21"/>
          <w:szCs w:val="21"/>
          <w:lang w:val="en-GB"/>
        </w:rPr>
        <w:t>, 2005, P.3</w:t>
      </w:r>
      <w:r w:rsidRPr="26CAED35" w:rsidR="26CAED35">
        <w:rPr>
          <w:rFonts w:ascii="Times New Roman" w:hAnsi="Times New Roman" w:eastAsia="Times New Roman" w:cs="Times New Roman"/>
        </w:rPr>
        <w:t xml:space="preserve">). The working relationship of both parties need to have open lines of communication, </w:t>
      </w:r>
      <w:r w:rsidRPr="26CAED35" w:rsidR="26CAED35">
        <w:rPr>
          <w:rFonts w:ascii="Times New Roman" w:hAnsi="Times New Roman" w:eastAsia="Times New Roman" w:cs="Times New Roman"/>
        </w:rPr>
        <w:t xml:space="preserve">planning needs to be effective and the management of support staff should be paramount to the smooth running of a classroom. </w:t>
      </w:r>
    </w:p>
    <w:p w:rsidR="22B1C1E1" w:rsidP="26CAED35" w:rsidRDefault="22B1C1E1" w14:paraId="53F4A317" w14:textId="4E83C3F1" w14:noSpellErr="1">
      <w:pPr>
        <w:pStyle w:val="Normal"/>
        <w:spacing w:line="360" w:lineRule="auto"/>
        <w:ind w:left="0" w:right="720" w:firstLine="720"/>
        <w:jc w:val="both"/>
        <w:rPr>
          <w:rFonts w:ascii="Times New Roman" w:hAnsi="Times New Roman" w:eastAsia="Times New Roman" w:cs="Times New Roman"/>
        </w:rPr>
      </w:pPr>
      <w:r w:rsidRPr="26CAED35" w:rsidR="26CAED35">
        <w:rPr>
          <w:rFonts w:ascii="Times New Roman" w:hAnsi="Times New Roman" w:eastAsia="Times New Roman" w:cs="Times New Roman"/>
        </w:rPr>
        <w:t>In a study completed by Bedford, Jackson and Wilson (2008) findings showed that a large proportion of teachers felt that a “</w:t>
      </w:r>
      <w:r w:rsidRPr="26CAED35" w:rsidR="26CAED35">
        <w:rPr>
          <w:rFonts w:ascii="Times New Roman" w:hAnsi="Times New Roman" w:eastAsia="Times New Roman" w:cs="Times New Roman"/>
          <w:noProof w:val="0"/>
          <w:sz w:val="22"/>
          <w:szCs w:val="22"/>
          <w:lang w:val="en-GB"/>
        </w:rPr>
        <w:t xml:space="preserve">two-way dialogue is needed to ensure sharing of ideas and trusting each other to say what does and does not work </w:t>
      </w:r>
      <w:r w:rsidRPr="26CAED35" w:rsidR="26CAED35">
        <w:rPr>
          <w:rFonts w:ascii="Times New Roman" w:hAnsi="Times New Roman" w:eastAsia="Times New Roman" w:cs="Times New Roman"/>
          <w:noProof w:val="0"/>
          <w:sz w:val="22"/>
          <w:szCs w:val="22"/>
          <w:lang w:val="en-GB"/>
        </w:rPr>
        <w:t>well” (</w:t>
      </w:r>
      <w:r w:rsidRPr="26CAED35" w:rsidR="26CAED35">
        <w:rPr>
          <w:rFonts w:ascii="Times New Roman" w:hAnsi="Times New Roman" w:eastAsia="Times New Roman" w:cs="Times New Roman"/>
          <w:noProof w:val="0"/>
          <w:sz w:val="22"/>
          <w:szCs w:val="22"/>
          <w:lang w:val="en-GB"/>
        </w:rPr>
        <w:t>Bedford</w:t>
      </w:r>
      <w:r w:rsidRPr="26CAED35" w:rsidR="26CAED35">
        <w:rPr>
          <w:rFonts w:ascii="Times New Roman" w:hAnsi="Times New Roman" w:eastAsia="Times New Roman" w:cs="Times New Roman"/>
          <w:noProof w:val="0"/>
          <w:sz w:val="22"/>
          <w:szCs w:val="22"/>
          <w:lang w:val="en-GB"/>
        </w:rPr>
        <w:t xml:space="preserve">, Jackson and Wilson, 2008, p. 18). </w:t>
      </w:r>
      <w:r w:rsidRPr="26CAED35" w:rsidR="26CAED35">
        <w:rPr>
          <w:rFonts w:ascii="Times New Roman" w:hAnsi="Times New Roman" w:eastAsia="Times New Roman" w:cs="Times New Roman"/>
        </w:rPr>
        <w:t>Schools</w:t>
      </w:r>
      <w:r w:rsidRPr="26CAED35" w:rsidR="26CAED35">
        <w:rPr>
          <w:rFonts w:ascii="Times New Roman" w:hAnsi="Times New Roman" w:eastAsia="Times New Roman" w:cs="Times New Roman"/>
        </w:rPr>
        <w:t xml:space="preserve"> that foster positive working relationships with all members of staff including TA’s reap the rewards of a collaborated approach of working with the children. Children benefit from such relationships as they have clear, consistent expectations that are followed by whatever </w:t>
      </w:r>
      <w:r w:rsidRPr="26CAED35" w:rsidR="26CAED35">
        <w:rPr>
          <w:rFonts w:ascii="Times New Roman" w:hAnsi="Times New Roman" w:eastAsia="Times New Roman" w:cs="Times New Roman"/>
        </w:rPr>
        <w:t>member</w:t>
      </w:r>
      <w:r w:rsidRPr="26CAED35" w:rsidR="26CAED35">
        <w:rPr>
          <w:rFonts w:ascii="Times New Roman" w:hAnsi="Times New Roman" w:eastAsia="Times New Roman" w:cs="Times New Roman"/>
        </w:rPr>
        <w:t xml:space="preserve"> of staff they are working with.  </w:t>
      </w:r>
    </w:p>
    <w:p w:rsidR="22B1C1E1" w:rsidP="26CAED35" w:rsidRDefault="22B1C1E1" w14:paraId="2151F33C" w14:textId="6BC60289">
      <w:pPr>
        <w:pStyle w:val="Normal"/>
        <w:spacing w:line="360" w:lineRule="auto"/>
        <w:ind w:firstLine="720"/>
        <w:jc w:val="both"/>
        <w:rPr>
          <w:rFonts w:ascii="Times New Roman" w:hAnsi="Times New Roman" w:eastAsia="Times New Roman" w:cs="Times New Roman"/>
          <w:noProof w:val="0"/>
          <w:sz w:val="22"/>
          <w:szCs w:val="22"/>
          <w:lang w:val="en-GB"/>
        </w:rPr>
      </w:pPr>
      <w:proofErr w:type="spellStart"/>
      <w:r w:rsidRPr="26CAED35" w:rsidR="26CAED35">
        <w:rPr>
          <w:rFonts w:ascii="Times New Roman" w:hAnsi="Times New Roman" w:eastAsia="Times New Roman" w:cs="Times New Roman"/>
        </w:rPr>
        <w:t>Mackenzies</w:t>
      </w:r>
      <w:proofErr w:type="spellEnd"/>
      <w:r w:rsidRPr="26CAED35" w:rsidR="26CAED35">
        <w:rPr>
          <w:rFonts w:ascii="Times New Roman" w:hAnsi="Times New Roman" w:eastAsia="Times New Roman" w:cs="Times New Roman"/>
        </w:rPr>
        <w:t xml:space="preserve"> notes that in general, collaboration between TAs and teachers appears to be difficult, this is in total contrast to what </w:t>
      </w:r>
      <w:proofErr w:type="spellStart"/>
      <w:r w:rsidRPr="26CAED35" w:rsidR="26CAED35">
        <w:rPr>
          <w:rFonts w:ascii="Times New Roman" w:hAnsi="Times New Roman" w:eastAsia="Times New Roman" w:cs="Times New Roman"/>
        </w:rPr>
        <w:t>Devecchi</w:t>
      </w:r>
      <w:proofErr w:type="spellEnd"/>
      <w:r w:rsidRPr="26CAED35" w:rsidR="26CAED35">
        <w:rPr>
          <w:rFonts w:ascii="Times New Roman" w:hAnsi="Times New Roman" w:eastAsia="Times New Roman" w:cs="Times New Roman"/>
        </w:rPr>
        <w:t xml:space="preserve"> and Rouse (2010) found in their study of </w:t>
      </w:r>
      <w:r w:rsidRPr="26CAED35" w:rsidR="26CAED35">
        <w:rPr>
          <w:rFonts w:ascii="Times New Roman" w:hAnsi="Times New Roman" w:eastAsia="Times New Roman" w:cs="Times New Roman"/>
          <w:i w:val="1"/>
          <w:iCs w:val="1"/>
        </w:rPr>
        <w:t>E</w:t>
      </w:r>
      <w:r w:rsidRPr="26CAED35" w:rsidR="26CAED35">
        <w:rPr>
          <w:rFonts w:ascii="Times New Roman" w:hAnsi="Times New Roman" w:eastAsia="Times New Roman" w:cs="Times New Roman"/>
          <w:i w:val="1"/>
          <w:iCs w:val="1"/>
          <w:noProof w:val="0"/>
          <w:sz w:val="22"/>
          <w:szCs w:val="22"/>
          <w:lang w:val="en-GB"/>
        </w:rPr>
        <w:t>ffective Collaboration Between Teachers and Teaching Assistants</w:t>
      </w:r>
      <w:r w:rsidRPr="26CAED35" w:rsidR="26CAED35">
        <w:rPr>
          <w:rFonts w:ascii="Times New Roman" w:hAnsi="Times New Roman" w:eastAsia="Times New Roman" w:cs="Times New Roman"/>
          <w:noProof w:val="0"/>
          <w:sz w:val="22"/>
          <w:szCs w:val="22"/>
          <w:lang w:val="en-GB"/>
        </w:rPr>
        <w:t xml:space="preserve">, where findings were particularly positive. They found that there could indeed be positive communication that benefited all stakeholders, claiming that “teachers and TAs can work effectively </w:t>
      </w:r>
      <w:r w:rsidRPr="26CAED35" w:rsidR="26CAED35">
        <w:rPr>
          <w:rFonts w:ascii="Times New Roman" w:hAnsi="Times New Roman" w:eastAsia="Times New Roman" w:cs="Times New Roman"/>
          <w:noProof w:val="0"/>
          <w:sz w:val="22"/>
          <w:szCs w:val="22"/>
          <w:lang w:val="en-GB"/>
        </w:rPr>
        <w:t>together</w:t>
      </w:r>
      <w:r w:rsidRPr="26CAED35" w:rsidR="26CAED35">
        <w:rPr>
          <w:rFonts w:ascii="Times New Roman" w:hAnsi="Times New Roman" w:eastAsia="Times New Roman" w:cs="Times New Roman"/>
          <w:noProof w:val="0"/>
          <w:sz w:val="22"/>
          <w:szCs w:val="22"/>
          <w:lang w:val="en-GB"/>
        </w:rPr>
        <w:t>,</w:t>
      </w:r>
      <w:r w:rsidRPr="26CAED35" w:rsidR="26CAED35">
        <w:rPr>
          <w:rFonts w:ascii="Times New Roman" w:hAnsi="Times New Roman" w:eastAsia="Times New Roman" w:cs="Times New Roman"/>
          <w:noProof w:val="0"/>
          <w:sz w:val="22"/>
          <w:szCs w:val="22"/>
          <w:lang w:val="en-GB"/>
        </w:rPr>
        <w:t xml:space="preserve"> and that collaboration can be of beneﬁt not only for the students, but also for the quality of life and professional learning of the adults involved” (</w:t>
      </w:r>
      <w:proofErr w:type="spellStart"/>
      <w:r w:rsidRPr="26CAED35" w:rsidR="26CAED35">
        <w:rPr>
          <w:rFonts w:ascii="Times New Roman" w:hAnsi="Times New Roman" w:eastAsia="Times New Roman" w:cs="Times New Roman"/>
        </w:rPr>
        <w:t>Devecchi</w:t>
      </w:r>
      <w:proofErr w:type="spellEnd"/>
      <w:r w:rsidRPr="26CAED35" w:rsidR="26CAED35">
        <w:rPr>
          <w:rFonts w:ascii="Times New Roman" w:hAnsi="Times New Roman" w:eastAsia="Times New Roman" w:cs="Times New Roman"/>
        </w:rPr>
        <w:t xml:space="preserve"> and Rouse 2010</w:t>
      </w:r>
      <w:r w:rsidRPr="26CAED35" w:rsidR="26CAED35">
        <w:rPr>
          <w:rFonts w:ascii="Times New Roman" w:hAnsi="Times New Roman" w:eastAsia="Times New Roman" w:cs="Times New Roman"/>
        </w:rPr>
        <w:t xml:space="preserve"> p. 98</w:t>
      </w:r>
      <w:r w:rsidRPr="26CAED35" w:rsidR="26CAED35">
        <w:rPr>
          <w:rFonts w:ascii="Times New Roman" w:hAnsi="Times New Roman" w:eastAsia="Times New Roman" w:cs="Times New Roman"/>
        </w:rPr>
        <w:t>).</w:t>
      </w:r>
    </w:p>
    <w:p w:rsidR="26CAED35" w:rsidP="26CAED35" w:rsidRDefault="26CAED35" w14:paraId="00E16120" w14:textId="05422A50">
      <w:pPr>
        <w:pStyle w:val="Normal"/>
        <w:spacing w:line="360" w:lineRule="auto"/>
        <w:ind w:firstLine="720"/>
        <w:jc w:val="both"/>
        <w:rPr>
          <w:rFonts w:ascii="Times New Roman" w:hAnsi="Times New Roman" w:eastAsia="Times New Roman" w:cs="Times New Roman"/>
        </w:rPr>
      </w:pPr>
      <w:r w:rsidRPr="26CAED35" w:rsidR="26CAED35">
        <w:rPr>
          <w:rFonts w:ascii="Times New Roman" w:hAnsi="Times New Roman" w:eastAsia="Times New Roman" w:cs="Times New Roman"/>
        </w:rPr>
        <w:t>T</w:t>
      </w:r>
      <w:r w:rsidRPr="26CAED35" w:rsidR="26CAED35">
        <w:rPr>
          <w:rFonts w:ascii="Times New Roman" w:hAnsi="Times New Roman" w:eastAsia="Times New Roman" w:cs="Times New Roman"/>
        </w:rPr>
        <w:t>he</w:t>
      </w:r>
      <w:r w:rsidRPr="26CAED35" w:rsidR="26CAED35">
        <w:rPr>
          <w:rFonts w:ascii="Times New Roman" w:hAnsi="Times New Roman" w:eastAsia="Times New Roman" w:cs="Times New Roman"/>
        </w:rPr>
        <w:t xml:space="preserve"> role of the TA has grown into a far more complex position of the ‘classroom helper’ and with the ever</w:t>
      </w:r>
      <w:r w:rsidRPr="26CAED35" w:rsidR="26CAED35">
        <w:rPr>
          <w:rFonts w:ascii="Times New Roman" w:hAnsi="Times New Roman" w:eastAsia="Times New Roman" w:cs="Times New Roman"/>
        </w:rPr>
        <w:t>-</w:t>
      </w:r>
      <w:r w:rsidRPr="26CAED35" w:rsidR="26CAED35">
        <w:rPr>
          <w:rFonts w:ascii="Times New Roman" w:hAnsi="Times New Roman" w:eastAsia="Times New Roman" w:cs="Times New Roman"/>
        </w:rPr>
        <w:t xml:space="preserve">increasing numbers of TAs in schools today, there is now, more than ever before the need for definition of standards that TAs should adhere to in what has become a diverse professional role. There is clearly evidence that supports a body of TAs who feel undervalued and unappreciated in their everyday role, as Mackenzie pointed out and was backed up by Hammet and Burton (2005) who claimed that the status of TAs in schools was poor. </w:t>
      </w:r>
    </w:p>
    <w:p w:rsidR="26CAED35" w:rsidP="26CAED35" w:rsidRDefault="26CAED35" w14:noSpellErr="1" w14:paraId="335125D8" w14:textId="52BFEF3A">
      <w:pPr>
        <w:pStyle w:val="Normal"/>
        <w:spacing w:line="360" w:lineRule="auto"/>
        <w:jc w:val="both"/>
        <w:rPr>
          <w:rFonts w:ascii="Times New Roman" w:hAnsi="Times New Roman" w:eastAsia="Times New Roman" w:cs="Times New Roman"/>
          <w:noProof w:val="0"/>
          <w:sz w:val="22"/>
          <w:szCs w:val="22"/>
          <w:lang w:val="en-GB"/>
        </w:rPr>
      </w:pPr>
      <w:r w:rsidRPr="26CAED35" w:rsidR="26CAED35">
        <w:rPr>
          <w:rFonts w:ascii="Times New Roman" w:hAnsi="Times New Roman" w:eastAsia="Times New Roman" w:cs="Times New Roman"/>
        </w:rPr>
        <w:t xml:space="preserve">However, there are obvious demonstrations of work that is contradictory to these thoughts and show how there and many TAs who find their work fulfilling and rewarding. Indeed, there is also evidence that indicates that there are strong professional relationships between TAs and the teachers that they work, resulting in all parties communicating openly and effectively, which in turn impacts on children’s learning. </w:t>
      </w:r>
      <w:r w:rsidRPr="26CAED35" w:rsidR="26CAED35">
        <w:rPr>
          <w:rFonts w:ascii="Times New Roman" w:hAnsi="Times New Roman" w:eastAsia="Times New Roman" w:cs="Times New Roman"/>
        </w:rPr>
        <w:t>According to the Blatchford study “</w:t>
      </w:r>
      <w:r w:rsidRPr="26CAED35" w:rsidR="26CAED35">
        <w:rPr>
          <w:rFonts w:ascii="Times New Roman" w:hAnsi="Times New Roman" w:eastAsia="Times New Roman" w:cs="Times New Roman"/>
          <w:noProof w:val="0"/>
          <w:sz w:val="22"/>
          <w:szCs w:val="22"/>
          <w:lang w:val="en-GB"/>
        </w:rPr>
        <w:t>adult support led to increased attention by pupils, effective support for pupils’ learning, increased teacher effectiveness and increased learning outcomes for children</w:t>
      </w:r>
      <w:r w:rsidRPr="26CAED35" w:rsidR="26CAED35">
        <w:rPr>
          <w:rFonts w:ascii="Times New Roman" w:hAnsi="Times New Roman" w:eastAsia="Times New Roman" w:cs="Times New Roman"/>
          <w:noProof w:val="0"/>
          <w:sz w:val="22"/>
          <w:szCs w:val="22"/>
          <w:lang w:val="en-GB"/>
        </w:rPr>
        <w:t xml:space="preserve">” all of which confirm the value </w:t>
      </w:r>
      <w:r w:rsidRPr="26CAED35" w:rsidR="26CAED35">
        <w:rPr>
          <w:rFonts w:ascii="Times New Roman" w:hAnsi="Times New Roman" w:eastAsia="Times New Roman" w:cs="Times New Roman"/>
          <w:noProof w:val="0"/>
          <w:sz w:val="22"/>
          <w:szCs w:val="22"/>
          <w:lang w:val="en-GB"/>
        </w:rPr>
        <w:t>of</w:t>
      </w:r>
      <w:r w:rsidRPr="26CAED35" w:rsidR="26CAED35">
        <w:rPr>
          <w:rFonts w:ascii="Times New Roman" w:hAnsi="Times New Roman" w:eastAsia="Times New Roman" w:cs="Times New Roman"/>
          <w:noProof w:val="0"/>
          <w:sz w:val="22"/>
          <w:szCs w:val="22"/>
          <w:lang w:val="en-GB"/>
        </w:rPr>
        <w:t xml:space="preserve"> the TA in </w:t>
      </w:r>
      <w:r w:rsidRPr="26CAED35" w:rsidR="26CAED35">
        <w:rPr>
          <w:rFonts w:ascii="Times New Roman" w:hAnsi="Times New Roman" w:eastAsia="Times New Roman" w:cs="Times New Roman"/>
          <w:noProof w:val="0"/>
          <w:sz w:val="22"/>
          <w:szCs w:val="22"/>
          <w:lang w:val="en-GB"/>
        </w:rPr>
        <w:t>today’s</w:t>
      </w:r>
      <w:r w:rsidRPr="26CAED35" w:rsidR="26CAED35">
        <w:rPr>
          <w:rFonts w:ascii="Times New Roman" w:hAnsi="Times New Roman" w:eastAsia="Times New Roman" w:cs="Times New Roman"/>
          <w:noProof w:val="0"/>
          <w:sz w:val="22"/>
          <w:szCs w:val="22"/>
          <w:lang w:val="en-GB"/>
        </w:rPr>
        <w:t xml:space="preserve"> classrooms.</w:t>
      </w:r>
    </w:p>
    <w:p w:rsidR="007175E2" w:rsidP="26CAED35" w:rsidRDefault="007175E2" w14:paraId="36655EFB" w14:textId="63C9A7E2">
      <w:pPr>
        <w:pStyle w:val="Normal"/>
        <w:rPr>
          <w:rFonts w:ascii="Calibri" w:hAnsi="Calibri" w:eastAsia="Calibri" w:cs="Calibri"/>
        </w:rPr>
      </w:pPr>
      <w:proofErr w:type="spellStart"/>
      <w:proofErr w:type="spellEnd"/>
      <w:proofErr w:type="spellStart"/>
      <w:proofErr w:type="spellEnd"/>
    </w:p>
    <w:p w:rsidR="3015902C" w:rsidP="26CAED35" w:rsidRDefault="3015902C" w14:paraId="6AD3384A" w14:textId="2C67D18A">
      <w:pPr>
        <w:pStyle w:val="Normal"/>
        <w:rPr>
          <w:highlight w:val="green"/>
        </w:rPr>
      </w:pPr>
    </w:p>
    <w:p w:rsidR="22B1C1E1" w:rsidP="26CAED35" w:rsidRDefault="22B1C1E1" w14:paraId="2B7953C4" w14:noSpellErr="1" w14:textId="4A6BD4EA">
      <w:pPr>
        <w:pStyle w:val="Normal"/>
        <w:rPr>
          <w:rFonts w:ascii="Calibri" w:hAnsi="Calibri" w:eastAsia="Calibri" w:cs="Calibri"/>
          <w:noProof w:val="0"/>
          <w:sz w:val="22"/>
          <w:szCs w:val="22"/>
          <w:lang w:val="en-GB"/>
        </w:rPr>
      </w:pPr>
    </w:p>
    <w:p w:rsidR="22B1C1E1" w:rsidP="22B1C1E1" w:rsidRDefault="22B1C1E1" w14:noSpellErr="1" w14:paraId="0AD13D23" w14:textId="5D3683A8">
      <w:pPr>
        <w:pStyle w:val="Normal"/>
        <w:rPr>
          <w:rFonts w:ascii="Calibri" w:hAnsi="Calibri" w:eastAsia="Calibri" w:cs="Calibri"/>
          <w:noProof w:val="0"/>
          <w:sz w:val="22"/>
          <w:szCs w:val="22"/>
          <w:lang w:val="en-GB"/>
        </w:rPr>
      </w:pPr>
    </w:p>
    <w:p w:rsidR="22B1C1E1" w:rsidP="22B1C1E1" w:rsidRDefault="22B1C1E1" w14:noSpellErr="1" w14:paraId="66B13464" w14:textId="6D99A7BA">
      <w:pPr>
        <w:pStyle w:val="Normal"/>
        <w:rPr>
          <w:rFonts w:ascii="Calibri" w:hAnsi="Calibri" w:eastAsia="Calibri" w:cs="Calibri"/>
          <w:noProof w:val="0"/>
          <w:sz w:val="22"/>
          <w:szCs w:val="22"/>
          <w:lang w:val="en-GB"/>
        </w:rPr>
      </w:pPr>
    </w:p>
    <w:p w:rsidR="22B1C1E1" w:rsidP="26CAED35" w:rsidRDefault="22B1C1E1" w14:paraId="7FE329BB" w14:noSpellErr="1" w14:textId="37FBA091">
      <w:pPr>
        <w:pStyle w:val="Normal"/>
        <w:rPr>
          <w:rFonts w:ascii="Calibri" w:hAnsi="Calibri" w:eastAsia="Calibri" w:cs="Calibri"/>
          <w:noProof w:val="0"/>
          <w:sz w:val="22"/>
          <w:szCs w:val="22"/>
          <w:lang w:val="en-GB"/>
        </w:rPr>
      </w:pPr>
      <w:r w:rsidRPr="26CAED35" w:rsidR="26CAED35">
        <w:rPr>
          <w:rFonts w:ascii="Calibri" w:hAnsi="Calibri" w:eastAsia="Calibri" w:cs="Calibri"/>
          <w:b w:val="1"/>
          <w:bCs w:val="1"/>
          <w:noProof w:val="0"/>
          <w:sz w:val="22"/>
          <w:szCs w:val="22"/>
          <w:lang w:val="en-GB"/>
        </w:rPr>
        <w:t>R</w:t>
      </w:r>
      <w:r w:rsidRPr="26CAED35" w:rsidR="26CAED35">
        <w:rPr>
          <w:rFonts w:ascii="Calibri" w:hAnsi="Calibri" w:eastAsia="Calibri" w:cs="Calibri"/>
          <w:b w:val="1"/>
          <w:bCs w:val="1"/>
          <w:noProof w:val="0"/>
          <w:sz w:val="22"/>
          <w:szCs w:val="22"/>
          <w:lang w:val="en-GB"/>
        </w:rPr>
        <w:t>eferences</w:t>
      </w:r>
    </w:p>
    <w:p w:rsidR="22B1C1E1" w:rsidP="22B1C1E1" w:rsidRDefault="22B1C1E1" w14:noSpellErr="1" w14:paraId="1F17DCB1" w14:textId="5EE7E6F0">
      <w:pPr>
        <w:pStyle w:val="Normal"/>
        <w:rPr>
          <w:rFonts w:ascii="Calibri" w:hAnsi="Calibri" w:eastAsia="Calibri" w:cs="Calibri"/>
          <w:noProof w:val="0"/>
          <w:sz w:val="22"/>
          <w:szCs w:val="22"/>
          <w:lang w:val="en-GB"/>
        </w:rPr>
      </w:pPr>
      <w:r w:rsidRPr="26CAED35" w:rsidR="26CAED35">
        <w:rPr>
          <w:rFonts w:ascii="Calibri" w:hAnsi="Calibri" w:eastAsia="Calibri" w:cs="Calibri"/>
          <w:noProof w:val="0"/>
          <w:sz w:val="22"/>
          <w:szCs w:val="22"/>
          <w:lang w:val="en-GB"/>
        </w:rPr>
        <w:t xml:space="preserve">BEDFORD, D., JACKSON, C. and WILSON, E. </w:t>
      </w:r>
      <w:r w:rsidRPr="26CAED35" w:rsidR="26CAED35">
        <w:rPr>
          <w:rFonts w:ascii="Calibri" w:hAnsi="Calibri" w:eastAsia="Calibri" w:cs="Calibri"/>
          <w:i w:val="1"/>
          <w:iCs w:val="1"/>
          <w:noProof w:val="0"/>
          <w:sz w:val="22"/>
          <w:szCs w:val="22"/>
          <w:lang w:val="en-GB"/>
        </w:rPr>
        <w:t>Journal of In-Service Education</w:t>
      </w:r>
      <w:r w:rsidRPr="26CAED35" w:rsidR="26CAED35">
        <w:rPr>
          <w:rFonts w:ascii="Calibri" w:hAnsi="Calibri" w:eastAsia="Calibri" w:cs="Calibri"/>
          <w:i w:val="1"/>
          <w:iCs w:val="1"/>
          <w:noProof w:val="0"/>
          <w:sz w:val="22"/>
          <w:szCs w:val="22"/>
          <w:lang w:val="en-GB"/>
        </w:rPr>
        <w:t xml:space="preserve"> 43, p.18.</w:t>
      </w:r>
    </w:p>
    <w:p w:rsidR="26CAED35" w:rsidP="26CAED35" w:rsidRDefault="26CAED35" w14:noSpellErr="1" w14:paraId="32FE6E30" w14:textId="63E66B58">
      <w:pPr>
        <w:pStyle w:val="Normal"/>
      </w:pPr>
      <w:r w:rsidRPr="26CAED35" w:rsidR="26CAED35">
        <w:rPr>
          <w:rFonts w:ascii="Calibri" w:hAnsi="Calibri" w:eastAsia="Calibri" w:cs="Calibri"/>
          <w:noProof w:val="0"/>
          <w:sz w:val="22"/>
          <w:szCs w:val="22"/>
          <w:lang w:val="en-GB"/>
        </w:rPr>
        <w:t xml:space="preserve">BLATCHFORD, P., MARTIN, C., MORIARTY, V., BASSETT, P. and </w:t>
      </w:r>
      <w:r w:rsidRPr="26CAED35" w:rsidR="26CAED35">
        <w:rPr>
          <w:rFonts w:ascii="Calibri" w:hAnsi="Calibri" w:eastAsia="Calibri" w:cs="Calibri"/>
          <w:noProof w:val="0"/>
          <w:sz w:val="22"/>
          <w:szCs w:val="22"/>
          <w:lang w:val="en-GB"/>
        </w:rPr>
        <w:t>GOLDSTEIN</w:t>
      </w:r>
      <w:r w:rsidRPr="26CAED35" w:rsidR="26CAED35">
        <w:rPr>
          <w:rFonts w:ascii="Calibri" w:hAnsi="Calibri" w:eastAsia="Calibri" w:cs="Calibri"/>
          <w:noProof w:val="0"/>
          <w:sz w:val="22"/>
          <w:szCs w:val="22"/>
          <w:lang w:val="en-GB"/>
        </w:rPr>
        <w:t>,</w:t>
      </w:r>
      <w:r w:rsidRPr="26CAED35" w:rsidR="26CAED35">
        <w:rPr>
          <w:rFonts w:ascii="Calibri" w:hAnsi="Calibri" w:eastAsia="Calibri" w:cs="Calibri"/>
          <w:noProof w:val="0"/>
          <w:sz w:val="22"/>
          <w:szCs w:val="22"/>
          <w:lang w:val="en-GB"/>
        </w:rPr>
        <w:t xml:space="preserve"> H. (2001) Pupil Adult Ratio Differ</w:t>
      </w:r>
      <w:r w:rsidRPr="26CAED35" w:rsidR="26CAED35">
        <w:rPr>
          <w:rFonts w:ascii="Calibri" w:hAnsi="Calibri" w:eastAsia="Calibri" w:cs="Calibri"/>
          <w:noProof w:val="0"/>
          <w:sz w:val="22"/>
          <w:szCs w:val="22"/>
          <w:lang w:val="en-GB"/>
        </w:rPr>
        <w:t>ences</w:t>
      </w:r>
      <w:r w:rsidRPr="26CAED35" w:rsidR="26CAED35">
        <w:rPr>
          <w:rFonts w:ascii="Calibri" w:hAnsi="Calibri" w:eastAsia="Calibri" w:cs="Calibri"/>
          <w:noProof w:val="0"/>
          <w:sz w:val="22"/>
          <w:szCs w:val="22"/>
          <w:lang w:val="en-GB"/>
        </w:rPr>
        <w:t xml:space="preserve"> and </w:t>
      </w:r>
      <w:r w:rsidRPr="26CAED35" w:rsidR="26CAED35">
        <w:rPr>
          <w:rFonts w:ascii="Calibri" w:hAnsi="Calibri" w:eastAsia="Calibri" w:cs="Calibri"/>
          <w:noProof w:val="0"/>
          <w:sz w:val="22"/>
          <w:szCs w:val="22"/>
          <w:lang w:val="en-GB"/>
        </w:rPr>
        <w:t>Educati</w:t>
      </w:r>
      <w:r w:rsidRPr="26CAED35" w:rsidR="26CAED35">
        <w:rPr>
          <w:rFonts w:ascii="Calibri" w:hAnsi="Calibri" w:eastAsia="Calibri" w:cs="Calibri"/>
          <w:noProof w:val="0"/>
          <w:sz w:val="22"/>
          <w:szCs w:val="22"/>
          <w:lang w:val="en-GB"/>
        </w:rPr>
        <w:t xml:space="preserve">onal Progress over Key Stage 1. London: Institute of Education, University of London. </w:t>
      </w:r>
    </w:p>
    <w:p w:rsidR="26CAED35" w:rsidP="26CAED35" w:rsidRDefault="26CAED35" w14:noSpellErr="1" w14:paraId="79F901A4" w14:textId="6F5752FF">
      <w:pPr>
        <w:pStyle w:val="Normal"/>
        <w:rPr>
          <w:rFonts w:ascii="Calibri" w:hAnsi="Calibri" w:eastAsia="Calibri" w:cs="Calibri"/>
          <w:i w:val="0"/>
          <w:iCs w:val="0"/>
          <w:noProof w:val="0"/>
          <w:sz w:val="22"/>
          <w:szCs w:val="22"/>
          <w:lang w:val="en-GB"/>
        </w:rPr>
      </w:pPr>
      <w:r w:rsidRPr="26CAED35" w:rsidR="26CAED35">
        <w:rPr>
          <w:rFonts w:ascii="Calibri" w:hAnsi="Calibri" w:eastAsia="Calibri" w:cs="Calibri"/>
          <w:i w:val="0"/>
          <w:iCs w:val="0"/>
          <w:noProof w:val="0"/>
          <w:sz w:val="22"/>
          <w:szCs w:val="22"/>
          <w:lang w:val="en-GB"/>
        </w:rPr>
        <w:t>DEVECCHI, C and ROUSE, M. (</w:t>
      </w:r>
      <w:r w:rsidRPr="26CAED35" w:rsidR="26CAED35">
        <w:rPr>
          <w:rFonts w:ascii="Calibri" w:hAnsi="Calibri" w:eastAsia="Calibri" w:cs="Calibri"/>
          <w:i w:val="0"/>
          <w:iCs w:val="0"/>
          <w:noProof w:val="0"/>
          <w:sz w:val="22"/>
          <w:szCs w:val="22"/>
          <w:lang w:val="en-GB"/>
        </w:rPr>
        <w:t>1010) ‘An</w:t>
      </w:r>
      <w:r w:rsidRPr="26CAED35" w:rsidR="26CAED35">
        <w:rPr>
          <w:rFonts w:ascii="Calibri" w:hAnsi="Calibri" w:eastAsia="Calibri" w:cs="Calibri"/>
          <w:i w:val="0"/>
          <w:iCs w:val="0"/>
          <w:noProof w:val="0"/>
          <w:sz w:val="22"/>
          <w:szCs w:val="22"/>
          <w:lang w:val="en-GB"/>
        </w:rPr>
        <w:t xml:space="preserve"> Exploration of the Features of Effective Collaboration Between Teachers and Teaching Assistants’ in Secondary Schools’ </w:t>
      </w:r>
      <w:r w:rsidRPr="26CAED35" w:rsidR="26CAED35">
        <w:rPr>
          <w:rFonts w:ascii="Calibri" w:hAnsi="Calibri" w:eastAsia="Calibri" w:cs="Calibri"/>
          <w:i w:val="1"/>
          <w:iCs w:val="1"/>
          <w:noProof w:val="0"/>
          <w:sz w:val="22"/>
          <w:szCs w:val="22"/>
          <w:lang w:val="en-GB"/>
        </w:rPr>
        <w:t>Support for Learning 25, 91-100</w:t>
      </w:r>
    </w:p>
    <w:p w:rsidR="26CAED35" w:rsidP="26CAED35" w:rsidRDefault="26CAED35" w14:noSpellErr="1" w14:paraId="1D09A3DC" w14:textId="533233B4">
      <w:pPr>
        <w:pStyle w:val="Normal"/>
        <w:bidi w:val="0"/>
        <w:spacing w:before="0" w:beforeAutospacing="off" w:after="160" w:afterAutospacing="off" w:line="259" w:lineRule="auto"/>
        <w:ind w:left="0" w:right="0"/>
        <w:jc w:val="left"/>
        <w:rPr>
          <w:rFonts w:ascii="Calibri" w:hAnsi="Calibri" w:eastAsia="Calibri" w:cs="Calibri"/>
          <w:i w:val="1"/>
          <w:iCs w:val="1"/>
          <w:noProof w:val="0"/>
          <w:sz w:val="22"/>
          <w:szCs w:val="22"/>
          <w:lang w:val="en-GB"/>
        </w:rPr>
      </w:pPr>
      <w:r w:rsidRPr="26CAED35" w:rsidR="26CAED35">
        <w:rPr>
          <w:rFonts w:ascii="Calibri" w:hAnsi="Calibri" w:eastAsia="Calibri" w:cs="Calibri"/>
          <w:i w:val="0"/>
          <w:iCs w:val="0"/>
          <w:noProof w:val="0"/>
          <w:sz w:val="22"/>
          <w:szCs w:val="22"/>
          <w:lang w:val="en-GB"/>
        </w:rPr>
        <w:t>HAMMETT, N</w:t>
      </w:r>
      <w:r w:rsidRPr="26CAED35" w:rsidR="26CAED35">
        <w:rPr>
          <w:rFonts w:ascii="Calibri" w:hAnsi="Calibri" w:eastAsia="Calibri" w:cs="Calibri"/>
          <w:i w:val="0"/>
          <w:iCs w:val="0"/>
          <w:noProof w:val="0"/>
          <w:sz w:val="22"/>
          <w:szCs w:val="22"/>
          <w:lang w:val="en-GB"/>
        </w:rPr>
        <w:t>. and BURTON, N. (2005) Motivation, stress and learning support assistants: an examination of staff perceptions at a rural secondary school.</w:t>
      </w:r>
      <w:r w:rsidRPr="26CAED35" w:rsidR="26CAED35">
        <w:rPr>
          <w:rFonts w:ascii="Calibri" w:hAnsi="Calibri" w:eastAsia="Calibri" w:cs="Calibri"/>
          <w:i w:val="1"/>
          <w:iCs w:val="1"/>
          <w:noProof w:val="0"/>
          <w:sz w:val="22"/>
          <w:szCs w:val="22"/>
          <w:lang w:val="en-GB"/>
        </w:rPr>
        <w:t xml:space="preserve"> School leadership and Management,</w:t>
      </w:r>
      <w:r w:rsidRPr="26CAED35" w:rsidR="26CAED35">
        <w:rPr>
          <w:rFonts w:ascii="Calibri" w:hAnsi="Calibri" w:eastAsia="Calibri" w:cs="Calibri"/>
          <w:i w:val="0"/>
          <w:iCs w:val="0"/>
          <w:noProof w:val="0"/>
          <w:sz w:val="22"/>
          <w:szCs w:val="22"/>
          <w:lang w:val="en-GB"/>
        </w:rPr>
        <w:t xml:space="preserve"> 25, 5, 441-454</w:t>
      </w:r>
    </w:p>
    <w:p w:rsidR="22B1C1E1" w:rsidP="26CAED35" w:rsidRDefault="22B1C1E1" w14:paraId="0232B415" w14:noSpellErr="1" w14:textId="77B6D7C8">
      <w:pPr>
        <w:pStyle w:val="Normal"/>
        <w:rPr>
          <w:rFonts w:ascii="Calibri" w:hAnsi="Calibri" w:eastAsia="Calibri" w:cs="Calibri"/>
          <w:noProof w:val="0"/>
          <w:sz w:val="22"/>
          <w:szCs w:val="22"/>
          <w:lang w:val="en-GB"/>
        </w:rPr>
      </w:pPr>
      <w:r w:rsidRPr="26CAED35" w:rsidR="26CAED35">
        <w:rPr>
          <w:rFonts w:ascii="Calibri" w:hAnsi="Calibri" w:eastAsia="Calibri" w:cs="Calibri"/>
          <w:noProof w:val="0"/>
          <w:sz w:val="22"/>
          <w:szCs w:val="22"/>
          <w:lang w:val="en-GB"/>
        </w:rPr>
        <w:t>HOWES,</w:t>
      </w:r>
      <w:r w:rsidRPr="26CAED35" w:rsidR="26CAED35">
        <w:rPr>
          <w:rFonts w:ascii="Calibri" w:hAnsi="Calibri" w:eastAsia="Calibri" w:cs="Calibri"/>
          <w:noProof w:val="0"/>
          <w:sz w:val="22"/>
          <w:szCs w:val="22"/>
          <w:lang w:val="en-GB"/>
        </w:rPr>
        <w:t xml:space="preserve"> </w:t>
      </w:r>
      <w:r w:rsidRPr="26CAED35" w:rsidR="26CAED35">
        <w:rPr>
          <w:rFonts w:ascii="Calibri" w:hAnsi="Calibri" w:eastAsia="Calibri" w:cs="Calibri"/>
          <w:noProof w:val="0"/>
          <w:sz w:val="22"/>
          <w:szCs w:val="22"/>
          <w:lang w:val="en-GB"/>
        </w:rPr>
        <w:t xml:space="preserve">A. (2003) ‘Teaching reforms and the impact of paid adult support on participation and learning in mainstream school’ </w:t>
      </w:r>
      <w:r w:rsidRPr="26CAED35" w:rsidR="26CAED35">
        <w:rPr>
          <w:rFonts w:ascii="Calibri" w:hAnsi="Calibri" w:eastAsia="Calibri" w:cs="Calibri"/>
          <w:i w:val="1"/>
          <w:iCs w:val="1"/>
          <w:noProof w:val="0"/>
          <w:sz w:val="22"/>
          <w:szCs w:val="22"/>
          <w:lang w:val="en-GB"/>
        </w:rPr>
        <w:t>Support for Learning</w:t>
      </w:r>
      <w:r w:rsidRPr="26CAED35" w:rsidR="26CAED35">
        <w:rPr>
          <w:rFonts w:ascii="Calibri" w:hAnsi="Calibri" w:eastAsia="Calibri" w:cs="Calibri"/>
          <w:noProof w:val="0"/>
          <w:sz w:val="22"/>
          <w:szCs w:val="22"/>
          <w:lang w:val="en-GB"/>
        </w:rPr>
        <w:t>, 18 (4), 147–153.</w:t>
      </w:r>
    </w:p>
    <w:p w:rsidR="22B1C1E1" w:rsidP="26CAED35" w:rsidRDefault="22B1C1E1" w14:paraId="156D1929" w14:noSpellErr="1" w14:textId="768C34B2">
      <w:pPr>
        <w:pStyle w:val="Normal"/>
        <w:rPr>
          <w:rFonts w:ascii="Calibri" w:hAnsi="Calibri" w:eastAsia="Calibri" w:cs="Calibri"/>
          <w:noProof w:val="0"/>
          <w:sz w:val="22"/>
          <w:szCs w:val="22"/>
          <w:lang w:val="en-GB"/>
        </w:rPr>
      </w:pPr>
      <w:r w:rsidRPr="26CAED35" w:rsidR="26CAED35">
        <w:rPr>
          <w:rFonts w:ascii="Calibri" w:hAnsi="Calibri" w:eastAsia="Calibri" w:cs="Calibri"/>
          <w:noProof w:val="0"/>
          <w:sz w:val="22"/>
          <w:szCs w:val="22"/>
          <w:lang w:val="en-GB"/>
        </w:rPr>
        <w:t xml:space="preserve">JAKSEC, C. (2013) </w:t>
      </w:r>
      <w:r w:rsidRPr="26CAED35" w:rsidR="26CAED35">
        <w:rPr>
          <w:rFonts w:ascii="Calibri" w:hAnsi="Calibri" w:eastAsia="Calibri" w:cs="Calibri"/>
          <w:i w:val="1"/>
          <w:iCs w:val="1"/>
          <w:noProof w:val="0"/>
          <w:sz w:val="22"/>
          <w:szCs w:val="22"/>
          <w:lang w:val="en-GB"/>
        </w:rPr>
        <w:t xml:space="preserve">The Confrontational Parent: Practical Guide for School Leaders: </w:t>
      </w:r>
      <w:r w:rsidRPr="26CAED35" w:rsidR="26CAED35">
        <w:rPr>
          <w:rFonts w:ascii="Calibri" w:hAnsi="Calibri" w:eastAsia="Calibri" w:cs="Calibri"/>
          <w:i w:val="0"/>
          <w:iCs w:val="0"/>
          <w:noProof w:val="0"/>
          <w:sz w:val="22"/>
          <w:szCs w:val="22"/>
          <w:lang w:val="en-GB"/>
        </w:rPr>
        <w:t>Routledge</w:t>
      </w:r>
    </w:p>
    <w:p w:rsidR="22B1C1E1" w:rsidP="26CAED35" w:rsidRDefault="22B1C1E1" w14:paraId="7B7283D6" w14:textId="5BAD0A05" w14:noSpellErr="1">
      <w:pPr>
        <w:pStyle w:val="Normal"/>
        <w:rPr>
          <w:rFonts w:ascii="Calibri" w:hAnsi="Calibri" w:eastAsia="Calibri" w:cs="Calibri"/>
          <w:noProof w:val="0"/>
          <w:sz w:val="22"/>
          <w:szCs w:val="22"/>
          <w:lang w:val="en-GB"/>
        </w:rPr>
      </w:pPr>
      <w:r w:rsidRPr="26CAED35" w:rsidR="26CAED35">
        <w:rPr>
          <w:rFonts w:ascii="Calibri" w:hAnsi="Calibri" w:eastAsia="Calibri" w:cs="Calibri"/>
          <w:noProof w:val="0"/>
          <w:sz w:val="22"/>
          <w:szCs w:val="22"/>
          <w:lang w:val="en-GB"/>
        </w:rPr>
        <w:t xml:space="preserve">LOGAN,E. and FEILER, A. (2006) </w:t>
      </w:r>
      <w:r w:rsidRPr="26CAED35" w:rsidR="26CAED35">
        <w:rPr>
          <w:rFonts w:ascii="Calibri" w:hAnsi="Calibri" w:eastAsia="Calibri" w:cs="Calibri"/>
          <w:i w:val="1"/>
          <w:iCs w:val="1"/>
          <w:noProof w:val="0"/>
          <w:sz w:val="22"/>
          <w:szCs w:val="22"/>
          <w:lang w:val="en-GB"/>
        </w:rPr>
        <w:t>‘</w:t>
      </w:r>
      <w:r w:rsidRPr="26CAED35" w:rsidR="26CAED35">
        <w:rPr>
          <w:rFonts w:ascii="Calibri" w:hAnsi="Calibri" w:eastAsia="Calibri" w:cs="Calibri"/>
          <w:i w:val="0"/>
          <w:iCs w:val="0"/>
          <w:noProof w:val="0"/>
          <w:sz w:val="22"/>
          <w:szCs w:val="22"/>
          <w:lang w:val="en-GB"/>
        </w:rPr>
        <w:t>Forging links between schools: a new role for Teaching Assistant</w:t>
      </w:r>
      <w:r w:rsidRPr="26CAED35" w:rsidR="26CAED35">
        <w:rPr>
          <w:rFonts w:ascii="Calibri" w:hAnsi="Calibri" w:eastAsia="Calibri" w:cs="Calibri"/>
          <w:i w:val="0"/>
          <w:iCs w:val="0"/>
          <w:noProof w:val="0"/>
          <w:sz w:val="22"/>
          <w:szCs w:val="22"/>
          <w:lang w:val="en-GB"/>
        </w:rPr>
        <w:t>s</w:t>
      </w:r>
      <w:r w:rsidRPr="26CAED35" w:rsidR="26CAED35">
        <w:rPr>
          <w:rFonts w:ascii="Calibri" w:hAnsi="Calibri" w:eastAsia="Calibri" w:cs="Calibri"/>
          <w:i w:val="1"/>
          <w:iCs w:val="1"/>
          <w:noProof w:val="0"/>
          <w:sz w:val="22"/>
          <w:szCs w:val="22"/>
          <w:lang w:val="en-GB"/>
        </w:rPr>
        <w:t>’</w:t>
      </w:r>
      <w:r w:rsidRPr="26CAED35" w:rsidR="26CAED35">
        <w:rPr>
          <w:rFonts w:ascii="Calibri" w:hAnsi="Calibri" w:eastAsia="Calibri" w:cs="Calibri"/>
          <w:noProof w:val="0"/>
          <w:sz w:val="22"/>
          <w:szCs w:val="22"/>
          <w:lang w:val="en-GB"/>
        </w:rPr>
        <w:t xml:space="preserve"> </w:t>
      </w:r>
      <w:r w:rsidRPr="26CAED35" w:rsidR="26CAED35">
        <w:rPr>
          <w:rFonts w:ascii="Calibri" w:hAnsi="Calibri" w:eastAsia="Calibri" w:cs="Calibri"/>
          <w:i w:val="1"/>
          <w:iCs w:val="1"/>
          <w:noProof w:val="0"/>
          <w:sz w:val="22"/>
          <w:szCs w:val="22"/>
          <w:lang w:val="en-GB"/>
        </w:rPr>
        <w:t>Support for Learning</w:t>
      </w:r>
      <w:r w:rsidRPr="26CAED35" w:rsidR="26CAED35">
        <w:rPr>
          <w:rFonts w:ascii="Calibri" w:hAnsi="Calibri" w:eastAsia="Calibri" w:cs="Calibri"/>
          <w:noProof w:val="0"/>
          <w:sz w:val="22"/>
          <w:szCs w:val="22"/>
          <w:lang w:val="en-GB"/>
        </w:rPr>
        <w:t>, 21, 115-120</w:t>
      </w:r>
    </w:p>
    <w:p w:rsidR="22B1C1E1" w:rsidP="26CAED35" w:rsidRDefault="22B1C1E1" w14:paraId="3C8BEBDF" w14:noSpellErr="1" w14:textId="50ED00C7">
      <w:pPr>
        <w:pStyle w:val="Normal"/>
        <w:rPr>
          <w:rFonts w:ascii="Calibri" w:hAnsi="Calibri" w:eastAsia="Calibri" w:cs="Calibri"/>
          <w:noProof w:val="0"/>
          <w:sz w:val="22"/>
          <w:szCs w:val="22"/>
          <w:lang w:val="en-GB"/>
        </w:rPr>
      </w:pPr>
      <w:r w:rsidRPr="26CAED35" w:rsidR="26CAED35">
        <w:rPr>
          <w:rFonts w:ascii="Calibri" w:hAnsi="Calibri" w:eastAsia="Calibri" w:cs="Calibri"/>
          <w:noProof w:val="0"/>
          <w:sz w:val="22"/>
          <w:szCs w:val="22"/>
          <w:lang w:val="en-GB"/>
        </w:rPr>
        <w:t xml:space="preserve">MACKENZIE, S. (2011) ‘Yes, but...’: rhetoric, reality and resistance in teaching assistants’ experiences of inclusive education’ </w:t>
      </w:r>
      <w:r w:rsidRPr="26CAED35" w:rsidR="26CAED35">
        <w:rPr>
          <w:rFonts w:ascii="Calibri" w:hAnsi="Calibri" w:eastAsia="Calibri" w:cs="Calibri"/>
          <w:i w:val="1"/>
          <w:iCs w:val="1"/>
          <w:noProof w:val="0"/>
          <w:sz w:val="22"/>
          <w:szCs w:val="22"/>
          <w:lang w:val="en-GB"/>
        </w:rPr>
        <w:t>British Journal of Learning Support, Support for Learning 26, 64-71.</w:t>
      </w:r>
    </w:p>
    <w:p w:rsidR="22B1C1E1" w:rsidP="22B1C1E1" w:rsidRDefault="22B1C1E1" w14:noSpellErr="1" w14:paraId="296D7988" w14:textId="3445CF5C">
      <w:pPr>
        <w:pStyle w:val="Normal"/>
      </w:pPr>
      <w:r w:rsidRPr="22B1C1E1" w:rsidR="22B1C1E1">
        <w:rPr>
          <w:rFonts w:ascii="Calibri" w:hAnsi="Calibri" w:eastAsia="Calibri" w:cs="Calibri"/>
          <w:noProof w:val="0"/>
          <w:sz w:val="22"/>
          <w:szCs w:val="22"/>
          <w:lang w:val="en-GB"/>
        </w:rPr>
        <w:t>OFSTED (2004) Reading for Purpose and Pleasure. London: Ofsted.</w:t>
      </w:r>
    </w:p>
    <w:p w:rsidR="22B1C1E1" w:rsidP="26CAED35" w:rsidRDefault="22B1C1E1" w14:paraId="46AED4E9" w14:noSpellErr="1" w14:textId="7C150AD0">
      <w:pPr>
        <w:pStyle w:val="Normal"/>
        <w:rPr>
          <w:rFonts w:ascii="Calibri" w:hAnsi="Calibri" w:eastAsia="Calibri" w:cs="Calibri"/>
          <w:i w:val="1"/>
          <w:iCs w:val="1"/>
          <w:noProof w:val="0"/>
          <w:sz w:val="22"/>
          <w:szCs w:val="22"/>
          <w:lang w:val="en-GB"/>
        </w:rPr>
      </w:pPr>
      <w:r w:rsidRPr="26CAED35" w:rsidR="26CAED35">
        <w:rPr>
          <w:rFonts w:ascii="Calibri" w:hAnsi="Calibri" w:eastAsia="Calibri" w:cs="Calibri"/>
          <w:noProof w:val="0"/>
          <w:sz w:val="22"/>
          <w:szCs w:val="22"/>
          <w:lang w:val="en-GB"/>
        </w:rPr>
        <w:t>SHARPE,</w:t>
      </w:r>
      <w:r w:rsidRPr="26CAED35" w:rsidR="26CAED35">
        <w:rPr>
          <w:rFonts w:ascii="Calibri" w:hAnsi="Calibri" w:eastAsia="Calibri" w:cs="Calibri"/>
          <w:noProof w:val="0"/>
          <w:sz w:val="22"/>
          <w:szCs w:val="22"/>
          <w:lang w:val="en-GB"/>
        </w:rPr>
        <w:t xml:space="preserve"> </w:t>
      </w:r>
      <w:r w:rsidRPr="26CAED35" w:rsidR="26CAED35">
        <w:rPr>
          <w:rFonts w:ascii="Calibri" w:hAnsi="Calibri" w:eastAsia="Calibri" w:cs="Calibri"/>
          <w:noProof w:val="0"/>
          <w:sz w:val="22"/>
          <w:szCs w:val="22"/>
          <w:lang w:val="en-GB"/>
        </w:rPr>
        <w:t>M. (</w:t>
      </w:r>
      <w:proofErr w:type="gramStart"/>
      <w:r w:rsidRPr="26CAED35" w:rsidR="26CAED35">
        <w:rPr>
          <w:rFonts w:ascii="Calibri" w:hAnsi="Calibri" w:eastAsia="Calibri" w:cs="Calibri"/>
          <w:noProof w:val="0"/>
          <w:sz w:val="22"/>
          <w:szCs w:val="22"/>
          <w:lang w:val="en-GB"/>
        </w:rPr>
        <w:t>2005)</w:t>
      </w:r>
      <w:r w:rsidRPr="26CAED35" w:rsidR="26CAED35">
        <w:rPr>
          <w:rFonts w:ascii="Calibri" w:hAnsi="Calibri" w:eastAsia="Calibri" w:cs="Calibri"/>
          <w:b w:val="0"/>
          <w:bCs w:val="0"/>
          <w:i w:val="1"/>
          <w:iCs w:val="1"/>
          <w:noProof w:val="0"/>
          <w:color w:val="000000" w:themeColor="text1" w:themeTint="FF" w:themeShade="FF"/>
          <w:sz w:val="21"/>
          <w:szCs w:val="21"/>
          <w:lang w:val="en-GB"/>
        </w:rPr>
        <w:t>New</w:t>
      </w:r>
      <w:proofErr w:type="gramEnd"/>
      <w:r w:rsidRPr="26CAED35" w:rsidR="26CAED35">
        <w:rPr>
          <w:rFonts w:ascii="Calibri" w:hAnsi="Calibri" w:eastAsia="Calibri" w:cs="Calibri"/>
          <w:b w:val="0"/>
          <w:bCs w:val="0"/>
          <w:i w:val="1"/>
          <w:iCs w:val="1"/>
          <w:noProof w:val="0"/>
          <w:color w:val="000000" w:themeColor="text1" w:themeTint="FF" w:themeShade="FF"/>
          <w:sz w:val="21"/>
          <w:szCs w:val="21"/>
          <w:lang w:val="en-GB"/>
        </w:rPr>
        <w:t xml:space="preserve"> partnerships for learning: an investigation into the backgrounds, experience and deployment of teaching assistants gaining HLTA status, employed in schools.  </w:t>
      </w:r>
      <w:r w:rsidRPr="26CAED35" w:rsidR="26CAED35">
        <w:rPr>
          <w:rFonts w:ascii="Calibri" w:hAnsi="Calibri" w:eastAsia="Calibri" w:cs="Calibri"/>
          <w:b w:val="0"/>
          <w:bCs w:val="0"/>
          <w:i w:val="0"/>
          <w:iCs w:val="0"/>
          <w:noProof w:val="0"/>
          <w:color w:val="000000" w:themeColor="text1" w:themeTint="FF" w:themeShade="FF"/>
          <w:sz w:val="21"/>
          <w:szCs w:val="21"/>
          <w:lang w:val="en-GB"/>
        </w:rPr>
        <w:t>Unpublished report to DfES</w:t>
      </w:r>
    </w:p>
    <w:p w:rsidR="22B1C1E1" w:rsidP="22B1C1E1" w:rsidRDefault="22B1C1E1" w14:noSpellErr="1" w14:paraId="25D7ED8E" w14:textId="0840CA9A">
      <w:pPr>
        <w:pStyle w:val="Normal"/>
      </w:pPr>
      <w:r w:rsidRPr="22B1C1E1" w:rsidR="22B1C1E1">
        <w:rPr>
          <w:rFonts w:ascii="Calibri" w:hAnsi="Calibri" w:eastAsia="Calibri" w:cs="Calibri"/>
          <w:b w:val="0"/>
          <w:bCs w:val="0"/>
          <w:i w:val="0"/>
          <w:iCs w:val="0"/>
          <w:noProof w:val="0"/>
          <w:color w:val="000000" w:themeColor="text1" w:themeTint="FF" w:themeShade="FF"/>
          <w:sz w:val="21"/>
          <w:szCs w:val="21"/>
          <w:lang w:val="en-GB"/>
        </w:rPr>
        <w:t>THOMAS,G.</w:t>
      </w:r>
      <w:r w:rsidRPr="22B1C1E1" w:rsidR="22B1C1E1">
        <w:rPr>
          <w:rFonts w:ascii="Calibri" w:hAnsi="Calibri" w:eastAsia="Calibri" w:cs="Calibri"/>
          <w:b w:val="0"/>
          <w:bCs w:val="0"/>
          <w:i w:val="0"/>
          <w:iCs w:val="0"/>
          <w:noProof w:val="0"/>
          <w:color w:val="000000" w:themeColor="text1" w:themeTint="FF" w:themeShade="FF"/>
          <w:sz w:val="21"/>
          <w:szCs w:val="21"/>
          <w:lang w:val="en-GB"/>
        </w:rPr>
        <w:t xml:space="preserve">, WALKER,D. and </w:t>
      </w:r>
      <w:r w:rsidRPr="22B1C1E1" w:rsidR="22B1C1E1">
        <w:rPr>
          <w:rFonts w:ascii="Calibri" w:hAnsi="Calibri" w:eastAsia="Calibri" w:cs="Calibri"/>
          <w:b w:val="0"/>
          <w:bCs w:val="0"/>
          <w:i w:val="0"/>
          <w:iCs w:val="0"/>
          <w:noProof w:val="0"/>
          <w:color w:val="000000" w:themeColor="text1" w:themeTint="FF" w:themeShade="FF"/>
          <w:sz w:val="21"/>
          <w:szCs w:val="21"/>
          <w:lang w:val="en-GB"/>
        </w:rPr>
        <w:t>WEBB,J</w:t>
      </w:r>
      <w:r w:rsidRPr="22B1C1E1" w:rsidR="22B1C1E1">
        <w:rPr>
          <w:rFonts w:ascii="Calibri" w:hAnsi="Calibri" w:eastAsia="Calibri" w:cs="Calibri"/>
          <w:b w:val="0"/>
          <w:bCs w:val="0"/>
          <w:i w:val="0"/>
          <w:iCs w:val="0"/>
          <w:noProof w:val="0"/>
          <w:color w:val="000000" w:themeColor="text1" w:themeTint="FF" w:themeShade="FF"/>
          <w:sz w:val="21"/>
          <w:szCs w:val="21"/>
          <w:lang w:val="en-GB"/>
        </w:rPr>
        <w:t xml:space="preserve">. (1998) </w:t>
      </w:r>
      <w:r w:rsidRPr="22B1C1E1" w:rsidR="22B1C1E1">
        <w:rPr>
          <w:rFonts w:ascii="Calibri" w:hAnsi="Calibri" w:eastAsia="Calibri" w:cs="Calibri"/>
          <w:b w:val="0"/>
          <w:bCs w:val="0"/>
          <w:i w:val="1"/>
          <w:iCs w:val="1"/>
          <w:noProof w:val="0"/>
          <w:color w:val="000000" w:themeColor="text1" w:themeTint="FF" w:themeShade="FF"/>
          <w:sz w:val="21"/>
          <w:szCs w:val="21"/>
          <w:lang w:val="en-GB"/>
        </w:rPr>
        <w:t>The Making of the Inclusive School.</w:t>
      </w:r>
      <w:r w:rsidRPr="22B1C1E1" w:rsidR="22B1C1E1">
        <w:rPr>
          <w:rFonts w:ascii="Calibri" w:hAnsi="Calibri" w:eastAsia="Calibri" w:cs="Calibri"/>
          <w:b w:val="0"/>
          <w:bCs w:val="0"/>
          <w:i w:val="0"/>
          <w:iCs w:val="0"/>
          <w:noProof w:val="0"/>
          <w:color w:val="000000" w:themeColor="text1" w:themeTint="FF" w:themeShade="FF"/>
          <w:sz w:val="21"/>
          <w:szCs w:val="21"/>
          <w:lang w:val="en-GB"/>
        </w:rPr>
        <w:t xml:space="preserve"> London: Routledge.</w:t>
      </w:r>
    </w:p>
    <w:p w:rsidR="22B1C1E1" w:rsidP="22B1C1E1" w:rsidRDefault="22B1C1E1" w14:noSpellErr="1" w14:paraId="617C8C2A" w14:textId="1371CFEC">
      <w:pPr>
        <w:pStyle w:val="Normal"/>
        <w:rPr>
          <w:rFonts w:ascii="Calibri" w:hAnsi="Calibri" w:eastAsia="Calibri" w:cs="Calibri"/>
          <w:noProof w:val="0"/>
          <w:sz w:val="21"/>
          <w:szCs w:val="21"/>
          <w:lang w:val="en-GB"/>
        </w:rPr>
      </w:pPr>
    </w:p>
    <w:sectPr w:rsidR="58507A66">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3118" w:rsidP="009642A1" w:rsidRDefault="00893118" w14:paraId="78429C1B" w14:textId="77777777">
      <w:pPr>
        <w:spacing w:after="0" w:line="240" w:lineRule="auto"/>
      </w:pPr>
      <w:r>
        <w:separator/>
      </w:r>
    </w:p>
  </w:endnote>
  <w:endnote w:type="continuationSeparator" w:id="0">
    <w:p w:rsidR="00893118" w:rsidP="009642A1" w:rsidRDefault="00893118" w14:paraId="74CA04E8" w14:textId="77777777">
      <w:pPr>
        <w:spacing w:after="0" w:line="240" w:lineRule="auto"/>
      </w:pPr>
      <w:r>
        <w:continuationSeparator/>
      </w:r>
    </w:p>
  </w:endnote>
  <w:endnote w:type="continuationNotice" w:id="1">
    <w:p w:rsidR="00893118" w:rsidRDefault="00893118" w14:paraId="64BB6F0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3118" w:rsidP="009642A1" w:rsidRDefault="00893118" w14:paraId="178D1C96" w14:textId="77777777">
      <w:pPr>
        <w:spacing w:after="0" w:line="240" w:lineRule="auto"/>
      </w:pPr>
      <w:r>
        <w:separator/>
      </w:r>
    </w:p>
  </w:footnote>
  <w:footnote w:type="continuationSeparator" w:id="0">
    <w:p w:rsidR="00893118" w:rsidP="009642A1" w:rsidRDefault="00893118" w14:paraId="4193D472" w14:textId="77777777">
      <w:pPr>
        <w:spacing w:after="0" w:line="240" w:lineRule="auto"/>
      </w:pPr>
      <w:r>
        <w:continuationSeparator/>
      </w:r>
    </w:p>
  </w:footnote>
  <w:footnote w:type="continuationNotice" w:id="1">
    <w:p w:rsidR="00893118" w:rsidRDefault="00893118" w14:paraId="2FEF59DA"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E20CBF"/>
    <w:rsid w:val="00047D5E"/>
    <w:rsid w:val="0005130E"/>
    <w:rsid w:val="00056D50"/>
    <w:rsid w:val="00067546"/>
    <w:rsid w:val="0007073D"/>
    <w:rsid w:val="00077307"/>
    <w:rsid w:val="00077F1F"/>
    <w:rsid w:val="00101D8C"/>
    <w:rsid w:val="00181F4E"/>
    <w:rsid w:val="001C398E"/>
    <w:rsid w:val="001D193B"/>
    <w:rsid w:val="00265A28"/>
    <w:rsid w:val="00285361"/>
    <w:rsid w:val="002F09A8"/>
    <w:rsid w:val="00333F0A"/>
    <w:rsid w:val="00350EB8"/>
    <w:rsid w:val="003C3089"/>
    <w:rsid w:val="004152FF"/>
    <w:rsid w:val="00422AD9"/>
    <w:rsid w:val="0042355F"/>
    <w:rsid w:val="00622854"/>
    <w:rsid w:val="006766F5"/>
    <w:rsid w:val="00682F91"/>
    <w:rsid w:val="006B34AC"/>
    <w:rsid w:val="006C7404"/>
    <w:rsid w:val="007175E2"/>
    <w:rsid w:val="00725FE9"/>
    <w:rsid w:val="0077238C"/>
    <w:rsid w:val="007A14D9"/>
    <w:rsid w:val="007B28EF"/>
    <w:rsid w:val="007D2D11"/>
    <w:rsid w:val="007F0D5D"/>
    <w:rsid w:val="00812C74"/>
    <w:rsid w:val="00821D74"/>
    <w:rsid w:val="00856AE5"/>
    <w:rsid w:val="008638A2"/>
    <w:rsid w:val="0086765C"/>
    <w:rsid w:val="00893118"/>
    <w:rsid w:val="008A160B"/>
    <w:rsid w:val="008C141A"/>
    <w:rsid w:val="008F5D32"/>
    <w:rsid w:val="009642A1"/>
    <w:rsid w:val="009D2ECA"/>
    <w:rsid w:val="00A335FB"/>
    <w:rsid w:val="00A6656C"/>
    <w:rsid w:val="00AA1192"/>
    <w:rsid w:val="00AA23C7"/>
    <w:rsid w:val="00AB1622"/>
    <w:rsid w:val="00AD5E5F"/>
    <w:rsid w:val="00B30780"/>
    <w:rsid w:val="00B30DB8"/>
    <w:rsid w:val="00B64601"/>
    <w:rsid w:val="00B7510B"/>
    <w:rsid w:val="00B85B0C"/>
    <w:rsid w:val="00BF33EC"/>
    <w:rsid w:val="00C90E28"/>
    <w:rsid w:val="00D85A74"/>
    <w:rsid w:val="00EE03DC"/>
    <w:rsid w:val="00F13235"/>
    <w:rsid w:val="00FA166F"/>
    <w:rsid w:val="00FE1840"/>
    <w:rsid w:val="037ABF22"/>
    <w:rsid w:val="0D346284"/>
    <w:rsid w:val="198F0F65"/>
    <w:rsid w:val="204028CD"/>
    <w:rsid w:val="20E20CBF"/>
    <w:rsid w:val="2176647C"/>
    <w:rsid w:val="22905704"/>
    <w:rsid w:val="22B1C1E1"/>
    <w:rsid w:val="22ED4545"/>
    <w:rsid w:val="26CAED35"/>
    <w:rsid w:val="2C437DE4"/>
    <w:rsid w:val="2DCFF8A8"/>
    <w:rsid w:val="2E8A773D"/>
    <w:rsid w:val="3015902C"/>
    <w:rsid w:val="36F94C5F"/>
    <w:rsid w:val="3847761D"/>
    <w:rsid w:val="3A004A78"/>
    <w:rsid w:val="42C42519"/>
    <w:rsid w:val="4CF30943"/>
    <w:rsid w:val="537E7E32"/>
    <w:rsid w:val="58507A66"/>
    <w:rsid w:val="59BD840C"/>
    <w:rsid w:val="60574D64"/>
    <w:rsid w:val="69FD0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E20CBF"/>
  <w15:chartTrackingRefBased/>
  <w15:docId w15:val="{0769976E-AAF0-425C-82B3-222C3C7A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paragraph" w:styleId="Header">
    <w:name w:val="header"/>
    <w:basedOn w:val="Normal"/>
    <w:link w:val="HeaderChar"/>
    <w:uiPriority w:val="99"/>
    <w:unhideWhenUsed/>
    <w:rsid w:val="009642A1"/>
    <w:pPr>
      <w:tabs>
        <w:tab w:val="center" w:pos="4513"/>
        <w:tab w:val="right" w:pos="9026"/>
      </w:tabs>
      <w:spacing w:after="0" w:line="240" w:lineRule="auto"/>
    </w:pPr>
  </w:style>
  <w:style w:type="character" w:styleId="HeaderChar" w:customStyle="1">
    <w:name w:val="Header Char"/>
    <w:basedOn w:val="DefaultParagraphFont"/>
    <w:link w:val="Header"/>
    <w:uiPriority w:val="99"/>
    <w:rsid w:val="009642A1"/>
  </w:style>
  <w:style w:type="paragraph" w:styleId="Footer">
    <w:name w:val="footer"/>
    <w:basedOn w:val="Normal"/>
    <w:link w:val="FooterChar"/>
    <w:uiPriority w:val="99"/>
    <w:unhideWhenUsed/>
    <w:rsid w:val="009642A1"/>
    <w:pPr>
      <w:tabs>
        <w:tab w:val="center" w:pos="4513"/>
        <w:tab w:val="right" w:pos="9026"/>
      </w:tabs>
      <w:spacing w:after="0" w:line="240" w:lineRule="auto"/>
    </w:pPr>
  </w:style>
  <w:style w:type="character" w:styleId="FooterChar" w:customStyle="1">
    <w:name w:val="Footer Char"/>
    <w:basedOn w:val="DefaultParagraphFont"/>
    <w:link w:val="Footer"/>
    <w:uiPriority w:val="99"/>
    <w:rsid w:val="009642A1"/>
  </w:style>
  <w:style w:type="paragraph" w:styleId="FootnoteText">
    <w:name w:val="footnote text"/>
    <w:basedOn w:val="Normal"/>
    <w:link w:val="FootnoteTextChar"/>
    <w:uiPriority w:val="99"/>
    <w:semiHidden/>
    <w:unhideWhenUsed/>
    <w:rsid w:val="00FE1840"/>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FE1840"/>
    <w:rPr>
      <w:sz w:val="20"/>
      <w:szCs w:val="20"/>
    </w:rPr>
  </w:style>
  <w:style w:type="character" w:styleId="FootnoteReference">
    <w:name w:val="footnote reference"/>
    <w:basedOn w:val="DefaultParagraphFont"/>
    <w:uiPriority w:val="99"/>
    <w:semiHidden/>
    <w:unhideWhenUsed/>
    <w:rsid w:val="00FE1840"/>
    <w:rPr>
      <w:vertAlign w:val="superscript"/>
    </w:rPr>
  </w:style>
  <w:style w:type="paragraph" w:styleId="Revision">
    <w:name w:val="Revision"/>
    <w:hidden/>
    <w:uiPriority w:val="99"/>
    <w:semiHidden/>
    <w:rsid w:val="00AA1192"/>
    <w:pPr>
      <w:spacing w:after="0" w:line="240" w:lineRule="auto"/>
    </w:pPr>
  </w:style>
  <w:style w:type="paragraph" w:styleId="BalloonText">
    <w:name w:val="Balloon Text"/>
    <w:basedOn w:val="Normal"/>
    <w:link w:val="BalloonTextChar"/>
    <w:uiPriority w:val="99"/>
    <w:semiHidden/>
    <w:unhideWhenUsed/>
    <w:rsid w:val="00AA119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A11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9DCE4-D37A-4B57-84AF-4EBFD67DBE5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Foley (1804903)</dc:creator>
  <keywords/>
  <dc:description/>
  <lastModifiedBy>Lisa Foley (1804903)</lastModifiedBy>
  <revision>65</revision>
  <dcterms:created xsi:type="dcterms:W3CDTF">2018-10-01T18:36:00.0000000Z</dcterms:created>
  <dcterms:modified xsi:type="dcterms:W3CDTF">2018-10-20T22:58:47.4471337Z</dcterms:modified>
</coreProperties>
</file>