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DEE71C" w14:textId="2F59EDEF" w:rsidR="00055A54" w:rsidRDefault="004C47FB" w:rsidP="004C47FB">
      <w:pPr>
        <w:jc w:val="both"/>
      </w:pPr>
      <w:r w:rsidRPr="004C47FB">
        <w:t>Email 1 (AC 1.1)</w:t>
      </w:r>
    </w:p>
    <w:p w14:paraId="64389A5D" w14:textId="6B5965A7" w:rsidR="004C47FB" w:rsidRDefault="004C47FB" w:rsidP="004C47FB">
      <w:pPr>
        <w:jc w:val="both"/>
      </w:pPr>
      <w:r>
        <w:t xml:space="preserve">Undoubtedly, it is understandable over here that rather than directly significant improving staff experience significant part of employee's working period is set through tasks made by regulatory principles. Regardless of the preceding fact, the working hours are compulsory to be followed as protecting employees, ensuring fairness and supporting consistent decision-making within </w:t>
      </w:r>
      <w:r w:rsidR="0035441D">
        <w:t>associations</w:t>
      </w:r>
      <w:r>
        <w:t xml:space="preserve"> are enlisted as clear aims and objectives within employment regulations (Uhde et al., 2020).</w:t>
      </w:r>
    </w:p>
    <w:p w14:paraId="6A86D326" w14:textId="77777777" w:rsidR="004C47FB" w:rsidRDefault="004C47FB" w:rsidP="004C47FB">
      <w:pPr>
        <w:jc w:val="both"/>
      </w:pPr>
      <w:r>
        <w:t xml:space="preserve">Remarkably, employment protection and fairness are recognized as key aims of employment regulation. Under the British law, the Sections ranging from 94 to 98 of the Employment Rights Act 1996 enable employees with the legal protection against their unlawful dismissal from jobs and also helps them receive clear written terms and conditions in the form of documents (sections 1-4). Moreover, the Equality Act 2010, requiring employers for reasonable adjustments for disabled employees (McGaughey, 2026). Admirably, the provisional liabilities exemplify that how much time is formally spent by workers on various executions such as recruitment checks, grievance handling and equality assessments. Likewise, the preceding legal procedures assist in preventing individual conflicts and building trust among staff members and management as indicated in Advisory, Conciliation and Arbitration Service (Mills et al., 2025). In NHS establishment this regulatory policy in employment protection is necessarily important because in this organization staff well-being directly or indirectly affects patient care. </w:t>
      </w:r>
    </w:p>
    <w:p w14:paraId="515F5230" w14:textId="77777777" w:rsidR="004C47FB" w:rsidRDefault="004C47FB" w:rsidP="004C47FB">
      <w:pPr>
        <w:jc w:val="both"/>
      </w:pPr>
      <w:r>
        <w:t xml:space="preserve">Furthermore, another fundamental objective behind employment protection is accountability, consistency and risk reduction. Normally, following fair procedures against every decision and requiring employees to act reasonably are regulated under the Employment law by employers. However, If employers are unable to enforce this they can present claims to Employment Tribunals in England Wales and Scotland, that are having access to implement the jurisdictions including individual discrimination, wage disputes and unfair dismissal (QUELLE, 2018). Additionally, under the ACAS code of Practice the tribunal compensation by up to 25% can be enhanced if disciplinary and grievance procedures are not followed, which elucidates that why careful compliance is mandatory. Despite this, the Public Sector Equality Duty requires NHS organizations to progressively consider equality in decisions according to the section 149 of the Equality Act 2010 (Pepple and Adeleye, 2021). According to the British administration, legal disputes are reduced through compliance that led to avoided higher costs. According to the research demonstration by Chartered Institute of Personnel Development, it was illustrated that employee management and retention have become improved by fair and lawful practices in employment regulation. Globally, it has been manifested by International Labor Organization that throughout the conduction of </w:t>
      </w:r>
      <w:proofErr w:type="spellStart"/>
      <w:r>
        <w:t>labor</w:t>
      </w:r>
      <w:proofErr w:type="spellEnd"/>
      <w:r>
        <w:t xml:space="preserve"> management according to employment law encourages both worker protection and organizational performance (Snyman, 2021).</w:t>
      </w:r>
    </w:p>
    <w:p w14:paraId="50E0DF2B" w14:textId="77777777" w:rsidR="004C47FB" w:rsidRDefault="004C47FB" w:rsidP="004C47FB">
      <w:pPr>
        <w:jc w:val="both"/>
      </w:pPr>
    </w:p>
    <w:p w14:paraId="13AC6C38" w14:textId="5DDE4564" w:rsidR="004C47FB" w:rsidRDefault="004C47FB" w:rsidP="004C47FB">
      <w:pPr>
        <w:jc w:val="both"/>
      </w:pPr>
      <w:r>
        <w:t>In the end, it is finally concluded that regulatory work is not separated from improving employment experience even though it may feel time-consuming. Rather, it enables employees with legal and ethical basis, ensuring fairness, reducing risk and encouraging a positive and stable working environment within the organization.</w:t>
      </w:r>
    </w:p>
    <w:p w14:paraId="2C1E0B63" w14:textId="719C2337" w:rsidR="004C47FB" w:rsidRDefault="004C47FB" w:rsidP="004C47FB">
      <w:pPr>
        <w:jc w:val="both"/>
      </w:pPr>
      <w:r w:rsidRPr="004C47FB">
        <w:t>Email 2 (AC 1.2)</w:t>
      </w:r>
    </w:p>
    <w:p w14:paraId="46D7420E" w14:textId="77777777" w:rsidR="004C47FB" w:rsidRDefault="004C47FB" w:rsidP="004C47FB">
      <w:pPr>
        <w:jc w:val="both"/>
      </w:pPr>
      <w:r>
        <w:t xml:space="preserve">Before 2020, the status of European Court of Justice, which is now regarded as Court of Justice for European Union, is that the decisions by the Court is mainly governed by European Union Withdrawal Act 2018. Domestically the Section 2 and 3 are still retained in EU Law but the Section 6 evaluates that the cases registered before the exit from EU will remain under EU jurisdictional frameworks (Hameed, 2022). This elucidates that unless changed by parliament the judgments made before Brexit still form part of UK law. Consequently, this maintains legal continuity but restricts immediate legal independence because UK courts are still have to use interpretations that were first created within the EU legal system. To provide consistency and legal certainty, lower courts including Employment Tribunals are typically required to adhere to retain EU case law. The Courts and Tribunals Judiciary supports this strategy by stating that unless legislation or higher judicial authority appropriately modifies it, retained EU case law must continue to be used (de </w:t>
      </w:r>
      <w:proofErr w:type="spellStart"/>
      <w:r>
        <w:t>Vaate</w:t>
      </w:r>
      <w:proofErr w:type="spellEnd"/>
      <w:r>
        <w:t>, 2017).</w:t>
      </w:r>
    </w:p>
    <w:p w14:paraId="4B0DE834" w14:textId="77777777" w:rsidR="004C47FB" w:rsidRDefault="004C47FB" w:rsidP="004C47FB">
      <w:pPr>
        <w:jc w:val="both"/>
      </w:pPr>
    </w:p>
    <w:p w14:paraId="33D9FF7D" w14:textId="6F91F9EA" w:rsidR="004C47FB" w:rsidRDefault="004C47FB" w:rsidP="004C47FB">
      <w:pPr>
        <w:jc w:val="both"/>
      </w:pPr>
      <w:r>
        <w:t xml:space="preserve">Regardless of their liability and credibility, the judgements by ECJ are not absolutely fixed even after the Brexit deal. In limited circumstances the Court of Appeal and the British Supreme Court has the power to depart from retained EU case law, while implementing a strict test in association with overruling its own precedent. In this context, a balanced approach is identified between continuity and legal evolution is identified (Fauzi, Hi and Irawan, 2024). As many employment rights in the UK, such as working hours, holiday pay and discrimination protections are still based on EU-derived regulations therefore, the courts are cautious in departing from established EU principles. Employers are nevertheless required to adhere to these principles in order to prevent legal risk and guarantee equitable treatment in practice, according to ACAS guidelines (Niall O'Connor, 2023). One glaring example is the ongoing use of ECJ reasoning in instances pertaining to annual leave entitlements, such King v. Sash Window Workshop, where UK tribunal rulings continue to be influenced by EU principles. Despite Brexit, pre-Brexit ECJ rulings continue to have a big influence on UK employment law because they are generally still good law, binding on subordinate courts, and can only be deviated from in certain situations Urška </w:t>
      </w:r>
      <w:proofErr w:type="spellStart"/>
      <w:r>
        <w:t>Šadl</w:t>
      </w:r>
      <w:proofErr w:type="spellEnd"/>
      <w:r>
        <w:t xml:space="preserve"> (2024).</w:t>
      </w:r>
    </w:p>
    <w:p w14:paraId="421B479B" w14:textId="77777777" w:rsidR="004C47FB" w:rsidRDefault="004C47FB" w:rsidP="004C47FB">
      <w:pPr>
        <w:jc w:val="both"/>
      </w:pPr>
    </w:p>
    <w:p w14:paraId="54B6B517" w14:textId="0019B213" w:rsidR="004C47FB" w:rsidRDefault="004C47FB" w:rsidP="004C47FB">
      <w:pPr>
        <w:jc w:val="both"/>
      </w:pPr>
      <w:r w:rsidRPr="004C47FB">
        <w:lastRenderedPageBreak/>
        <w:t>Email 3 (AC 2.1)</w:t>
      </w:r>
    </w:p>
    <w:p w14:paraId="60A0ADE5" w14:textId="77777777" w:rsidR="004C47FB" w:rsidRDefault="004C47FB" w:rsidP="004C47FB">
      <w:pPr>
        <w:jc w:val="both"/>
      </w:pPr>
      <w:r>
        <w:t>Firstly it's a legitimate thing there is asked about occupational requirements however, it may be considered legal to recognize that either the role is being played by man or women within corporation. Under British law, the recruitment and selection in general rules is required to be neutral. In legal aspect, the Equality Act 2010 implies that direct discrimination in the grounds of sex, which elucidates that considering preference, convenience and assumption the employers must not restrict the roles to men and women (Davies and Robison, 2016). Rules and guidelines indicated under the Advisory, Conciliation and Arbitration Service clarified that selection decisions should be made through employees’ skills, experience and competency (Soman , 2017). Regardless of their gender, this means that all the suitably qualified candidates should be considered for most of the roles in NHS like managerial, administrative and clinical posts. The Trust to claims of unlawful direct discrimination would be exposed through stating gender preference in these circumstances.</w:t>
      </w:r>
    </w:p>
    <w:p w14:paraId="0F3C1B90" w14:textId="77777777" w:rsidR="004C47FB" w:rsidRDefault="004C47FB" w:rsidP="004C47FB">
      <w:pPr>
        <w:jc w:val="both"/>
      </w:pPr>
      <w:r>
        <w:t>However, there is a very limited exception under Schedule 9 of the Equality Act 2010 that permits a gender requirement if it is a ‘genuine, legitimate and proportionate occupational requirement'. This exception is taken lightly. The Equality and Human Rights Commission says that the requirement must be essential to the job, not based on stereotype or on general preferences (Vasiljevic et al., 2015). For instance, on a single sex ward where there is no reasonable alternative to providing intimate personal care to female patients, it is acceptable to have only female staff. Likewise, a male only role could be appropriate in a single sex accommodation or trauma support need that has a predominately gender based need. Such justification, however, must be properly supported with evidence and employers should always assess if there are less discriminatory options (</w:t>
      </w:r>
      <w:proofErr w:type="spellStart"/>
      <w:r>
        <w:t>Nipuli</w:t>
      </w:r>
      <w:proofErr w:type="spellEnd"/>
      <w:r>
        <w:t xml:space="preserve"> and Salmon, 2015). </w:t>
      </w:r>
    </w:p>
    <w:p w14:paraId="180085D9" w14:textId="0FFA0FF9" w:rsidR="004C47FB" w:rsidRDefault="004C47FB" w:rsidP="004C47FB">
      <w:pPr>
        <w:jc w:val="both"/>
      </w:pPr>
      <w:r>
        <w:t>In conclusion, specifying a man or a woman to perform a role is lawful only in very exceptional circumstances where there is a genuine occupational requirement which can be clearly justified. In all other cases, recruitment and selection procedures have to be gender neutral. Application of the Equality Act 2010 with care, and guidance from the Chartered Institute of Personnel Development, can help to reduce the likelihood of legal issues for either the employee or the Trust and create an environment for fair and inclusive employment practices.</w:t>
      </w:r>
    </w:p>
    <w:p w14:paraId="43B1EF6D" w14:textId="2F05184B" w:rsidR="004C47FB" w:rsidRDefault="004C47FB" w:rsidP="004C47FB">
      <w:pPr>
        <w:jc w:val="both"/>
      </w:pPr>
      <w:r w:rsidRPr="004C47FB">
        <w:t>Email 4 (AC 2.2)</w:t>
      </w:r>
    </w:p>
    <w:p w14:paraId="78C0F6B4" w14:textId="77777777" w:rsidR="004C47FB" w:rsidRDefault="004C47FB" w:rsidP="004C47FB">
      <w:pPr>
        <w:jc w:val="both"/>
      </w:pPr>
      <w:r>
        <w:t>The request for the upgrade of two health care assistants from grade A to grade B, using surplus research is regarded as acceptable regime. Despite this, after recognition giving reward to staff is understandable. Under the framework of equal pay manifested in the Equality Act 2010, the preceding proposal must be assessed carefully.</w:t>
      </w:r>
    </w:p>
    <w:p w14:paraId="1DC55AD1" w14:textId="77777777" w:rsidR="004C47FB" w:rsidRDefault="004C47FB" w:rsidP="004C47FB">
      <w:pPr>
        <w:jc w:val="both"/>
      </w:pPr>
      <w:r>
        <w:lastRenderedPageBreak/>
        <w:t>Significantly, the Equality Act 2010 (sections 64 to 80) gives men and women equal rights to equal pay for doing the same job, jobs that are rated as equal or jobs of equal value. The availability of two male health care assistants who perform exactly the same duties as 80% female HCAs could be a clear risk of unequal pay for equal work if he or she was paid more than the rest. The equal pay principle is a rigid one and a difference in pay has to be explained by non-sex related material factors. Pay differentials should be objectively justified, in writing and applied consistently and is confirmed by HCAS guidance to avoid equal pay complaints and discrimination claims (FOUBERT, 2017).</w:t>
      </w:r>
    </w:p>
    <w:p w14:paraId="3739CE7B" w14:textId="77777777" w:rsidR="004C47FB" w:rsidRDefault="004C47FB" w:rsidP="004C47FB">
      <w:pPr>
        <w:jc w:val="both"/>
      </w:pPr>
    </w:p>
    <w:p w14:paraId="3FB31442" w14:textId="77777777" w:rsidR="004C47FB" w:rsidRDefault="004C47FB" w:rsidP="004C47FB">
      <w:pPr>
        <w:jc w:val="both"/>
      </w:pPr>
      <w:r>
        <w:t xml:space="preserve">The source of this funding, in this instance from a surplus research project, does not give a lawful reason for grading differences. The principle that budget availability is not a </w:t>
      </w:r>
      <w:proofErr w:type="spellStart"/>
      <w:r>
        <w:t>defense</w:t>
      </w:r>
      <w:proofErr w:type="spellEnd"/>
      <w:r>
        <w:t xml:space="preserve"> as the work is equally and consistently followed by Employment Tribunals. The Equality and Human Rights Commission also emphasizes that non-fairly assessed job value, and the fact that a pay increase is only given to one gender group, could constitute indirect sex discrimination (Fredman, 2025). Since most HCAs are female, upgrading just two male members of the workforce may lead to the impression, and possibly the legal case, that there is a pay inequity. Under Agenda for Change, from an NHS pay perspective, the pay structures are designed to help ensure consistency, transparency and equal pay compliance, as outlined in NHS Employers guidance. If a different grading system is used, he or she would have to justify the grade change in a formal Job Evaluation Report that would demonstrate that the roles are significantly different. Otherwise the Trust could face equal pay claims and complaints of breaches of the principles of grading (Conley and Urszula Torbus, 2018).</w:t>
      </w:r>
    </w:p>
    <w:p w14:paraId="1CAA4864" w14:textId="541CFE11" w:rsidR="004C47FB" w:rsidRDefault="004C47FB" w:rsidP="004C47FB">
      <w:pPr>
        <w:jc w:val="both"/>
      </w:pPr>
      <w:r>
        <w:t>In conclusion, it is not clear that the changes to the roles are materially different in nature, responsibility, and competence, and so granting permission for this change would pose a great risk to the NHS in terms of equal pay legislation and existing pay governance processes.</w:t>
      </w:r>
    </w:p>
    <w:p w14:paraId="31209871" w14:textId="45354E30" w:rsidR="004C47FB" w:rsidRDefault="004C47FB" w:rsidP="004C47FB">
      <w:pPr>
        <w:jc w:val="both"/>
      </w:pPr>
      <w:r w:rsidRPr="004C47FB">
        <w:t xml:space="preserve">Email 5 (AC 3.1)    </w:t>
      </w:r>
    </w:p>
    <w:p w14:paraId="460A6B32" w14:textId="77777777" w:rsidR="004C47FB" w:rsidRDefault="004C47FB" w:rsidP="004C47FB">
      <w:pPr>
        <w:jc w:val="both"/>
      </w:pPr>
      <w:r>
        <w:t>A claim for constructive dismissal comes under Employment Rights Act 1996, Section 95(1) (c) where an employee resigns as a result of a 'fundamental breach of contract' by the employer. The breach must be '</w:t>
      </w:r>
      <w:proofErr w:type="spellStart"/>
      <w:r>
        <w:t>serious'</w:t>
      </w:r>
      <w:proofErr w:type="spellEnd"/>
      <w:r>
        <w:t xml:space="preserve"> and is defined in the leading case of Western Excavating v Sharp as the breach having to be 'serious enough' to allow the employee to consider that the contract has been terminated. This also covers the express term (for example agreed working hours) and an implied term (for example the mutual trust and confidence that employers will not engage in actions which destroy the employment relationship) McDermott (2009).</w:t>
      </w:r>
    </w:p>
    <w:p w14:paraId="18BF4983" w14:textId="77777777" w:rsidR="004C47FB" w:rsidRDefault="004C47FB" w:rsidP="004C47FB">
      <w:pPr>
        <w:jc w:val="both"/>
      </w:pPr>
      <w:r>
        <w:t xml:space="preserve">If the change in working hours is unilateral, substantial and unsupported by contractual powers or adequate consultation, it could be considered constructive dismissal. For </w:t>
      </w:r>
      <w:r>
        <w:lastRenderedPageBreak/>
        <w:t>instance, changing a radiographer's shift from fixed day shifts to regular night shifts or weekend shifts without the radiographer's consent may be considered the violation of an express term. With regard to working pattern changes in the healthcare industry, tribunals and academic analysis of employment law literature reveal that such changes are frequently the subject of complaints as they have a direct impact on work-life balance and job security Buchanan (2025). If however there is a flexibility clause in the contract and the Trust has consulted properly and acted reasonably it is less likely to result in a finding of fundamental breach. The seriousness of the change is what matters and the question is whether resignation is the prudent course. The employee should also promptly resign due to the breach, otherwise they will effectively consent to the change (Liu, 2019).</w:t>
      </w:r>
    </w:p>
    <w:p w14:paraId="7D73F317" w14:textId="77777777" w:rsidR="004C47FB" w:rsidRDefault="004C47FB" w:rsidP="004C47FB">
      <w:pPr>
        <w:jc w:val="both"/>
      </w:pPr>
      <w:r>
        <w:t>In relation to limitation, a constructive dismissal claim would need to be presented to an Employment Tribunal within three months less one day of the effective date of termination. This is an absolute time limit, based on the principle of legal certainty in employment matters. The employee is required to inform ACAS and then undertake Early Conciliation (which suspends the limitation period whilst settlement is considered). Failure to do so will prevent the claim from moving forward (Collins, 2021). These time limits are strictly observed by tribunals but time limits can be extended if it is not reasonably practicable to do so.</w:t>
      </w:r>
    </w:p>
    <w:p w14:paraId="1792419B" w14:textId="6441A4A7" w:rsidR="004C47FB" w:rsidRDefault="004C47FB" w:rsidP="004C47FB">
      <w:pPr>
        <w:jc w:val="both"/>
      </w:pPr>
      <w:r>
        <w:t>In conclusion, constructive dismissal requires a breach to the contract, typically where there is a unilateral and unreasonable modification of the contract terms such as working hours, and is subject to a tight statutory limitation period of three months.</w:t>
      </w:r>
    </w:p>
    <w:p w14:paraId="216169A9" w14:textId="68D154F9" w:rsidR="004C47FB" w:rsidRDefault="004C47FB" w:rsidP="004C47FB">
      <w:pPr>
        <w:jc w:val="both"/>
      </w:pPr>
      <w:r w:rsidRPr="004C47FB">
        <w:t>Email 6 (AC 3.2)</w:t>
      </w:r>
    </w:p>
    <w:p w14:paraId="37818A0F" w14:textId="77777777" w:rsidR="004C47FB" w:rsidRDefault="004C47FB" w:rsidP="004C47FB">
      <w:pPr>
        <w:jc w:val="both"/>
      </w:pPr>
      <w:r>
        <w:t xml:space="preserve">Reflection of fundamental legal misunderstanding of redundancy and increasing litigation risk is found in manager’s intention to accelerate recognition by dismissing poorest performers. According to the Employment Rights Act 1996, rather than quality of individual performance redundancy is associated with the workload of particular type. Under the case demonstration  Williams v </w:t>
      </w:r>
      <w:proofErr w:type="spellStart"/>
      <w:r>
        <w:t>Compair</w:t>
      </w:r>
      <w:proofErr w:type="spellEnd"/>
      <w:r>
        <w:t xml:space="preserve"> Maxam Ltd, unless the employer adopts of objective selection criteria, consults affected employees individually and considers reliable compatible employment the dismissal will be deemed unfair even where redundancy is genuine (Collins and Golding, 2023). Likewise, selection of employees on the basis of performance risks may collapse redundancy into a disguised capability dismissal that will ultimately lead to the failure of regulating fairness provision under the Section 98 of ERA 1996. Ensuring that economic efficiency does not override procedural justice, the redundancy law operates as limitation on managerial prerogative. Apart from that employment professionals and researchers emphasized that restructuring needs to be justified legally and disciplined procedurally, especially public sector, accountability is evaluated continuously (</w:t>
      </w:r>
      <w:proofErr w:type="spellStart"/>
      <w:r>
        <w:t>Mantouvalou</w:t>
      </w:r>
      <w:proofErr w:type="spellEnd"/>
      <w:r>
        <w:t>, 2008).</w:t>
      </w:r>
    </w:p>
    <w:p w14:paraId="7F9A42B4" w14:textId="77777777" w:rsidR="004C47FB" w:rsidRDefault="004C47FB" w:rsidP="004C47FB">
      <w:pPr>
        <w:jc w:val="both"/>
      </w:pPr>
      <w:r>
        <w:lastRenderedPageBreak/>
        <w:t xml:space="preserve">As fifty posts are to be lost, so the scale of proposed recognition also stimulates to pursue collective consultation duties under the ss. 188-198 of Trade Union and Labor Relations Consolidation Act 1992. Nonetheless, while addressing ways to avoid redundancy, reducing the numbers affected and mitigating consequences, employers must consult appropriate representatives at least 45 days before the first dismissal. In UK Coal Mining Ltd v NUM the courts confirmed that consultation must be real and meaningful, not a perfunctory exercise carried out after decisions have been taken (Duca, 2021). Bypass of the consultation for conducting speedily procedures may undermine statutory purpose and the employer to protective awards of up to 90 days’ gross pay per employee may become exposed, as manifested in the case study Susie Radin Ltd v GMB. Moreover, the guidance by ACAS further reinforces that rather than administrative inconvenience, consultation is substantive legal safeguard (Bose and Dey, 2018). </w:t>
      </w:r>
    </w:p>
    <w:p w14:paraId="775BACAF" w14:textId="5BFDEAC0" w:rsidR="004C47FB" w:rsidRDefault="004C47FB" w:rsidP="004C47FB">
      <w:pPr>
        <w:jc w:val="both"/>
      </w:pPr>
      <w:r>
        <w:t>In conclusion, it assessed that statutory consultation and fairness regime cannot be placed by efficiency. It is concluded that the legal integrity of redundancy is undermined by performance dismissals and rushed processes. Therefore, to avoid serious liability compliance with the ERA 1996 and TULRCA 1992 is necessary.</w:t>
      </w:r>
    </w:p>
    <w:p w14:paraId="6F0617FD" w14:textId="4E63A9B2" w:rsidR="004C47FB" w:rsidRDefault="004C47FB" w:rsidP="004C47FB">
      <w:pPr>
        <w:jc w:val="both"/>
      </w:pPr>
      <w:r w:rsidRPr="004C47FB">
        <w:t xml:space="preserve">Email 7 (AC 3.3)   </w:t>
      </w:r>
    </w:p>
    <w:p w14:paraId="0587B4F4" w14:textId="77777777" w:rsidR="004C47FB" w:rsidRDefault="004C47FB" w:rsidP="004C47FB">
      <w:pPr>
        <w:jc w:val="both"/>
      </w:pPr>
      <w:r>
        <w:t>Significantly, under the Transfer of Undertakings Regulations 2006 the proposed merger of pharmacy operations is similar to the transfer either a business transfer or service according the TUPE. In light of Regulation 4, on their existing terms and conditions the employees are assigned to the undertaking automatically transfer to the new employer with the continuity of employment preserved (Azan and Huber Sutter, 2010). Coherently, it implies that the statutory rights including unfair dismissal protection, redundancy entitlement and service period will remain intact. Unless it is for economic, technical and organizational reason, elucidating changes in workforce, any dismissal concerned with transfer is automatically deemed as unfair regime. Consolidating this aspect, the purposive approach in Lister v. Forth Dry Dock, held by courts in such a way that to prevent employers from avoiding employees’ safety through structural recognition must be interpreted broadly (Bourn and Thorpe, 2018). Practically, this means as the operation is being centralized thus, pharmacy staff cannot be dismissed or selectively excluded.</w:t>
      </w:r>
    </w:p>
    <w:p w14:paraId="4235A904" w14:textId="77777777" w:rsidR="004C47FB" w:rsidRDefault="004C47FB" w:rsidP="004C47FB">
      <w:pPr>
        <w:jc w:val="both"/>
      </w:pPr>
      <w:r>
        <w:t xml:space="preserve">In addition, TUPE also provides strong protection against contractual variation and procedural exclusion. Under Regulations 4 and 7, any attempt to change terms and conditions of employment is generally void where the transfer is the sole or principal reason for the change, even if the employees appear to give their consent, unless a genuine ETO reason applies McMullen (2011). This includes important contractual provisions such as pay systems, hours of work, job titles and place of work, so that staff transferred into the new centralized pharmacy are to be treated as having transferred under their existing contractual arrangements, unless there is an objective justification </w:t>
      </w:r>
      <w:r>
        <w:lastRenderedPageBreak/>
        <w:t xml:space="preserve">to treat them differently. Moreover, both the transferring and receiving employers are under a strict duty to inform and consult employee representatives about the transfer, its timing and any envisaged “measures”. This is not a mere procedural formality, but a substantive obligation intended to ensure employee participation in restructuring decisions. Failure to comply can lead to protective awards of up to 13 weeks’ pay per employee. ACAS guidance reminds us that consultation must be meaningful and early if you are intending to integrate operationally Recchia (2025). </w:t>
      </w:r>
    </w:p>
    <w:p w14:paraId="10EB1CEE" w14:textId="1FA1D705" w:rsidR="004C47FB" w:rsidRDefault="004C47FB" w:rsidP="004C47FB">
      <w:pPr>
        <w:jc w:val="both"/>
      </w:pPr>
      <w:r>
        <w:t>Finally, it is concluded that employees transfer with continuity of employment, protected terms and consultation rights are ensured through Transfer of Undertakings Regulations. Consequently, to avoid automatic unfair dismissal and contractual breach claims the merger must be structured carefully.</w:t>
      </w:r>
    </w:p>
    <w:p w14:paraId="2CDEB69F" w14:textId="76F6BD5F" w:rsidR="004C47FB" w:rsidRDefault="004C47FB" w:rsidP="004C47FB">
      <w:pPr>
        <w:jc w:val="both"/>
      </w:pPr>
      <w:r w:rsidRPr="004C47FB">
        <w:t>Email 8 (AC 4.1)</w:t>
      </w:r>
    </w:p>
    <w:p w14:paraId="0BE6CBAB" w14:textId="77777777" w:rsidR="004C47FB" w:rsidRDefault="004C47FB" w:rsidP="004C47FB">
      <w:pPr>
        <w:jc w:val="both"/>
      </w:pPr>
      <w:r>
        <w:t>Remarkably, the compliance with statutory framework according to Working Time Regulations 1998, entitle workers not just permanent employment even also awards 5-6 weeks paid annual leave, must be made satisfactory in the context of the calculation of holiday pay for casually employed nurse bank staff Roberts (2007). The core of the legal issue is what amounts to normal remuneration, particularly for staff with irregular hours. In Haripur Trust v Brazel, the Supreme Court confirmed that holiday pay cannot be reduced by artificial pro-rating methods based on annualized hours, even for workers on permanent casual or zero-hours arrangements. Instead, holiday entitlement must be calculated using the statutory formula in Regulation 16 WTR 1998, usually on the basis of a reference period of 52 weeks excluding weeks not worked (Cabrelli, 2023). This prevents employers from unlawfully cutting entitlements simply because work is irregular.</w:t>
      </w:r>
    </w:p>
    <w:p w14:paraId="3020196B" w14:textId="77777777" w:rsidR="004C47FB" w:rsidRDefault="004C47FB" w:rsidP="004C47FB">
      <w:pPr>
        <w:jc w:val="both"/>
      </w:pPr>
      <w:r>
        <w:t xml:space="preserve">Additionally, nurse bank staff who regularly cover shifts are likely to fall within the statutory definition of a “worker” and so accrue holiday rights in proportion to work undertaken but still benefit from the same principles of normal remuneration. The Case law such as British Airways plc v Williams establishes that holiday pay must be reflective of not only basic pay, but also elements that are ‘intrinsically linked’ to work performed such as regular overtime or allowances (Weber, 2023). This in a health care setting might include enhancements for night shifts, weekend working or on-call duties where these are sufficiently frequent. If these are not included there is a risk of claims for underpayment and unlawful deduction from wages under the Section 13 of Employment Rights Act 1996 (Macleod, 2025). </w:t>
      </w:r>
    </w:p>
    <w:p w14:paraId="5A7BDD7C" w14:textId="77777777" w:rsidR="004C47FB" w:rsidRDefault="004C47FB" w:rsidP="004C47FB">
      <w:pPr>
        <w:jc w:val="both"/>
      </w:pPr>
      <w:r>
        <w:t xml:space="preserve">In the context of doctrinal perspective, due to financial loss the regulatory framework aims to make sure that workers are not suffering from deterrence of taking leave, which is re-enforced even in ACAS guidance, regulating that holiday pay should be equivalent to normal earning. Therefore, simplistic hourly calculations must be restricted by </w:t>
      </w:r>
      <w:r>
        <w:lastRenderedPageBreak/>
        <w:t>employers that forget about the fluctuating earning patterns, otherwise it undermine safety objectives accomplished under the WTR 1998 (Xie, 2015). Practically, in NHS baking arrangements careful tracking of 52-week reference period and inclusion of all qualifying pay components is required to confirm compliance and avoid systematic under-payment risk across the cluster of casual staff.</w:t>
      </w:r>
    </w:p>
    <w:p w14:paraId="10F3D4E5" w14:textId="5CECC00D" w:rsidR="004C47FB" w:rsidRDefault="004C47FB" w:rsidP="004C47FB">
      <w:pPr>
        <w:jc w:val="both"/>
      </w:pPr>
      <w:r>
        <w:t>In concluding remarks, holiday pay reflects true normal remuneration according to WTR 1998 and Haripur Trust. Subsequently, providing an average of 52-weeks’ pay and incorporation of regular pay elements mandatory to ensure legal and fair payment services for bank staff.</w:t>
      </w:r>
    </w:p>
    <w:p w14:paraId="24CB9B30" w14:textId="4E7C1962" w:rsidR="004C47FB" w:rsidRDefault="004C47FB" w:rsidP="004C47FB">
      <w:pPr>
        <w:jc w:val="both"/>
      </w:pPr>
      <w:r w:rsidRPr="004C47FB">
        <w:t>Email 9 (AC 4.2)</w:t>
      </w:r>
    </w:p>
    <w:p w14:paraId="73D138C3" w14:textId="77777777" w:rsidR="004C47FB" w:rsidRDefault="004C47FB" w:rsidP="004C47FB">
      <w:pPr>
        <w:jc w:val="both"/>
      </w:pPr>
      <w:r>
        <w:t xml:space="preserve">Admirably, maternity leave and shared parental leave (SPL) are subject to separate statutory regimes and embody different policy objectives within UK employment law. Maternity leave is governed mainly by the Employment Rights Act 1996 and the Maternity and Parental Leave Regulations 1999. Eligible employees are entitled to 52 weeks’ maternity leave, comprising ordinary and additional maternity leave, irrespective of length of service (Deven and Moss, 2002). This right is specific to the birth mother and is rooted in health and safety considerations, recognizing pregnancy and childbirth as biologically specific conditions. Statutory Maternity Pay can be paid for up to 39 weeks, if certain criteria are met, and employees are protected by enhanced rights against dismissal or detriment during pregnancy and maternity leave. Moreover, prioritizing maternal health and </w:t>
      </w:r>
      <w:proofErr w:type="spellStart"/>
      <w:r>
        <w:t>labor</w:t>
      </w:r>
      <w:proofErr w:type="spellEnd"/>
      <w:r>
        <w:t xml:space="preserve"> market attachment maternity leave exemplifies a protective model of employment law (James, 2016).</w:t>
      </w:r>
    </w:p>
    <w:p w14:paraId="3C7B7937" w14:textId="77777777" w:rsidR="004C47FB" w:rsidRDefault="004C47FB" w:rsidP="004C47FB">
      <w:pPr>
        <w:jc w:val="both"/>
      </w:pPr>
      <w:r>
        <w:t xml:space="preserve">Furthermore, shared Parental Leave, by contrast, is governed by the Shared Parental Leave Regulations 2014 and is based on the principles of flexibility and gender equality. SPL allows eligible parents to share up to 50 weeks of leave and 37 weeks of pay after maternity leave is curtailed. Unlike maternity leave, the SPL can be taken in blocks, at the same time or separately by each parent, so that families can tailor the childcare responsibilities to their work commitments. But the eligibility requirements are more complex, requiring both parents to meet employment and earnings thresholds. Statutory Shared Parental Pay is paid at a flat rate and may be less financially advantageous than SMP, especially where employers increase maternity pay but not SPL (Bell, 2012). Importantly, although SPL encourages shared caregiving, its uptake is low in practice and reflects structural inequalities and financial disincentives. Because ACAS guidance requires employees to give formal notices and declarations, SPL is administratively more burdensome than maternity leave. From a critical perspective, the choice between maternity leave and SPL is a trade-off between certainty and protection and flexibility and shared responsibility. Maternity leave offers clearer rights, stronger dismissal protection and often better pay, while SPL provides flexibility but puts more procedural and financial </w:t>
      </w:r>
      <w:r>
        <w:lastRenderedPageBreak/>
        <w:t xml:space="preserve">burdens on parents (Vanessa, 2024). The law thus embodies a tension between traditional protective </w:t>
      </w:r>
      <w:proofErr w:type="spellStart"/>
      <w:r>
        <w:t>labor</w:t>
      </w:r>
      <w:proofErr w:type="spellEnd"/>
      <w:r>
        <w:t xml:space="preserve"> norms and modern aspirations for workplace equality.</w:t>
      </w:r>
    </w:p>
    <w:p w14:paraId="70561B57" w14:textId="67E60DDE" w:rsidR="004C47FB" w:rsidRDefault="004C47FB" w:rsidP="004C47FB">
      <w:pPr>
        <w:jc w:val="both"/>
      </w:pPr>
      <w:r>
        <w:t>Finally it is concluded that the focus of maternity leave is on protection, simplicity and maternal welfare however, SPL on flexibility and shared parenting. The best choice will depend on financial arrangements, employer policies and how female is intended to share childcare responsibilities.</w:t>
      </w:r>
    </w:p>
    <w:p w14:paraId="73737239" w14:textId="58E616E2" w:rsidR="004C47FB" w:rsidRDefault="004C47FB" w:rsidP="004C47FB">
      <w:pPr>
        <w:jc w:val="both"/>
      </w:pPr>
      <w:r w:rsidRPr="004C47FB">
        <w:t>Email 10 (AC 4.3)</w:t>
      </w:r>
    </w:p>
    <w:p w14:paraId="1A8CA72C" w14:textId="77777777" w:rsidR="004C47FB" w:rsidRDefault="004C47FB" w:rsidP="004C47FB">
      <w:pPr>
        <w:jc w:val="both"/>
      </w:pPr>
      <w:r>
        <w:t>Astonishingly, rather than automatic entitlement to work remotely the request to work from home three days a day week engages lawful right to request for flexible working. This statutory right is regulated by the Employment Rights Act 1996 that has been amended by Employment Relations Act 2023 (Waddington and Bell, 2021). From the first day of employment, flexible working request can be made by employees and in a reasonable manner the employers are required to entertain the request but there is a need to make structured and evidence-based decision. However, as the statute is focused on individual request rather hypothetical future claims so a refusal primarily based on fear of being evidence is legally weak (Bird and Brown, 2018).</w:t>
      </w:r>
    </w:p>
    <w:p w14:paraId="20F6133C" w14:textId="77777777" w:rsidR="004C47FB" w:rsidRDefault="004C47FB" w:rsidP="004C47FB">
      <w:pPr>
        <w:jc w:val="both"/>
      </w:pPr>
      <w:r>
        <w:t xml:space="preserve">In addition, an employer can lawfully refuse a request only on one or more of the statutory grounds, such as detrimental effect on quality or performance, inability to reorganize work or insufficient work during the hours proposed. It is well established in case law, for example Commotion Ltd v Rutty, that a failure to properly consider a flexible working request may amount to procedural unfairness (Pearson, 2024). But discretion for managers is preserved where the reason for refusal is a genuine business one. For example, administrative roles tied to on-site coordination, patient records, or real-time clinical support may have a valid need for physical presence in a hospital setting. The risk is not in the refusal, but how the refusal is justified and documented (Rossi, 2021). </w:t>
      </w:r>
    </w:p>
    <w:p w14:paraId="1B4CACE1" w14:textId="77777777" w:rsidR="004C47FB" w:rsidRDefault="004C47FB" w:rsidP="004C47FB">
      <w:pPr>
        <w:jc w:val="both"/>
      </w:pPr>
      <w:r>
        <w:t xml:space="preserve">Critically, under the Equality Act 2010 the organization must also be high alert to indirect discrimination. Normally, the flexible working requests are based on childcare or caring responsibilities and the refusal policy may be found disadvantageous for women as well. Accordingly, the courts emphasized the need for proportional justification in the case Homer v Chief Constable of West </w:t>
      </w:r>
      <w:proofErr w:type="spellStart"/>
      <w:r>
        <w:t>Yorkshir</w:t>
      </w:r>
      <w:proofErr w:type="spellEnd"/>
      <w:r>
        <w:t>, where discriminatory effects are evolved from neutral practices (Elizabeth, 2021). Besides this, guidelines indicated in ACAS manifest that before rejecting requests outright the person employers are required to explore partial homeworking or trial periods. This protocol regulates service quality concerns, mitigating litigation risk so far (Dix and Barber, 2015).</w:t>
      </w:r>
    </w:p>
    <w:p w14:paraId="7FF0A7F1" w14:textId="67910389" w:rsidR="004C47FB" w:rsidRDefault="004C47FB" w:rsidP="004C47FB">
      <w:pPr>
        <w:jc w:val="both"/>
      </w:pPr>
      <w:r>
        <w:t xml:space="preserve">In conclusion, it is assessed that the colleague is entitled to make a request for hard working rather than demanding it. Finally, it is concluded that rather than precedent anxiety any refusal depending upon jurisdictional frameworks of employment law must </w:t>
      </w:r>
      <w:r>
        <w:lastRenderedPageBreak/>
        <w:t>be timely reasoned and justified. Concisely, an evidence-led response significantly safeguards service standards and legal compliance.</w:t>
      </w:r>
    </w:p>
    <w:p w14:paraId="0A4F0CBB" w14:textId="77777777" w:rsidR="004C47FB" w:rsidRDefault="004C47FB" w:rsidP="004C47FB">
      <w:pPr>
        <w:jc w:val="both"/>
      </w:pPr>
    </w:p>
    <w:p w14:paraId="6E863514" w14:textId="0246FC8A" w:rsidR="004C47FB" w:rsidRDefault="004C47FB" w:rsidP="004C47FB">
      <w:pPr>
        <w:jc w:val="both"/>
      </w:pPr>
      <w:r>
        <w:t>References</w:t>
      </w:r>
    </w:p>
    <w:p w14:paraId="792B0830" w14:textId="77777777" w:rsidR="004C47FB" w:rsidRDefault="004C47FB" w:rsidP="004C47FB">
      <w:pPr>
        <w:jc w:val="both"/>
      </w:pPr>
      <w:r>
        <w:t>1.</w:t>
      </w:r>
      <w:r>
        <w:tab/>
        <w:t xml:space="preserve">Azan, W. and Huber Sutter, I. (2010). Knowledge transfer in post-merger integration management: case study of a multinational healthcare company in Greece. Knowledge Management Research &amp; Practice, 8(4), pp.307–321. </w:t>
      </w:r>
      <w:proofErr w:type="spellStart"/>
      <w:r>
        <w:t>doi:https</w:t>
      </w:r>
      <w:proofErr w:type="spellEnd"/>
      <w:r>
        <w:t>://doi.org/10.1057/kmrp.2010.17.</w:t>
      </w:r>
    </w:p>
    <w:p w14:paraId="02E61DD7" w14:textId="77777777" w:rsidR="004C47FB" w:rsidRDefault="004C47FB" w:rsidP="004C47FB">
      <w:pPr>
        <w:jc w:val="both"/>
      </w:pPr>
      <w:r>
        <w:t>2.</w:t>
      </w:r>
      <w:r>
        <w:tab/>
        <w:t xml:space="preserve">Bell, M. (2012). Book </w:t>
      </w:r>
      <w:proofErr w:type="spellStart"/>
      <w:r>
        <w:t>reveiw</w:t>
      </w:r>
      <w:proofErr w:type="spellEnd"/>
      <w:r>
        <w:t xml:space="preserve">: Equality: The New Legal Framework. Social &amp; Legal Studies, 21(1), pp.141–144. </w:t>
      </w:r>
      <w:proofErr w:type="spellStart"/>
      <w:r>
        <w:t>doi:https</w:t>
      </w:r>
      <w:proofErr w:type="spellEnd"/>
      <w:r>
        <w:t>://doi.org/10.1177/096466391102100103.</w:t>
      </w:r>
    </w:p>
    <w:p w14:paraId="51137315" w14:textId="77777777" w:rsidR="004C47FB" w:rsidRDefault="004C47FB" w:rsidP="004C47FB">
      <w:pPr>
        <w:jc w:val="both"/>
      </w:pPr>
      <w:r>
        <w:t>3.</w:t>
      </w:r>
      <w:r>
        <w:tab/>
        <w:t xml:space="preserve">Bird, R.C. and Brown, L. (2018). The United Kingdom Right to Request as a Model for Flexible Work in the European Union. American Business Law Journal, 55(1), pp.53–115. </w:t>
      </w:r>
      <w:proofErr w:type="spellStart"/>
      <w:r>
        <w:t>doi:https</w:t>
      </w:r>
      <w:proofErr w:type="spellEnd"/>
      <w:r>
        <w:t>://doi.org/10.1111/ablj.12117.</w:t>
      </w:r>
    </w:p>
    <w:p w14:paraId="7232CC63" w14:textId="77777777" w:rsidR="004C47FB" w:rsidRDefault="004C47FB" w:rsidP="004C47FB">
      <w:pPr>
        <w:jc w:val="both"/>
      </w:pPr>
      <w:r>
        <w:t>4.</w:t>
      </w:r>
      <w:r>
        <w:tab/>
        <w:t>Bose, I. and Dey, S. (2018). Disciplinary and Dismissal Issues and Procedures in the European Work Environment: A Brief Review. Training &amp; Development Journal, [online] 9(2), pp.69–74. Available at: https://indianjournals.com/article/tdj-9-2-001 [Accessed 29 May 2026].</w:t>
      </w:r>
    </w:p>
    <w:p w14:paraId="21D7E80E" w14:textId="77777777" w:rsidR="004C47FB" w:rsidRDefault="004C47FB" w:rsidP="004C47FB">
      <w:pPr>
        <w:jc w:val="both"/>
      </w:pPr>
      <w:r>
        <w:t>5.</w:t>
      </w:r>
      <w:r>
        <w:tab/>
        <w:t xml:space="preserve">Bourn, C. and Thorpe, P. (2018). Dismissal and the Acquired Rights Directive. The Transfer of Undertakings in the Public Sector, 98(39), pp.137–160. </w:t>
      </w:r>
      <w:proofErr w:type="spellStart"/>
      <w:r>
        <w:t>doi:https</w:t>
      </w:r>
      <w:proofErr w:type="spellEnd"/>
      <w:r>
        <w:t>://doi.org/10.4324/9781315204635-6.</w:t>
      </w:r>
    </w:p>
    <w:p w14:paraId="72EE1EC0" w14:textId="77777777" w:rsidR="004C47FB" w:rsidRDefault="004C47FB" w:rsidP="004C47FB">
      <w:pPr>
        <w:jc w:val="both"/>
      </w:pPr>
      <w:r>
        <w:t>6.</w:t>
      </w:r>
      <w:r>
        <w:tab/>
        <w:t xml:space="preserve">Buchanan, D. (2025). Deconstructing Constructive Dismissal - And Realigning It with First Principles of Contract. SSRN Electronic Journal, 59(3). </w:t>
      </w:r>
      <w:proofErr w:type="spellStart"/>
      <w:r>
        <w:t>doi:https</w:t>
      </w:r>
      <w:proofErr w:type="spellEnd"/>
      <w:r>
        <w:t>://doi.org/10.2139/ssrn.5433257.</w:t>
      </w:r>
    </w:p>
    <w:p w14:paraId="341E9866" w14:textId="77777777" w:rsidR="004C47FB" w:rsidRDefault="004C47FB" w:rsidP="004C47FB">
      <w:pPr>
        <w:jc w:val="both"/>
      </w:pPr>
      <w:r>
        <w:t>7.</w:t>
      </w:r>
      <w:r>
        <w:tab/>
        <w:t xml:space="preserve">Cabrelli, D. (2023). Putting Human Rights to Work: Labour Law, the ECHR, and the Employment Relation. Industrial Law Journal, 52(2), pp.508–511. </w:t>
      </w:r>
      <w:proofErr w:type="spellStart"/>
      <w:r>
        <w:t>doi:https</w:t>
      </w:r>
      <w:proofErr w:type="spellEnd"/>
      <w:r>
        <w:t>://doi.org/10.1093/</w:t>
      </w:r>
      <w:proofErr w:type="spellStart"/>
      <w:r>
        <w:t>indlaw</w:t>
      </w:r>
      <w:proofErr w:type="spellEnd"/>
      <w:r>
        <w:t>/dwad011.</w:t>
      </w:r>
    </w:p>
    <w:p w14:paraId="14C94338" w14:textId="77777777" w:rsidR="004C47FB" w:rsidRDefault="004C47FB" w:rsidP="004C47FB">
      <w:pPr>
        <w:jc w:val="both"/>
      </w:pPr>
      <w:r>
        <w:t>8.</w:t>
      </w:r>
      <w:r>
        <w:tab/>
        <w:t xml:space="preserve">Collins, P. and Golding, G. (2023). An Implied Term of Procedural Fairness During Disciplinary Processes: Into Contracts of Employment and Beyond? Industrial Law Journal, 53(2). </w:t>
      </w:r>
      <w:proofErr w:type="spellStart"/>
      <w:r>
        <w:t>doi:https</w:t>
      </w:r>
      <w:proofErr w:type="spellEnd"/>
      <w:r>
        <w:t>://doi.org/10.1093/</w:t>
      </w:r>
      <w:proofErr w:type="spellStart"/>
      <w:r>
        <w:t>indlaw</w:t>
      </w:r>
      <w:proofErr w:type="spellEnd"/>
      <w:r>
        <w:t>/dwad030.</w:t>
      </w:r>
    </w:p>
    <w:p w14:paraId="08247DBC" w14:textId="77777777" w:rsidR="004C47FB" w:rsidRDefault="004C47FB" w:rsidP="004C47FB">
      <w:pPr>
        <w:jc w:val="both"/>
      </w:pPr>
      <w:r>
        <w:t>9.</w:t>
      </w:r>
      <w:r>
        <w:tab/>
        <w:t>Collins, P.M. (2021). Finding Fault in the Law of Unfair Dismissal: The Insubstantiality of Reasons for Dismissal. Industrial Law Journal, 51(3).</w:t>
      </w:r>
    </w:p>
    <w:p w14:paraId="7AF84639" w14:textId="77777777" w:rsidR="004C47FB" w:rsidRDefault="004C47FB" w:rsidP="004C47FB">
      <w:pPr>
        <w:jc w:val="both"/>
      </w:pPr>
      <w:r>
        <w:t>10.</w:t>
      </w:r>
      <w:r>
        <w:tab/>
        <w:t xml:space="preserve">Conley, H. and Urszula Torbus (2018). Transparency and the gender pay gap. Routledge eBooks, 2(87), pp.145–166. </w:t>
      </w:r>
      <w:proofErr w:type="spellStart"/>
      <w:r>
        <w:t>doi:https</w:t>
      </w:r>
      <w:proofErr w:type="spellEnd"/>
      <w:r>
        <w:t>://doi.org/10.4324/9781315184715-7.</w:t>
      </w:r>
    </w:p>
    <w:p w14:paraId="21AAEA00" w14:textId="77777777" w:rsidR="004C47FB" w:rsidRDefault="004C47FB" w:rsidP="004C47FB">
      <w:pPr>
        <w:jc w:val="both"/>
      </w:pPr>
      <w:r>
        <w:t>11.</w:t>
      </w:r>
      <w:r>
        <w:tab/>
        <w:t xml:space="preserve">Davies, C.M. and Robison, M. (2016). Bridging the gap: An exploration of the use and impact of positive action in the United Kingdom. International Journal of </w:t>
      </w:r>
      <w:r>
        <w:lastRenderedPageBreak/>
        <w:t xml:space="preserve">Discrimination and the Law, [online] 16(2-3), pp.83–101. </w:t>
      </w:r>
      <w:proofErr w:type="spellStart"/>
      <w:r>
        <w:t>doi:https</w:t>
      </w:r>
      <w:proofErr w:type="spellEnd"/>
      <w:r>
        <w:t>://doi.org/10.1177/1358229116655647.</w:t>
      </w:r>
    </w:p>
    <w:p w14:paraId="34DFCE0E" w14:textId="77777777" w:rsidR="004C47FB" w:rsidRDefault="004C47FB" w:rsidP="004C47FB">
      <w:pPr>
        <w:jc w:val="both"/>
      </w:pPr>
      <w:r>
        <w:t>12.</w:t>
      </w:r>
      <w:r>
        <w:tab/>
        <w:t xml:space="preserve">de </w:t>
      </w:r>
      <w:proofErr w:type="spellStart"/>
      <w:r>
        <w:t>Vaate</w:t>
      </w:r>
      <w:proofErr w:type="spellEnd"/>
      <w:r>
        <w:t xml:space="preserve">, V.B. (2017). Achieving flexibility and legal certainty through procedural dismissal law reforms. European Labour Law Journal, 8(1), pp.5–27. </w:t>
      </w:r>
      <w:proofErr w:type="spellStart"/>
      <w:r>
        <w:t>doi:https</w:t>
      </w:r>
      <w:proofErr w:type="spellEnd"/>
      <w:r>
        <w:t>://doi.org/10.1177/2031952517699103.</w:t>
      </w:r>
    </w:p>
    <w:p w14:paraId="08F0B094" w14:textId="77777777" w:rsidR="004C47FB" w:rsidRDefault="004C47FB" w:rsidP="004C47FB">
      <w:pPr>
        <w:jc w:val="both"/>
      </w:pPr>
      <w:r>
        <w:t>13.</w:t>
      </w:r>
      <w:r>
        <w:tab/>
        <w:t xml:space="preserve">Deven, F. and Moss, P. (2002). Leave arrangements for parents: Overview and future outlook. Community, Work &amp; Family, 5(3), pp.237–255. </w:t>
      </w:r>
      <w:proofErr w:type="spellStart"/>
      <w:r>
        <w:t>doi:https</w:t>
      </w:r>
      <w:proofErr w:type="spellEnd"/>
      <w:r>
        <w:t>://doi.org/10.1080/1366880022000041766.</w:t>
      </w:r>
    </w:p>
    <w:p w14:paraId="14B2C7CE" w14:textId="77777777" w:rsidR="004C47FB" w:rsidRDefault="004C47FB" w:rsidP="004C47FB">
      <w:pPr>
        <w:jc w:val="both"/>
      </w:pPr>
      <w:r>
        <w:t>14.</w:t>
      </w:r>
      <w:r>
        <w:tab/>
        <w:t xml:space="preserve">Dix, G. and Barber, S.B. (2015). The changing face of work: insights from </w:t>
      </w:r>
      <w:proofErr w:type="spellStart"/>
      <w:r>
        <w:t>Acas</w:t>
      </w:r>
      <w:proofErr w:type="spellEnd"/>
      <w:r>
        <w:t xml:space="preserve">. Employee Relations, 37(6), pp.670–682. </w:t>
      </w:r>
      <w:proofErr w:type="spellStart"/>
      <w:r>
        <w:t>doi:https</w:t>
      </w:r>
      <w:proofErr w:type="spellEnd"/>
      <w:r>
        <w:t>://doi.org/10.1108/er-03-2015-0056.</w:t>
      </w:r>
    </w:p>
    <w:p w14:paraId="29A7D97E" w14:textId="77777777" w:rsidR="004C47FB" w:rsidRDefault="004C47FB" w:rsidP="004C47FB">
      <w:pPr>
        <w:jc w:val="both"/>
      </w:pPr>
      <w:r>
        <w:t>15.</w:t>
      </w:r>
      <w:r>
        <w:tab/>
        <w:t>Duca, M.V. (2021). The Content of the Obligation to Information and Consultation of the Employees in the Collective Redundancies Procedure. Ceeol.com, [online] 12(4), pp.197–217. Available at: https://www.ceeol.com/search/chapter-detail?id=933687 [Accessed 6 Dec. 2024].</w:t>
      </w:r>
    </w:p>
    <w:p w14:paraId="274F7E55" w14:textId="77777777" w:rsidR="004C47FB" w:rsidRDefault="004C47FB" w:rsidP="004C47FB">
      <w:pPr>
        <w:jc w:val="both"/>
      </w:pPr>
      <w:r>
        <w:t>16.</w:t>
      </w:r>
      <w:r>
        <w:tab/>
        <w:t>Elizabeth, M. (2021). SECURING UPWARD CAREER MOBILITY FOR PROFESSIONAL WOMEN WITH CAREGIVING RESPONSIBILITIES? A CRITIQUE OF THE UK’S RIGHT TO REQUEST FLEXIBLE WORKING. [online] Available at: https://centaur.reading.ac.uk/106944/1/23862128_Welman_thesis.pdf.</w:t>
      </w:r>
    </w:p>
    <w:p w14:paraId="2FAE4844" w14:textId="77777777" w:rsidR="004C47FB" w:rsidRDefault="004C47FB" w:rsidP="004C47FB">
      <w:pPr>
        <w:jc w:val="both"/>
      </w:pPr>
      <w:r>
        <w:t>17.</w:t>
      </w:r>
      <w:r>
        <w:tab/>
        <w:t xml:space="preserve">Fauzi, F.A., Hi, B. and Irawan, A. (2024). The Evolution of Employment Law and Its Impact on Workplace Dynamics. Advances in Human Resource Management Research, 2(1), pp.1–10. </w:t>
      </w:r>
      <w:proofErr w:type="spellStart"/>
      <w:r>
        <w:t>doi:https</w:t>
      </w:r>
      <w:proofErr w:type="spellEnd"/>
      <w:r>
        <w:t>://doi.org/10.60079/ahrmr.v2i1.184.</w:t>
      </w:r>
    </w:p>
    <w:p w14:paraId="4C1713D2" w14:textId="77777777" w:rsidR="004C47FB" w:rsidRDefault="004C47FB" w:rsidP="004C47FB">
      <w:pPr>
        <w:jc w:val="both"/>
      </w:pPr>
      <w:r>
        <w:t>18.</w:t>
      </w:r>
      <w:r>
        <w:tab/>
        <w:t xml:space="preserve">FOUBERT, P. (2017). The enforcement of the principle of equal pay for equal work or work of equal value: A legal analysis of the situation in the EU Member States, Iceland, Liechtenstein and Norway. Uhasselt.be, [online] 9(84). </w:t>
      </w:r>
      <w:proofErr w:type="spellStart"/>
      <w:r>
        <w:t>doi:https</w:t>
      </w:r>
      <w:proofErr w:type="spellEnd"/>
      <w:r>
        <w:t>://doi.org/9789279714719.</w:t>
      </w:r>
    </w:p>
    <w:p w14:paraId="2C604531" w14:textId="77777777" w:rsidR="004C47FB" w:rsidRDefault="004C47FB" w:rsidP="004C47FB">
      <w:pPr>
        <w:jc w:val="both"/>
      </w:pPr>
      <w:r>
        <w:t>19.</w:t>
      </w:r>
      <w:r>
        <w:tab/>
        <w:t xml:space="preserve">Fredman, S. (2025). Equal Pay: Navigating the Thicket. Industrial Law Journal, 4(14). </w:t>
      </w:r>
      <w:proofErr w:type="spellStart"/>
      <w:r>
        <w:t>doi:https</w:t>
      </w:r>
      <w:proofErr w:type="spellEnd"/>
      <w:r>
        <w:t>://doi.org/10.1093/</w:t>
      </w:r>
      <w:proofErr w:type="spellStart"/>
      <w:r>
        <w:t>indlaw</w:t>
      </w:r>
      <w:proofErr w:type="spellEnd"/>
      <w:r>
        <w:t>/dwaf043.</w:t>
      </w:r>
    </w:p>
    <w:p w14:paraId="044B43D8" w14:textId="77777777" w:rsidR="004C47FB" w:rsidRDefault="004C47FB" w:rsidP="004C47FB">
      <w:pPr>
        <w:jc w:val="both"/>
      </w:pPr>
      <w:r>
        <w:t>20.</w:t>
      </w:r>
      <w:r>
        <w:tab/>
        <w:t xml:space="preserve">Hacker, P. and Schäfer, M.-S. (2018). European Union Litigation. European Review of Contract Law, 14(1), pp.64–79. </w:t>
      </w:r>
      <w:proofErr w:type="spellStart"/>
      <w:r>
        <w:t>doi:https</w:t>
      </w:r>
      <w:proofErr w:type="spellEnd"/>
      <w:r>
        <w:t>://doi.org/10.1515/ercl-2018-1004.</w:t>
      </w:r>
    </w:p>
    <w:p w14:paraId="56765D2E" w14:textId="77777777" w:rsidR="004C47FB" w:rsidRDefault="004C47FB" w:rsidP="004C47FB">
      <w:pPr>
        <w:jc w:val="both"/>
      </w:pPr>
      <w:r>
        <w:t>21.</w:t>
      </w:r>
      <w:r>
        <w:tab/>
        <w:t xml:space="preserve">Hameed, A. (2022). UK Withdrawal from the EU: Supremacy, Indirect Effect and Retained EU Law. The Modern Law Review, 85(3). </w:t>
      </w:r>
      <w:proofErr w:type="spellStart"/>
      <w:r>
        <w:t>doi:https</w:t>
      </w:r>
      <w:proofErr w:type="spellEnd"/>
      <w:r>
        <w:t>://doi.org/10.1111/1468-2230.12719.</w:t>
      </w:r>
    </w:p>
    <w:p w14:paraId="15E191E5" w14:textId="77777777" w:rsidR="004C47FB" w:rsidRDefault="004C47FB" w:rsidP="004C47FB">
      <w:pPr>
        <w:jc w:val="both"/>
      </w:pPr>
      <w:r>
        <w:t>22.</w:t>
      </w:r>
      <w:r>
        <w:tab/>
        <w:t xml:space="preserve">James, G. (2016). The Law Relating to Pregnancy and Maternity Leave. Routledge eBooks, 48(193), pp.71–80. </w:t>
      </w:r>
      <w:proofErr w:type="spellStart"/>
      <w:r>
        <w:t>doi:https</w:t>
      </w:r>
      <w:proofErr w:type="spellEnd"/>
      <w:r>
        <w:t>://doi.org/10.4324/9781315585673-16.</w:t>
      </w:r>
    </w:p>
    <w:p w14:paraId="09A6AC0D" w14:textId="77777777" w:rsidR="004C47FB" w:rsidRDefault="004C47FB" w:rsidP="004C47FB">
      <w:pPr>
        <w:jc w:val="both"/>
      </w:pPr>
      <w:r>
        <w:lastRenderedPageBreak/>
        <w:t>23.</w:t>
      </w:r>
      <w:r>
        <w:tab/>
        <w:t xml:space="preserve">Liu, Q. (2019). Termination of contract for fundamental breach. Edward Elgar Publishing eBooks, 17(166). </w:t>
      </w:r>
      <w:proofErr w:type="spellStart"/>
      <w:r>
        <w:t>doi:https</w:t>
      </w:r>
      <w:proofErr w:type="spellEnd"/>
      <w:r>
        <w:t>://doi.org/10.4337/9781786431271.00019.</w:t>
      </w:r>
    </w:p>
    <w:p w14:paraId="5A23287E" w14:textId="77777777" w:rsidR="004C47FB" w:rsidRDefault="004C47FB" w:rsidP="004C47FB">
      <w:pPr>
        <w:jc w:val="both"/>
      </w:pPr>
      <w:r>
        <w:t>24.</w:t>
      </w:r>
      <w:r>
        <w:tab/>
        <w:t xml:space="preserve">Macleod, M. (2025). Unlawful Deductions to Fees or Allowances: Fostering Remuneration and Unlawful Deductions to Wages. Social Inclusion, 13(29). </w:t>
      </w:r>
      <w:proofErr w:type="spellStart"/>
      <w:r>
        <w:t>doi:https</w:t>
      </w:r>
      <w:proofErr w:type="spellEnd"/>
      <w:r>
        <w:t>://doi.org/10.17645/si.10667.</w:t>
      </w:r>
    </w:p>
    <w:p w14:paraId="11D54557" w14:textId="77777777" w:rsidR="004C47FB" w:rsidRDefault="004C47FB" w:rsidP="004C47FB">
      <w:pPr>
        <w:jc w:val="both"/>
      </w:pPr>
      <w:r>
        <w:t>25.</w:t>
      </w:r>
      <w:r>
        <w:tab/>
        <w:t xml:space="preserve">Mantouvalou, V. (2008). Human Rights and Unfair Dismissal: Private Acts in Public Spaces. Modern Law Review, 71(6), pp.912–939. </w:t>
      </w:r>
      <w:proofErr w:type="spellStart"/>
      <w:r>
        <w:t>doi:https</w:t>
      </w:r>
      <w:proofErr w:type="spellEnd"/>
      <w:r>
        <w:t>://doi.org/10.1111/j.1468-2230.2008.00722.x.</w:t>
      </w:r>
    </w:p>
    <w:p w14:paraId="3DD1CCBC" w14:textId="77777777" w:rsidR="004C47FB" w:rsidRDefault="004C47FB" w:rsidP="004C47FB">
      <w:pPr>
        <w:jc w:val="both"/>
      </w:pPr>
      <w:r>
        <w:t>26.</w:t>
      </w:r>
      <w:r>
        <w:tab/>
        <w:t xml:space="preserve">McDermott, K. (2009). The Significance of the Implied Mutual Duty of Trust and Confidence in the Employment Relationship. Katie McDermott, Technological University Dublin, 7(63). </w:t>
      </w:r>
      <w:proofErr w:type="spellStart"/>
      <w:r>
        <w:t>doi:https</w:t>
      </w:r>
      <w:proofErr w:type="spellEnd"/>
      <w:r>
        <w:t>://doi.org/10.21427/d7gj36.</w:t>
      </w:r>
    </w:p>
    <w:p w14:paraId="34A80FA1" w14:textId="77777777" w:rsidR="004C47FB" w:rsidRDefault="004C47FB" w:rsidP="004C47FB">
      <w:pPr>
        <w:jc w:val="both"/>
      </w:pPr>
      <w:r>
        <w:t>27.</w:t>
      </w:r>
      <w:r>
        <w:tab/>
        <w:t xml:space="preserve">McGaughey, E. (2026). Executive control of labour rights: the dangerous path of the Employment Rights Act 2025. Social Science Research Network , 4(28). </w:t>
      </w:r>
      <w:proofErr w:type="spellStart"/>
      <w:r>
        <w:t>doi:https</w:t>
      </w:r>
      <w:proofErr w:type="spellEnd"/>
      <w:r>
        <w:t>://doi.org/10.2139/ssrn.6716798.</w:t>
      </w:r>
    </w:p>
    <w:p w14:paraId="2E6C6A55" w14:textId="77777777" w:rsidR="004C47FB" w:rsidRDefault="004C47FB" w:rsidP="004C47FB">
      <w:pPr>
        <w:jc w:val="both"/>
      </w:pPr>
      <w:r>
        <w:t>28.</w:t>
      </w:r>
      <w:r>
        <w:tab/>
        <w:t xml:space="preserve">McMullen, J. (2011). Case law relating to service provision changes under the Transfer of Undertakings (Protection of Employment)(TUPE) Regulations 2006. Amicus Curiae, 2010(84). </w:t>
      </w:r>
      <w:proofErr w:type="spellStart"/>
      <w:r>
        <w:t>doi:https</w:t>
      </w:r>
      <w:proofErr w:type="spellEnd"/>
      <w:r>
        <w:t>://doi.org/10.14296/ac.v2010i84.1233.</w:t>
      </w:r>
    </w:p>
    <w:p w14:paraId="1038065D" w14:textId="77777777" w:rsidR="004C47FB" w:rsidRDefault="004C47FB" w:rsidP="004C47FB">
      <w:pPr>
        <w:jc w:val="both"/>
      </w:pPr>
      <w:r>
        <w:t>29.</w:t>
      </w:r>
      <w:r>
        <w:tab/>
        <w:t>Mills, E., Murray, A., Boyle, O., Walls, G. and West, A. (2025). Labour and Employment Compliance in the United Kingdom. Torrossa.com, [online] 4(24), pp.1–120. Available at: https://www.torrossa.com/it/resources/an/5629236.</w:t>
      </w:r>
    </w:p>
    <w:p w14:paraId="5058DC33" w14:textId="77777777" w:rsidR="004C47FB" w:rsidRDefault="004C47FB" w:rsidP="004C47FB">
      <w:pPr>
        <w:jc w:val="both"/>
      </w:pPr>
      <w:r>
        <w:t>30.</w:t>
      </w:r>
      <w:r>
        <w:tab/>
        <w:t xml:space="preserve">Niall O'Connor (2023). Quasi (-social) Citizenship, the Common Travel Area, and the Fragmented Protection of Employment Rights in the United Kingdom after Brexit. European labour law journal/European Labour Law Journal, 2(91). </w:t>
      </w:r>
      <w:proofErr w:type="spellStart"/>
      <w:r>
        <w:t>doi:https</w:t>
      </w:r>
      <w:proofErr w:type="spellEnd"/>
      <w:r>
        <w:t>://doi.org/10.1177/20319525231222165.</w:t>
      </w:r>
    </w:p>
    <w:p w14:paraId="7C047620" w14:textId="77777777" w:rsidR="004C47FB" w:rsidRDefault="004C47FB" w:rsidP="004C47FB">
      <w:pPr>
        <w:jc w:val="both"/>
      </w:pPr>
      <w:r>
        <w:t>31.</w:t>
      </w:r>
      <w:r>
        <w:tab/>
      </w:r>
      <w:proofErr w:type="spellStart"/>
      <w:r>
        <w:t>Nipuli</w:t>
      </w:r>
      <w:proofErr w:type="spellEnd"/>
      <w:r>
        <w:t>, L. and Salmon, C. (2015). ‘Being a Nurse Is Not My Gender, It’s What I Was Professionally Trained to Do’ : The Experiences of Male Nurses in Providing Intimate Care to Female Patients at a Health Care Facility in Central Finland. Theseus.fi, [online] 2(19). doi:urn:NBN:fi:amk-2015100715179.</w:t>
      </w:r>
    </w:p>
    <w:p w14:paraId="5234B584" w14:textId="77777777" w:rsidR="004C47FB" w:rsidRDefault="004C47FB" w:rsidP="004C47FB">
      <w:pPr>
        <w:jc w:val="both"/>
      </w:pPr>
      <w:r>
        <w:t>32.</w:t>
      </w:r>
      <w:r>
        <w:tab/>
        <w:t xml:space="preserve">Pearson, M. (2024). The Right to Request Flexible Working: Evidence from Employment Tribunal Judgments. Industrial Law Journal, 54(1). </w:t>
      </w:r>
      <w:proofErr w:type="spellStart"/>
      <w:r>
        <w:t>doi:https</w:t>
      </w:r>
      <w:proofErr w:type="spellEnd"/>
      <w:r>
        <w:t>://doi.org/10.1093/</w:t>
      </w:r>
      <w:proofErr w:type="spellStart"/>
      <w:r>
        <w:t>indlaw</w:t>
      </w:r>
      <w:proofErr w:type="spellEnd"/>
      <w:r>
        <w:t>/dwae016.</w:t>
      </w:r>
    </w:p>
    <w:p w14:paraId="4B246796" w14:textId="77777777" w:rsidR="004C47FB" w:rsidRDefault="004C47FB" w:rsidP="004C47FB">
      <w:pPr>
        <w:jc w:val="both"/>
      </w:pPr>
      <w:r>
        <w:t>33.</w:t>
      </w:r>
      <w:r>
        <w:tab/>
        <w:t xml:space="preserve">Pepple, D. and Adeleye, N. (2021). Managing Disciplinary and Grievance Cost. Financial and Managerial Aspects in Human Resource Management: A Practical Guide, 3(7), pp.85–96. </w:t>
      </w:r>
      <w:proofErr w:type="spellStart"/>
      <w:r>
        <w:t>doi:https</w:t>
      </w:r>
      <w:proofErr w:type="spellEnd"/>
      <w:r>
        <w:t>://doi.org/10.1108/978-1-83909-612-920211009.</w:t>
      </w:r>
    </w:p>
    <w:p w14:paraId="4EA6CF24" w14:textId="77777777" w:rsidR="004C47FB" w:rsidRDefault="004C47FB" w:rsidP="004C47FB">
      <w:pPr>
        <w:jc w:val="both"/>
      </w:pPr>
      <w:r>
        <w:lastRenderedPageBreak/>
        <w:t>34.</w:t>
      </w:r>
      <w:r>
        <w:tab/>
        <w:t xml:space="preserve">QUELLE, C. (2018). Enhancing Compliance under the General Data Protection Regulation: The Risky Upshot of the Accountability- and Risk-based Approach. European Journal of Risk Regulation, 9(3), pp.502–526. </w:t>
      </w:r>
      <w:proofErr w:type="spellStart"/>
      <w:r>
        <w:t>doi:https</w:t>
      </w:r>
      <w:proofErr w:type="spellEnd"/>
      <w:r>
        <w:t>://doi.org/10.1017/err.2018.47.</w:t>
      </w:r>
    </w:p>
    <w:p w14:paraId="70657643" w14:textId="77777777" w:rsidR="004C47FB" w:rsidRDefault="004C47FB" w:rsidP="004C47FB">
      <w:pPr>
        <w:jc w:val="both"/>
      </w:pPr>
      <w:r>
        <w:t>35.</w:t>
      </w:r>
      <w:r>
        <w:tab/>
        <w:t xml:space="preserve">Recchia, G.A. (2025). The Right to Information and Consultation in Collective Redundancy Procedures. The European Social Charter: A Commentary, 39(5), pp.196–223. </w:t>
      </w:r>
      <w:proofErr w:type="spellStart"/>
      <w:r>
        <w:t>doi:https</w:t>
      </w:r>
      <w:proofErr w:type="spellEnd"/>
      <w:r>
        <w:t>://doi.org/10.1163/9789004434158_011.</w:t>
      </w:r>
    </w:p>
    <w:p w14:paraId="7F76CE8A" w14:textId="77777777" w:rsidR="004C47FB" w:rsidRDefault="004C47FB" w:rsidP="004C47FB">
      <w:pPr>
        <w:jc w:val="both"/>
      </w:pPr>
      <w:r>
        <w:t>36.</w:t>
      </w:r>
      <w:r>
        <w:tab/>
        <w:t>Roberts, K. (2007). Work</w:t>
      </w:r>
      <w:r>
        <w:rPr>
          <w:rFonts w:ascii="Cambria Math" w:hAnsi="Cambria Math" w:cs="Cambria Math"/>
        </w:rPr>
        <w:t>‐</w:t>
      </w:r>
      <w:r>
        <w:t xml:space="preserve">life balance </w:t>
      </w:r>
      <w:r>
        <w:rPr>
          <w:rFonts w:ascii="Aptos" w:hAnsi="Aptos" w:cs="Aptos"/>
        </w:rPr>
        <w:t>–</w:t>
      </w:r>
      <w:r>
        <w:t xml:space="preserve"> the sources of the contemporary problem and the probable outcomes. Employee Relations, 29(4), pp.334</w:t>
      </w:r>
      <w:r>
        <w:rPr>
          <w:rFonts w:ascii="Aptos" w:hAnsi="Aptos" w:cs="Aptos"/>
        </w:rPr>
        <w:t>–</w:t>
      </w:r>
      <w:r>
        <w:t xml:space="preserve">351. </w:t>
      </w:r>
      <w:proofErr w:type="spellStart"/>
      <w:r>
        <w:t>doi:https</w:t>
      </w:r>
      <w:proofErr w:type="spellEnd"/>
      <w:r>
        <w:t>://doi.org/10.1108/01425450710759181.</w:t>
      </w:r>
    </w:p>
    <w:p w14:paraId="0BDE7B0C" w14:textId="77777777" w:rsidR="004C47FB" w:rsidRDefault="004C47FB" w:rsidP="004C47FB">
      <w:pPr>
        <w:jc w:val="both"/>
      </w:pPr>
      <w:r>
        <w:t>37.</w:t>
      </w:r>
      <w:r>
        <w:tab/>
        <w:t>Rossi, P. (2021). International Law Immunities and Employment Claims. Bloomsbury Publishing.</w:t>
      </w:r>
    </w:p>
    <w:p w14:paraId="71233906" w14:textId="77777777" w:rsidR="004C47FB" w:rsidRDefault="004C47FB" w:rsidP="004C47FB">
      <w:pPr>
        <w:jc w:val="both"/>
      </w:pPr>
      <w:r>
        <w:t>38.</w:t>
      </w:r>
      <w:r>
        <w:tab/>
        <w:t>Snyman, A.M. (2021). A Framework for Staff Retention in the Higher Education Environment: Effects of the Psychological Contract, Organisational Justice and Trust - ProQuest. [online] Proquest.com. Available at: https://www.proquest.com/openview/fff536ce7d520f6dc68c46aad5c1cdb1/1?pq-origsite=gscholar&amp;cbl=2026366&amp;diss=y [Accessed 29 May 2026].</w:t>
      </w:r>
    </w:p>
    <w:p w14:paraId="6F4F87D3" w14:textId="77777777" w:rsidR="004C47FB" w:rsidRDefault="004C47FB" w:rsidP="004C47FB">
      <w:pPr>
        <w:jc w:val="both"/>
      </w:pPr>
      <w:r>
        <w:t>39.</w:t>
      </w:r>
      <w:r>
        <w:tab/>
        <w:t xml:space="preserve">SOMAN , M.D. (2017). Coaching Process And its Influence on Employees’ Competencies in the Hospitality Sector – Case Study. International Journal of Contemporary Management, 4(2). </w:t>
      </w:r>
      <w:proofErr w:type="spellStart"/>
      <w:r>
        <w:t>doi:https</w:t>
      </w:r>
      <w:proofErr w:type="spellEnd"/>
      <w:r>
        <w:t>://doi.org/10.4467/24498939ijcm.17.011.7524.</w:t>
      </w:r>
    </w:p>
    <w:p w14:paraId="591A922D" w14:textId="77777777" w:rsidR="004C47FB" w:rsidRDefault="004C47FB" w:rsidP="004C47FB">
      <w:pPr>
        <w:jc w:val="both"/>
      </w:pPr>
      <w:r>
        <w:t>40.</w:t>
      </w:r>
      <w:r>
        <w:tab/>
        <w:t xml:space="preserve">Uhde, A., Schlicker, N., Wallach, D.P. and Hassenzahl, M. (2020). Fairness and Decision-making in Collaborative Shift Scheduling Systems. Proceedings of the 2020 CHI Conference on Human Factors in Computing Systems, 13(2). </w:t>
      </w:r>
      <w:proofErr w:type="spellStart"/>
      <w:r>
        <w:t>doi:https</w:t>
      </w:r>
      <w:proofErr w:type="spellEnd"/>
      <w:r>
        <w:t>://doi.org/10.1145/3313831.3376656.</w:t>
      </w:r>
    </w:p>
    <w:p w14:paraId="6B66B12C" w14:textId="77777777" w:rsidR="004C47FB" w:rsidRDefault="004C47FB" w:rsidP="004C47FB">
      <w:pPr>
        <w:jc w:val="both"/>
      </w:pPr>
      <w:r>
        <w:t>41.</w:t>
      </w:r>
      <w:r>
        <w:tab/>
        <w:t xml:space="preserve">Urška </w:t>
      </w:r>
      <w:proofErr w:type="spellStart"/>
      <w:r>
        <w:t>Šadl</w:t>
      </w:r>
      <w:proofErr w:type="spellEnd"/>
      <w:r>
        <w:t xml:space="preserve"> (2024). Good Judgment. [online] Bloomsbury Publishing. Available at: https://www.torrossa.com/it/resources/an/5868379 [Accessed 3 Jan. 2025].</w:t>
      </w:r>
    </w:p>
    <w:p w14:paraId="5DA7C33E" w14:textId="77777777" w:rsidR="004C47FB" w:rsidRDefault="004C47FB" w:rsidP="004C47FB">
      <w:pPr>
        <w:jc w:val="both"/>
      </w:pPr>
      <w:r>
        <w:t>42.</w:t>
      </w:r>
      <w:r>
        <w:tab/>
        <w:t xml:space="preserve">Vanessa, C. (2024). Shared parental leave (SPL) - a catalyst for progressing gender justice or a reinforcement of the status quo? Exploring the disjuncture between parents’ increased aspiration to share care and limited uptake of SPL in the UK - White Rose </w:t>
      </w:r>
      <w:proofErr w:type="spellStart"/>
      <w:r>
        <w:t>eTheses</w:t>
      </w:r>
      <w:proofErr w:type="spellEnd"/>
      <w:r>
        <w:t xml:space="preserve"> Online. Whiterose.ac.uk, [online] 89(46). doi:https://etheses.whiterose.ac.uk/id/eprint/35503/1/Matysova_CVF_LUBSPHD_2024.pdf.</w:t>
      </w:r>
    </w:p>
    <w:p w14:paraId="07FA0ED9" w14:textId="77777777" w:rsidR="004C47FB" w:rsidRDefault="004C47FB" w:rsidP="004C47FB">
      <w:pPr>
        <w:jc w:val="both"/>
      </w:pPr>
      <w:r>
        <w:t>43.</w:t>
      </w:r>
      <w:r>
        <w:tab/>
        <w:t xml:space="preserve">Vasiljevic, M., Vyver, J.V. de , Abrams , D. and Houston , D.M. (2015). ‘Equality hypocrisy, inconsistency, and prejudice: The unequal application of the universal human right to equality’: Correction to Abrams et al. (2015).. Peace and Conflict: Journal of Peace Psychology, 21(3), pp.358–358. </w:t>
      </w:r>
      <w:proofErr w:type="spellStart"/>
      <w:r>
        <w:t>doi:https</w:t>
      </w:r>
      <w:proofErr w:type="spellEnd"/>
      <w:r>
        <w:t>://doi.org/10.1037/pac0000115.</w:t>
      </w:r>
    </w:p>
    <w:p w14:paraId="1F184ED6" w14:textId="77777777" w:rsidR="004C47FB" w:rsidRDefault="004C47FB" w:rsidP="004C47FB">
      <w:pPr>
        <w:jc w:val="both"/>
      </w:pPr>
      <w:r>
        <w:lastRenderedPageBreak/>
        <w:t>44.</w:t>
      </w:r>
      <w:r>
        <w:tab/>
        <w:t xml:space="preserve">Waddington, L. and Bell, M. (2021). The right to request flexible working arrangements under the Work-life Balance Directive – A comparative perspective. European Labour Law Journal, 12(4), p.203195252110382. </w:t>
      </w:r>
      <w:proofErr w:type="spellStart"/>
      <w:r>
        <w:t>doi:https</w:t>
      </w:r>
      <w:proofErr w:type="spellEnd"/>
      <w:r>
        <w:t>://doi.org/10.1177/20319525211038270.</w:t>
      </w:r>
    </w:p>
    <w:p w14:paraId="02951D78" w14:textId="77777777" w:rsidR="004C47FB" w:rsidRDefault="004C47FB" w:rsidP="004C47FB">
      <w:pPr>
        <w:jc w:val="both"/>
      </w:pPr>
      <w:r>
        <w:t>45.</w:t>
      </w:r>
      <w:r>
        <w:tab/>
        <w:t xml:space="preserve">Weber, N. (2023). (Correct) Calculation of Payment During Annual Leave and Allowance in Lieu of Leave not Taken in the Public and Private Sectors and the Impact of the Case-law of the Court of Justice on the Decision-making of the Slovenian Courts. Lex </w:t>
      </w:r>
      <w:proofErr w:type="spellStart"/>
      <w:r>
        <w:t>localis</w:t>
      </w:r>
      <w:proofErr w:type="spellEnd"/>
      <w:r>
        <w:t xml:space="preserve"> - Journal of Local Self-Government, 21(3), pp.495–524. </w:t>
      </w:r>
      <w:proofErr w:type="spellStart"/>
      <w:r>
        <w:t>doi:https</w:t>
      </w:r>
      <w:proofErr w:type="spellEnd"/>
      <w:r>
        <w:t>://doi.org/10.4335/21.3.495-524(2023).</w:t>
      </w:r>
    </w:p>
    <w:p w14:paraId="1E10E6C4" w14:textId="2D984123" w:rsidR="004C47FB" w:rsidRDefault="004C47FB" w:rsidP="004C47FB">
      <w:pPr>
        <w:jc w:val="both"/>
      </w:pPr>
      <w:r>
        <w:t>46.</w:t>
      </w:r>
      <w:r>
        <w:tab/>
        <w:t xml:space="preserve">Xie, Z. (2015). Wages, Work Hours and Holidays. Labor Law in China, 66(178), pp.65–78. </w:t>
      </w:r>
      <w:proofErr w:type="spellStart"/>
      <w:r>
        <w:t>doi:https</w:t>
      </w:r>
      <w:proofErr w:type="spellEnd"/>
      <w:r>
        <w:t>://doi.org/10.1007/978-3-662-46929-3_5.</w:t>
      </w:r>
    </w:p>
    <w:sectPr w:rsidR="004C47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7FB"/>
    <w:rsid w:val="00055A54"/>
    <w:rsid w:val="0035441D"/>
    <w:rsid w:val="004C47FB"/>
    <w:rsid w:val="00995BD8"/>
    <w:rsid w:val="009E0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D3764"/>
  <w15:chartTrackingRefBased/>
  <w15:docId w15:val="{547BA6E4-39A2-42B9-A288-D03D7EB6E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7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7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7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7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7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7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7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7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7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7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7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7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7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7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7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7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7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7FB"/>
    <w:rPr>
      <w:rFonts w:eastAsiaTheme="majorEastAsia" w:cstheme="majorBidi"/>
      <w:color w:val="272727" w:themeColor="text1" w:themeTint="D8"/>
    </w:rPr>
  </w:style>
  <w:style w:type="paragraph" w:styleId="Title">
    <w:name w:val="Title"/>
    <w:basedOn w:val="Normal"/>
    <w:next w:val="Normal"/>
    <w:link w:val="TitleChar"/>
    <w:uiPriority w:val="10"/>
    <w:qFormat/>
    <w:rsid w:val="004C47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7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7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7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7FB"/>
    <w:pPr>
      <w:spacing w:before="160"/>
      <w:jc w:val="center"/>
    </w:pPr>
    <w:rPr>
      <w:i/>
      <w:iCs/>
      <w:color w:val="404040" w:themeColor="text1" w:themeTint="BF"/>
    </w:rPr>
  </w:style>
  <w:style w:type="character" w:customStyle="1" w:styleId="QuoteChar">
    <w:name w:val="Quote Char"/>
    <w:basedOn w:val="DefaultParagraphFont"/>
    <w:link w:val="Quote"/>
    <w:uiPriority w:val="29"/>
    <w:rsid w:val="004C47FB"/>
    <w:rPr>
      <w:i/>
      <w:iCs/>
      <w:color w:val="404040" w:themeColor="text1" w:themeTint="BF"/>
    </w:rPr>
  </w:style>
  <w:style w:type="paragraph" w:styleId="ListParagraph">
    <w:name w:val="List Paragraph"/>
    <w:basedOn w:val="Normal"/>
    <w:uiPriority w:val="34"/>
    <w:qFormat/>
    <w:rsid w:val="004C47FB"/>
    <w:pPr>
      <w:ind w:left="720"/>
      <w:contextualSpacing/>
    </w:pPr>
  </w:style>
  <w:style w:type="character" w:styleId="IntenseEmphasis">
    <w:name w:val="Intense Emphasis"/>
    <w:basedOn w:val="DefaultParagraphFont"/>
    <w:uiPriority w:val="21"/>
    <w:qFormat/>
    <w:rsid w:val="004C47FB"/>
    <w:rPr>
      <w:i/>
      <w:iCs/>
      <w:color w:val="0F4761" w:themeColor="accent1" w:themeShade="BF"/>
    </w:rPr>
  </w:style>
  <w:style w:type="paragraph" w:styleId="IntenseQuote">
    <w:name w:val="Intense Quote"/>
    <w:basedOn w:val="Normal"/>
    <w:next w:val="Normal"/>
    <w:link w:val="IntenseQuoteChar"/>
    <w:uiPriority w:val="30"/>
    <w:qFormat/>
    <w:rsid w:val="004C47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7FB"/>
    <w:rPr>
      <w:i/>
      <w:iCs/>
      <w:color w:val="0F4761" w:themeColor="accent1" w:themeShade="BF"/>
    </w:rPr>
  </w:style>
  <w:style w:type="character" w:styleId="IntenseReference">
    <w:name w:val="Intense Reference"/>
    <w:basedOn w:val="DefaultParagraphFont"/>
    <w:uiPriority w:val="32"/>
    <w:qFormat/>
    <w:rsid w:val="004C47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5583</Words>
  <Characters>31824</Characters>
  <Application>Microsoft Office Word</Application>
  <DocSecurity>0</DocSecurity>
  <Lines>265</Lines>
  <Paragraphs>74</Paragraphs>
  <ScaleCrop>false</ScaleCrop>
  <Company/>
  <LinksUpToDate>false</LinksUpToDate>
  <CharactersWithSpaces>37333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Thomas</dc:creator>
  <cp:keywords/>
  <dc:description/>
  <cp:lastModifiedBy>Owen Thomas</cp:lastModifiedBy>
  <cp:revision>2</cp:revision>
  <dcterms:created xsi:type="dcterms:W3CDTF">2026-06-01T21:50:00Z</dcterms:created>
  <dcterms:modified xsi:type="dcterms:W3CDTF">2026-06-01T21:56:00Z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2026-06-01T21:50:28Z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77187187-5366-44fc-82c1-79b292f335e7</vt:lpwstr>
  </property>
  <property fmtid="{D5CDD505-2E9C-101B-9397-08002B2CF9AE}" pid="8" name="MSIP_Label_ba2ef5eb-f4dc-4350-b858-3238ea3234a5_ContentBits">
    <vt:lpwstr>0</vt:lpwstr>
  </property>
  <property fmtid="{D5CDD505-2E9C-101B-9397-08002B2CF9AE}" pid="9" name="MSIP_Label_ba2ef5eb-f4dc-4350-b858-3238ea3234a5_Tag">
    <vt:lpwstr>10, 3, 0, 1</vt:lpwstr>
  </property>
</Properties>
</file>