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CEE" w:rsidRDefault="00D86129">
      <w:r w:rsidRPr="00D86129">
        <w:object w:dxaOrig="5411" w:dyaOrig="7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92.5pt" o:ole="">
            <v:imagedata r:id="rId8" o:title=""/>
          </v:shape>
          <o:OLEObject Type="Embed" ProgID="PowerPoint.Slide.12" ShapeID="_x0000_i1025" DrawAspect="Content" ObjectID="_1660410695" r:id="rId9"/>
        </w:object>
      </w:r>
    </w:p>
    <w:p w:rsidR="00141778" w:rsidRDefault="00141778"/>
    <w:p w:rsidR="00141778" w:rsidRDefault="00141778"/>
    <w:p w:rsidR="00141778" w:rsidRDefault="00141778"/>
    <w:p w:rsidR="00141778" w:rsidRDefault="00141778"/>
    <w:p w:rsidR="00141778" w:rsidRDefault="00141778" w:rsidP="00141778">
      <w:pPr>
        <w:spacing w:line="360" w:lineRule="auto"/>
        <w:jc w:val="center"/>
        <w:rPr>
          <w:rFonts w:ascii="Times New Roman" w:eastAsia="Times New Roman" w:hAnsi="Times New Roman" w:cs="Times New Roman"/>
          <w:b/>
          <w:sz w:val="24"/>
          <w:szCs w:val="24"/>
        </w:rPr>
      </w:pPr>
      <w:r w:rsidRPr="000B2F5B">
        <w:rPr>
          <w:rFonts w:ascii="Times New Roman" w:eastAsia="Times New Roman" w:hAnsi="Times New Roman" w:cs="Times New Roman"/>
          <w:b/>
          <w:sz w:val="24"/>
          <w:szCs w:val="24"/>
        </w:rPr>
        <w:t>Executive Summary</w:t>
      </w:r>
    </w:p>
    <w:p w:rsidR="00141778" w:rsidRPr="000B2F5B" w:rsidRDefault="00141778" w:rsidP="00141778">
      <w:pPr>
        <w:spacing w:line="360" w:lineRule="auto"/>
        <w:jc w:val="center"/>
        <w:rPr>
          <w:rFonts w:ascii="Times New Roman" w:eastAsia="Times New Roman" w:hAnsi="Times New Roman" w:cs="Times New Roman"/>
          <w:bCs/>
          <w:sz w:val="24"/>
          <w:szCs w:val="24"/>
        </w:rPr>
      </w:pPr>
    </w:p>
    <w:p w:rsidR="00141778" w:rsidRDefault="00141778" w:rsidP="00141778">
      <w:pPr>
        <w:spacing w:line="360" w:lineRule="auto"/>
        <w:jc w:val="both"/>
        <w:rPr>
          <w:rFonts w:ascii="Times New Roman" w:eastAsia="Times New Roman" w:hAnsi="Times New Roman" w:cs="Times New Roman"/>
          <w:b/>
          <w:sz w:val="24"/>
          <w:szCs w:val="24"/>
        </w:rPr>
      </w:pPr>
      <w:r w:rsidRPr="000B2F5B">
        <w:rPr>
          <w:rFonts w:ascii="Times New Roman" w:eastAsia="Times New Roman" w:hAnsi="Times New Roman" w:cs="Times New Roman"/>
          <w:bCs/>
          <w:sz w:val="24"/>
          <w:szCs w:val="24"/>
        </w:rPr>
        <w:t>This report sheds light on employability as well as academic skills for graduate students to get proper employment chances in contemporary organizations. Educations and corporate sectors have been globalised due to improved communication and flexible working procedures. Hence, professional employers are looking for new employees with appropriate professional skills and knowledge</w:t>
      </w:r>
      <w:r>
        <w:rPr>
          <w:rFonts w:ascii="Times New Roman" w:eastAsia="Times New Roman" w:hAnsi="Times New Roman" w:cs="Times New Roman"/>
          <w:bCs/>
          <w:sz w:val="24"/>
          <w:szCs w:val="24"/>
        </w:rPr>
        <w:t>. In this report, 2 online and 2</w:t>
      </w:r>
      <w:r w:rsidRPr="000B2F5B">
        <w:rPr>
          <w:rFonts w:ascii="Times New Roman" w:eastAsia="Times New Roman" w:hAnsi="Times New Roman" w:cs="Times New Roman"/>
          <w:bCs/>
          <w:sz w:val="24"/>
          <w:szCs w:val="24"/>
        </w:rPr>
        <w:t xml:space="preserve"> journal articles have been taken to analyse different areas of academic and professional skills. Conceptual range for employability</w:t>
      </w:r>
      <w:r>
        <w:rPr>
          <w:rFonts w:ascii="Times New Roman" w:eastAsia="Times New Roman" w:hAnsi="Times New Roman" w:cs="Times New Roman"/>
          <w:bCs/>
          <w:sz w:val="24"/>
          <w:szCs w:val="24"/>
        </w:rPr>
        <w:t xml:space="preserve"> </w:t>
      </w:r>
      <w:r w:rsidRPr="000B2F5B">
        <w:rPr>
          <w:rFonts w:ascii="Times New Roman" w:eastAsia="Times New Roman" w:hAnsi="Times New Roman" w:cs="Times New Roman"/>
          <w:bCs/>
          <w:sz w:val="24"/>
          <w:szCs w:val="24"/>
        </w:rPr>
        <w:t>skills</w:t>
      </w:r>
      <w:r>
        <w:rPr>
          <w:rFonts w:ascii="Times New Roman" w:eastAsia="Times New Roman" w:hAnsi="Times New Roman" w:cs="Times New Roman"/>
          <w:bCs/>
          <w:sz w:val="24"/>
          <w:szCs w:val="24"/>
        </w:rPr>
        <w:t xml:space="preserve"> has</w:t>
      </w:r>
      <w:r w:rsidRPr="000B2F5B">
        <w:rPr>
          <w:rFonts w:ascii="Times New Roman" w:eastAsia="Times New Roman" w:hAnsi="Times New Roman" w:cs="Times New Roman"/>
          <w:bCs/>
          <w:sz w:val="24"/>
          <w:szCs w:val="24"/>
        </w:rPr>
        <w:t xml:space="preserve"> widened in last few years due to inclusion of technical skills in the modern era of digitalization. Requirements of corporate employers in this globalised era have been also discussed here.</w:t>
      </w:r>
      <w:r>
        <w:rPr>
          <w:rFonts w:ascii="Times New Roman" w:eastAsia="Times New Roman" w:hAnsi="Times New Roman" w:cs="Times New Roman"/>
          <w:b/>
          <w:sz w:val="24"/>
          <w:szCs w:val="24"/>
        </w:rPr>
        <w:br w:type="page"/>
      </w:r>
    </w:p>
    <w:sdt>
      <w:sdtPr>
        <w:id w:val="1397671017"/>
        <w:docPartObj>
          <w:docPartGallery w:val="Table of Contents"/>
          <w:docPartUnique/>
        </w:docPartObj>
      </w:sdtPr>
      <w:sdtEndPr>
        <w:rPr>
          <w:rFonts w:ascii="Arial" w:eastAsia="Arial" w:hAnsi="Arial" w:cs="Arial"/>
          <w:b w:val="0"/>
          <w:bCs w:val="0"/>
          <w:color w:val="auto"/>
          <w:sz w:val="22"/>
          <w:szCs w:val="22"/>
          <w:lang w:val="en-GB" w:eastAsia="en-IN"/>
        </w:rPr>
      </w:sdtEndPr>
      <w:sdtContent>
        <w:p w:rsidR="00D86129" w:rsidRDefault="00D86129">
          <w:pPr>
            <w:pStyle w:val="TOCHeading"/>
          </w:pPr>
          <w:r>
            <w:t>Table of Contents</w:t>
          </w:r>
        </w:p>
        <w:p w:rsidR="00D86129" w:rsidRDefault="00D86129">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49797642" w:history="1">
            <w:r w:rsidRPr="00AC25AB">
              <w:rPr>
                <w:rStyle w:val="Hyperlink"/>
                <w:noProof/>
              </w:rPr>
              <w:t>Introduction</w:t>
            </w:r>
            <w:r>
              <w:rPr>
                <w:noProof/>
                <w:webHidden/>
              </w:rPr>
              <w:tab/>
            </w:r>
            <w:r>
              <w:rPr>
                <w:noProof/>
                <w:webHidden/>
              </w:rPr>
              <w:fldChar w:fldCharType="begin"/>
            </w:r>
            <w:r>
              <w:rPr>
                <w:noProof/>
                <w:webHidden/>
              </w:rPr>
              <w:instrText xml:space="preserve"> PAGEREF _Toc49797642 \h </w:instrText>
            </w:r>
            <w:r>
              <w:rPr>
                <w:noProof/>
                <w:webHidden/>
              </w:rPr>
            </w:r>
            <w:r>
              <w:rPr>
                <w:noProof/>
                <w:webHidden/>
              </w:rPr>
              <w:fldChar w:fldCharType="separate"/>
            </w:r>
            <w:r>
              <w:rPr>
                <w:noProof/>
                <w:webHidden/>
              </w:rPr>
              <w:t>4</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3" w:history="1">
            <w:r w:rsidRPr="00AC25AB">
              <w:rPr>
                <w:rStyle w:val="Hyperlink"/>
                <w:noProof/>
              </w:rPr>
              <w:t>Work-integrated employability skill acquisition for graduate students</w:t>
            </w:r>
            <w:r>
              <w:rPr>
                <w:noProof/>
                <w:webHidden/>
              </w:rPr>
              <w:tab/>
            </w:r>
            <w:r>
              <w:rPr>
                <w:noProof/>
                <w:webHidden/>
              </w:rPr>
              <w:fldChar w:fldCharType="begin"/>
            </w:r>
            <w:r>
              <w:rPr>
                <w:noProof/>
                <w:webHidden/>
              </w:rPr>
              <w:instrText xml:space="preserve"> PAGEREF _Toc49797643 \h </w:instrText>
            </w:r>
            <w:r>
              <w:rPr>
                <w:noProof/>
                <w:webHidden/>
              </w:rPr>
            </w:r>
            <w:r>
              <w:rPr>
                <w:noProof/>
                <w:webHidden/>
              </w:rPr>
              <w:fldChar w:fldCharType="separate"/>
            </w:r>
            <w:r>
              <w:rPr>
                <w:noProof/>
                <w:webHidden/>
              </w:rPr>
              <w:t>4</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4" w:history="1">
            <w:r w:rsidRPr="00AC25AB">
              <w:rPr>
                <w:rStyle w:val="Hyperlink"/>
                <w:noProof/>
              </w:rPr>
              <w:t>Perspective of employability skills and professional knowledge</w:t>
            </w:r>
            <w:r>
              <w:rPr>
                <w:noProof/>
                <w:webHidden/>
              </w:rPr>
              <w:tab/>
            </w:r>
            <w:r>
              <w:rPr>
                <w:noProof/>
                <w:webHidden/>
              </w:rPr>
              <w:fldChar w:fldCharType="begin"/>
            </w:r>
            <w:r>
              <w:rPr>
                <w:noProof/>
                <w:webHidden/>
              </w:rPr>
              <w:instrText xml:space="preserve"> PAGEREF _Toc49797644 \h </w:instrText>
            </w:r>
            <w:r>
              <w:rPr>
                <w:noProof/>
                <w:webHidden/>
              </w:rPr>
            </w:r>
            <w:r>
              <w:rPr>
                <w:noProof/>
                <w:webHidden/>
              </w:rPr>
              <w:fldChar w:fldCharType="separate"/>
            </w:r>
            <w:r>
              <w:rPr>
                <w:noProof/>
                <w:webHidden/>
              </w:rPr>
              <w:t>5</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5" w:history="1">
            <w:r w:rsidRPr="00AC25AB">
              <w:rPr>
                <w:rStyle w:val="Hyperlink"/>
                <w:noProof/>
              </w:rPr>
              <w:t>Explaining different transferable skills at professional works</w:t>
            </w:r>
            <w:r>
              <w:rPr>
                <w:noProof/>
                <w:webHidden/>
              </w:rPr>
              <w:tab/>
            </w:r>
            <w:r>
              <w:rPr>
                <w:noProof/>
                <w:webHidden/>
              </w:rPr>
              <w:fldChar w:fldCharType="begin"/>
            </w:r>
            <w:r>
              <w:rPr>
                <w:noProof/>
                <w:webHidden/>
              </w:rPr>
              <w:instrText xml:space="preserve"> PAGEREF _Toc49797645 \h </w:instrText>
            </w:r>
            <w:r>
              <w:rPr>
                <w:noProof/>
                <w:webHidden/>
              </w:rPr>
            </w:r>
            <w:r>
              <w:rPr>
                <w:noProof/>
                <w:webHidden/>
              </w:rPr>
              <w:fldChar w:fldCharType="separate"/>
            </w:r>
            <w:r>
              <w:rPr>
                <w:noProof/>
                <w:webHidden/>
              </w:rPr>
              <w:t>5</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6" w:history="1">
            <w:r w:rsidRPr="00AC25AB">
              <w:rPr>
                <w:rStyle w:val="Hyperlink"/>
                <w:noProof/>
              </w:rPr>
              <w:t>Different ways to improve employability skills in higher education</w:t>
            </w:r>
            <w:r>
              <w:rPr>
                <w:noProof/>
                <w:webHidden/>
              </w:rPr>
              <w:tab/>
            </w:r>
            <w:r>
              <w:rPr>
                <w:noProof/>
                <w:webHidden/>
              </w:rPr>
              <w:fldChar w:fldCharType="begin"/>
            </w:r>
            <w:r>
              <w:rPr>
                <w:noProof/>
                <w:webHidden/>
              </w:rPr>
              <w:instrText xml:space="preserve"> PAGEREF _Toc49797646 \h </w:instrText>
            </w:r>
            <w:r>
              <w:rPr>
                <w:noProof/>
                <w:webHidden/>
              </w:rPr>
            </w:r>
            <w:r>
              <w:rPr>
                <w:noProof/>
                <w:webHidden/>
              </w:rPr>
              <w:fldChar w:fldCharType="separate"/>
            </w:r>
            <w:r>
              <w:rPr>
                <w:noProof/>
                <w:webHidden/>
              </w:rPr>
              <w:t>6</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7" w:history="1">
            <w:r w:rsidRPr="00AC25AB">
              <w:rPr>
                <w:rStyle w:val="Hyperlink"/>
                <w:noProof/>
              </w:rPr>
              <w:t>Analysis of my own employability skills</w:t>
            </w:r>
            <w:r>
              <w:rPr>
                <w:noProof/>
                <w:webHidden/>
              </w:rPr>
              <w:tab/>
            </w:r>
            <w:r>
              <w:rPr>
                <w:noProof/>
                <w:webHidden/>
              </w:rPr>
              <w:fldChar w:fldCharType="begin"/>
            </w:r>
            <w:r>
              <w:rPr>
                <w:noProof/>
                <w:webHidden/>
              </w:rPr>
              <w:instrText xml:space="preserve"> PAGEREF _Toc49797647 \h </w:instrText>
            </w:r>
            <w:r>
              <w:rPr>
                <w:noProof/>
                <w:webHidden/>
              </w:rPr>
            </w:r>
            <w:r>
              <w:rPr>
                <w:noProof/>
                <w:webHidden/>
              </w:rPr>
              <w:fldChar w:fldCharType="separate"/>
            </w:r>
            <w:r>
              <w:rPr>
                <w:noProof/>
                <w:webHidden/>
              </w:rPr>
              <w:t>7</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8" w:history="1">
            <w:r w:rsidRPr="00AC25AB">
              <w:rPr>
                <w:rStyle w:val="Hyperlink"/>
                <w:noProof/>
              </w:rPr>
              <w:t>Conclusion</w:t>
            </w:r>
            <w:r>
              <w:rPr>
                <w:noProof/>
                <w:webHidden/>
              </w:rPr>
              <w:tab/>
            </w:r>
            <w:r>
              <w:rPr>
                <w:noProof/>
                <w:webHidden/>
              </w:rPr>
              <w:fldChar w:fldCharType="begin"/>
            </w:r>
            <w:r>
              <w:rPr>
                <w:noProof/>
                <w:webHidden/>
              </w:rPr>
              <w:instrText xml:space="preserve"> PAGEREF _Toc49797648 \h </w:instrText>
            </w:r>
            <w:r>
              <w:rPr>
                <w:noProof/>
                <w:webHidden/>
              </w:rPr>
            </w:r>
            <w:r>
              <w:rPr>
                <w:noProof/>
                <w:webHidden/>
              </w:rPr>
              <w:fldChar w:fldCharType="separate"/>
            </w:r>
            <w:r>
              <w:rPr>
                <w:noProof/>
                <w:webHidden/>
              </w:rPr>
              <w:t>8</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49" w:history="1">
            <w:r w:rsidRPr="00AC25AB">
              <w:rPr>
                <w:rStyle w:val="Hyperlink"/>
                <w:noProof/>
                <w:lang w:eastAsia="en-US"/>
              </w:rPr>
              <w:t>Reference List</w:t>
            </w:r>
            <w:r>
              <w:rPr>
                <w:noProof/>
                <w:webHidden/>
              </w:rPr>
              <w:tab/>
            </w:r>
            <w:r>
              <w:rPr>
                <w:noProof/>
                <w:webHidden/>
              </w:rPr>
              <w:fldChar w:fldCharType="begin"/>
            </w:r>
            <w:r>
              <w:rPr>
                <w:noProof/>
                <w:webHidden/>
              </w:rPr>
              <w:instrText xml:space="preserve"> PAGEREF _Toc49797649 \h </w:instrText>
            </w:r>
            <w:r>
              <w:rPr>
                <w:noProof/>
                <w:webHidden/>
              </w:rPr>
            </w:r>
            <w:r>
              <w:rPr>
                <w:noProof/>
                <w:webHidden/>
              </w:rPr>
              <w:fldChar w:fldCharType="separate"/>
            </w:r>
            <w:r>
              <w:rPr>
                <w:noProof/>
                <w:webHidden/>
              </w:rPr>
              <w:t>9</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50" w:history="1">
            <w:r w:rsidRPr="00AC25AB">
              <w:rPr>
                <w:rStyle w:val="Hyperlink"/>
                <w:rFonts w:cs="Times New Roman"/>
                <w:noProof/>
              </w:rPr>
              <w:t>Appendix 1:</w:t>
            </w:r>
            <w:r w:rsidRPr="00AC25AB">
              <w:rPr>
                <w:rStyle w:val="Hyperlink"/>
                <w:rFonts w:eastAsia="Times New Roman" w:cs="Times New Roman"/>
                <w:noProof/>
              </w:rPr>
              <w:t xml:space="preserve"> </w:t>
            </w:r>
            <w:r w:rsidRPr="00AC25AB">
              <w:rPr>
                <w:rStyle w:val="Hyperlink"/>
                <w:rFonts w:cs="Times New Roman"/>
                <w:noProof/>
              </w:rPr>
              <w:t>Various Employability and Transferable Skills(Source: Cheary,2020)</w:t>
            </w:r>
            <w:r>
              <w:rPr>
                <w:noProof/>
                <w:webHidden/>
              </w:rPr>
              <w:tab/>
            </w:r>
            <w:r>
              <w:rPr>
                <w:noProof/>
                <w:webHidden/>
              </w:rPr>
              <w:fldChar w:fldCharType="begin"/>
            </w:r>
            <w:r>
              <w:rPr>
                <w:noProof/>
                <w:webHidden/>
              </w:rPr>
              <w:instrText xml:space="preserve"> PAGEREF _Toc49797650 \h </w:instrText>
            </w:r>
            <w:r>
              <w:rPr>
                <w:noProof/>
                <w:webHidden/>
              </w:rPr>
            </w:r>
            <w:r>
              <w:rPr>
                <w:noProof/>
                <w:webHidden/>
              </w:rPr>
              <w:fldChar w:fldCharType="separate"/>
            </w:r>
            <w:r>
              <w:rPr>
                <w:noProof/>
                <w:webHidden/>
              </w:rPr>
              <w:t>10</w:t>
            </w:r>
            <w:r>
              <w:rPr>
                <w:noProof/>
                <w:webHidden/>
              </w:rPr>
              <w:fldChar w:fldCharType="end"/>
            </w:r>
          </w:hyperlink>
        </w:p>
        <w:p w:rsidR="00D86129" w:rsidRDefault="00D86129">
          <w:pPr>
            <w:pStyle w:val="TOC1"/>
            <w:tabs>
              <w:tab w:val="right" w:leader="dot" w:pos="9016"/>
            </w:tabs>
            <w:rPr>
              <w:rFonts w:asciiTheme="minorHAnsi" w:eastAsiaTheme="minorEastAsia" w:hAnsiTheme="minorHAnsi" w:cstheme="minorBidi"/>
              <w:noProof/>
              <w:lang w:eastAsia="en-GB"/>
            </w:rPr>
          </w:pPr>
          <w:hyperlink w:anchor="_Toc49797651" w:history="1">
            <w:r w:rsidRPr="00AC25AB">
              <w:rPr>
                <w:rStyle w:val="Hyperlink"/>
                <w:rFonts w:cs="Times New Roman"/>
                <w:noProof/>
              </w:rPr>
              <w:t>Appendix 2:</w:t>
            </w:r>
            <w:r w:rsidRPr="00AC25AB">
              <w:rPr>
                <w:rStyle w:val="Hyperlink"/>
                <w:rFonts w:eastAsia="Times New Roman" w:cs="Times New Roman"/>
                <w:noProof/>
              </w:rPr>
              <w:t xml:space="preserve"> </w:t>
            </w:r>
            <w:r w:rsidRPr="00AC25AB">
              <w:rPr>
                <w:rStyle w:val="Hyperlink"/>
                <w:rFonts w:cs="Times New Roman"/>
                <w:noProof/>
              </w:rPr>
              <w:t>Personal SWOT analysis</w:t>
            </w:r>
            <w:r>
              <w:rPr>
                <w:noProof/>
                <w:webHidden/>
              </w:rPr>
              <w:tab/>
            </w:r>
            <w:r>
              <w:rPr>
                <w:noProof/>
                <w:webHidden/>
              </w:rPr>
              <w:fldChar w:fldCharType="begin"/>
            </w:r>
            <w:r>
              <w:rPr>
                <w:noProof/>
                <w:webHidden/>
              </w:rPr>
              <w:instrText xml:space="preserve"> PAGEREF _Toc49797651 \h </w:instrText>
            </w:r>
            <w:r>
              <w:rPr>
                <w:noProof/>
                <w:webHidden/>
              </w:rPr>
            </w:r>
            <w:r>
              <w:rPr>
                <w:noProof/>
                <w:webHidden/>
              </w:rPr>
              <w:fldChar w:fldCharType="separate"/>
            </w:r>
            <w:r>
              <w:rPr>
                <w:noProof/>
                <w:webHidden/>
              </w:rPr>
              <w:t>11</w:t>
            </w:r>
            <w:r>
              <w:rPr>
                <w:noProof/>
                <w:webHidden/>
              </w:rPr>
              <w:fldChar w:fldCharType="end"/>
            </w:r>
          </w:hyperlink>
        </w:p>
        <w:p w:rsidR="00D86129" w:rsidRDefault="00D86129">
          <w:r>
            <w:fldChar w:fldCharType="end"/>
          </w:r>
        </w:p>
      </w:sdtContent>
    </w:sdt>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Pr="00F42E63" w:rsidRDefault="00141778" w:rsidP="00141778">
      <w:pPr>
        <w:pStyle w:val="Heading1"/>
        <w:rPr>
          <w:szCs w:val="28"/>
        </w:rPr>
      </w:pPr>
      <w:bookmarkStart w:id="0" w:name="_Toc49797642"/>
      <w:r w:rsidRPr="00F42E63">
        <w:rPr>
          <w:szCs w:val="28"/>
        </w:rPr>
        <w:lastRenderedPageBreak/>
        <w:t>Introduction</w:t>
      </w:r>
      <w:bookmarkEnd w:id="0"/>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 xml:space="preserve">Employability skills are </w:t>
      </w:r>
      <w:r>
        <w:rPr>
          <w:rFonts w:ascii="Times New Roman" w:eastAsia="Times New Roman" w:hAnsi="Times New Roman" w:cs="Times New Roman"/>
          <w:sz w:val="24"/>
          <w:szCs w:val="24"/>
        </w:rPr>
        <w:t>significant in higher education</w:t>
      </w:r>
      <w:r w:rsidRPr="00F42E63">
        <w:rPr>
          <w:rFonts w:ascii="Times New Roman" w:eastAsia="Times New Roman" w:hAnsi="Times New Roman" w:cs="Times New Roman"/>
          <w:sz w:val="24"/>
          <w:szCs w:val="24"/>
        </w:rPr>
        <w:t xml:space="preserve"> as modern workplaces always demand innovative and creative initiatives outside subject area of students. Workplace scenario cannot just revolve around theoretical guidelines of education. Students need to show proper determination for practical implementation of professional skills and attributes. Generic and soft employability skills are very important in contemporary labour due to intense competition between potential candidates. This report discusses significance of various employability skills including soft and hard skills for modern employees. At the end of this report, personal employability skills have been discussed as well. In order to evaluate personal employability skills, personal strengths and weaknesses are also discussed. In this context, SWOT analysis has been conducted.</w:t>
      </w:r>
    </w:p>
    <w:p w:rsidR="00141778" w:rsidRPr="00F42E63" w:rsidRDefault="00141778" w:rsidP="00141778">
      <w:pPr>
        <w:pStyle w:val="Heading1"/>
        <w:rPr>
          <w:szCs w:val="28"/>
        </w:rPr>
      </w:pPr>
      <w:bookmarkStart w:id="1" w:name="_Toc47027249"/>
      <w:bookmarkStart w:id="2" w:name="_Toc49797643"/>
      <w:r w:rsidRPr="00F42E63">
        <w:rPr>
          <w:szCs w:val="28"/>
        </w:rPr>
        <w:t>Work-integrated employability skill acquisition for graduate students</w:t>
      </w:r>
      <w:bookmarkEnd w:id="1"/>
      <w:bookmarkEnd w:id="2"/>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Different curriculum designs for modern universities and colleges promote employability ideas among graduate students. This section has also provided comprehensive conception about employability in workplace and different employment options. Employability defines different range of skill sets for individuals to get diverse range of opportunities in labour markets (Rowe and Zegwaard, 2017). However, employability also indicates readiness of people to accept professional challenges to complete a given task with various flexible approaches. Individuals mostly develop their employability skills under challenges of professional workplace conditions (Rowe and Zegwaard, 2017). However, increase competitiveness among professional workers demand moderate professional skills from graduate students as well. Employers constantly search for new professional candidates with flexible soft and hard employability skills.</w:t>
      </w:r>
    </w:p>
    <w:p w:rsidR="00141778" w:rsidRPr="00F42E63" w:rsidRDefault="00141778" w:rsidP="00141778">
      <w:pPr>
        <w:spacing w:line="360" w:lineRule="auto"/>
        <w:jc w:val="both"/>
        <w:rPr>
          <w:rFonts w:ascii="Times New Roman" w:eastAsia="Times New Roman" w:hAnsi="Times New Roman" w:cs="Times New Roman"/>
          <w:sz w:val="24"/>
          <w:szCs w:val="24"/>
        </w:rPr>
      </w:pPr>
      <w:bookmarkStart w:id="3" w:name="_Hlk47025012"/>
      <w:r w:rsidRPr="00F42E63">
        <w:rPr>
          <w:rFonts w:ascii="Times New Roman" w:eastAsia="Times New Roman" w:hAnsi="Times New Roman" w:cs="Times New Roman"/>
          <w:sz w:val="24"/>
          <w:szCs w:val="24"/>
        </w:rPr>
        <w:t>Conceptual range for employability skills has widened in last few years due to inclusion of technical skills in the modern era of digitalization</w:t>
      </w:r>
      <w:bookmarkEnd w:id="3"/>
      <w:r w:rsidRPr="00F42E63">
        <w:rPr>
          <w:rFonts w:ascii="Times New Roman" w:eastAsia="Times New Roman" w:hAnsi="Times New Roman" w:cs="Times New Roman"/>
          <w:sz w:val="24"/>
          <w:szCs w:val="24"/>
        </w:rPr>
        <w:t xml:space="preserve">. However, non-technical areas have been main focus of employers in most industrial sectors (Rowe and Zegwaard, 2017). Hence, higher educational institution has been increasing awareness about various employability skills to help student for better employment options. Thus, these educational institutions have increasingly focused on work-integrated educational approach for students to acquire ideas and concepts of employment (Rowe and Zegwaard, 2017). WIL programs are one of the most indicative areas of this section to develop employability skills and abilities. WIL programs offer various employment options for higher education students in terms of various internship </w:t>
      </w:r>
      <w:r w:rsidRPr="00F42E63">
        <w:rPr>
          <w:rFonts w:ascii="Times New Roman" w:eastAsia="Times New Roman" w:hAnsi="Times New Roman" w:cs="Times New Roman"/>
          <w:sz w:val="24"/>
          <w:szCs w:val="24"/>
        </w:rPr>
        <w:lastRenderedPageBreak/>
        <w:t>initiatives. These types of programs are also called work-based learning, cooperative education, and service-learning as well. Currently, universities create volunteering, business simulations, practicum along with internship field works for students (Rowe and Zegwaard, 2017). Most educational assignments of universities are also related to professional challenges and implications. Thus, professional skills of graduate students can help them to get better job placement in professional landscape.</w:t>
      </w:r>
    </w:p>
    <w:p w:rsidR="00141778" w:rsidRPr="00F42E63" w:rsidRDefault="00141778" w:rsidP="00141778">
      <w:pPr>
        <w:pStyle w:val="Heading1"/>
        <w:rPr>
          <w:szCs w:val="28"/>
        </w:rPr>
      </w:pPr>
      <w:bookmarkStart w:id="4" w:name="_Toc47027250"/>
      <w:bookmarkStart w:id="5" w:name="_Toc49797644"/>
      <w:r w:rsidRPr="00F42E63">
        <w:rPr>
          <w:szCs w:val="28"/>
        </w:rPr>
        <w:t>Perspective of employability skills and professional knowledge</w:t>
      </w:r>
      <w:bookmarkEnd w:id="4"/>
      <w:bookmarkEnd w:id="5"/>
    </w:p>
    <w:p w:rsidR="00141778"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 xml:space="preserve">This section has explained perception of employability skills and knowledge among graduate students. This section has highlighted difference between professional perception among graduate students and demand of contemporary business firms for their professional work process. Gap between graduate-level skills and employability skills has been main topic of concern and debate in professional field. Candidates with high remarks and scores in graduate-level may not be suited for corporate works without having idea of employability skills and knowledge (Collet </w:t>
      </w:r>
      <w:r w:rsidRPr="00F42E63">
        <w:rPr>
          <w:rFonts w:ascii="Times New Roman" w:eastAsia="Times New Roman" w:hAnsi="Times New Roman" w:cs="Times New Roman"/>
          <w:i/>
          <w:sz w:val="24"/>
          <w:szCs w:val="24"/>
        </w:rPr>
        <w:t xml:space="preserve">et al. </w:t>
      </w:r>
      <w:r w:rsidRPr="00F42E63">
        <w:rPr>
          <w:rFonts w:ascii="Times New Roman" w:eastAsia="Times New Roman" w:hAnsi="Times New Roman" w:cs="Times New Roman"/>
          <w:sz w:val="24"/>
          <w:szCs w:val="24"/>
        </w:rPr>
        <w:t xml:space="preserve">2015). </w:t>
      </w:r>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 xml:space="preserve">Now, economic and competitive professional climate has forced employers to look for wider skill sets from different applicants including intrapersonal and interpersonal behaviour. These behaviours will also define whether a candidate has professional mindset or not. As higher educational institutions mostly focus on educational part, and graduate students are able to develop knowledge in only theoretical segments (Collet </w:t>
      </w:r>
      <w:r w:rsidRPr="00F42E63">
        <w:rPr>
          <w:rFonts w:ascii="Times New Roman" w:eastAsia="Times New Roman" w:hAnsi="Times New Roman" w:cs="Times New Roman"/>
          <w:i/>
          <w:sz w:val="24"/>
          <w:szCs w:val="24"/>
        </w:rPr>
        <w:t xml:space="preserve">et al. </w:t>
      </w:r>
      <w:r w:rsidRPr="00F42E63">
        <w:rPr>
          <w:rFonts w:ascii="Times New Roman" w:eastAsia="Times New Roman" w:hAnsi="Times New Roman" w:cs="Times New Roman"/>
          <w:sz w:val="24"/>
          <w:szCs w:val="24"/>
        </w:rPr>
        <w:t xml:space="preserve">2015). Their ideas about practical business segments get very limited due to lack of professional initiatives from higher educational institutions. In this section, various domestic employers have been surveyed to know their perspective on employability skills of graduate students. It has been found that most professional employers are mainly interested in soft skills of freshers rather than their educational scores and degrees (Collet </w:t>
      </w:r>
      <w:r w:rsidRPr="00F42E63">
        <w:rPr>
          <w:rFonts w:ascii="Times New Roman" w:eastAsia="Times New Roman" w:hAnsi="Times New Roman" w:cs="Times New Roman"/>
          <w:i/>
          <w:sz w:val="24"/>
          <w:szCs w:val="24"/>
        </w:rPr>
        <w:t xml:space="preserve">et al. </w:t>
      </w:r>
      <w:r w:rsidRPr="00F42E63">
        <w:rPr>
          <w:rFonts w:ascii="Times New Roman" w:eastAsia="Times New Roman" w:hAnsi="Times New Roman" w:cs="Times New Roman"/>
          <w:sz w:val="24"/>
          <w:szCs w:val="24"/>
        </w:rPr>
        <w:t>2015).</w:t>
      </w:r>
    </w:p>
    <w:p w:rsidR="00141778" w:rsidRPr="00F42E63" w:rsidRDefault="00141778" w:rsidP="00141778">
      <w:pPr>
        <w:pStyle w:val="Heading1"/>
        <w:rPr>
          <w:szCs w:val="28"/>
        </w:rPr>
      </w:pPr>
      <w:bookmarkStart w:id="6" w:name="_Toc47027252"/>
      <w:bookmarkStart w:id="7" w:name="_Toc49797645"/>
      <w:r w:rsidRPr="00F42E63">
        <w:rPr>
          <w:szCs w:val="28"/>
        </w:rPr>
        <w:t>Explaining different transferable skills at professional works</w:t>
      </w:r>
      <w:bookmarkEnd w:id="6"/>
      <w:bookmarkEnd w:id="7"/>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 xml:space="preserve">Most individuals always look for new opportunities to show their potential skills and capabilities under new working environment. Hence, changing jobs and corporate sectors is very common among professional workers. Some people also prefer part-time works to search for newly available opportunities in contemporary labour market (Cheary, 2020). Whenever individuals change their jobs, corporate sectors, or professional profiles, they always carry their previously learned skills and professional capabilities in new professional life. Transferable skills are different range of capabilities that can be applied to different </w:t>
      </w:r>
      <w:r w:rsidRPr="00F42E63">
        <w:rPr>
          <w:rFonts w:ascii="Times New Roman" w:eastAsia="Times New Roman" w:hAnsi="Times New Roman" w:cs="Times New Roman"/>
          <w:sz w:val="24"/>
          <w:szCs w:val="24"/>
        </w:rPr>
        <w:lastRenderedPageBreak/>
        <w:t xml:space="preserve">types of professional works within various industries or corporate sectors (Cheary, 2020). Transferable skills are helpful for professional workers to show professional experience and knowledge in new working environments. Most candidates mention transferable skills in their CV to find new job opportunities within professional sectors. </w:t>
      </w:r>
      <w:r>
        <w:rPr>
          <w:rFonts w:ascii="Times New Roman" w:eastAsia="Times New Roman" w:hAnsi="Times New Roman" w:cs="Times New Roman"/>
          <w:b/>
          <w:bCs/>
          <w:i/>
          <w:iCs/>
          <w:color w:val="000000"/>
          <w:sz w:val="24"/>
          <w:szCs w:val="24"/>
        </w:rPr>
        <w:t>[</w:t>
      </w:r>
      <w:r w:rsidRPr="00F42E63">
        <w:rPr>
          <w:rFonts w:ascii="Times New Roman" w:eastAsia="Times New Roman" w:hAnsi="Times New Roman" w:cs="Times New Roman"/>
          <w:b/>
          <w:bCs/>
          <w:i/>
          <w:iCs/>
          <w:color w:val="000000"/>
          <w:sz w:val="24"/>
          <w:szCs w:val="24"/>
        </w:rPr>
        <w:t>Refer to appendix</w:t>
      </w:r>
      <w:r>
        <w:rPr>
          <w:rFonts w:ascii="Times New Roman" w:eastAsia="Times New Roman" w:hAnsi="Times New Roman" w:cs="Times New Roman"/>
          <w:b/>
          <w:bCs/>
          <w:i/>
          <w:iCs/>
          <w:color w:val="000000"/>
          <w:sz w:val="24"/>
          <w:szCs w:val="24"/>
        </w:rPr>
        <w:t>1]</w:t>
      </w:r>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Main transferable skills used in contemporary corporate sectors are communication, leadership, research, analytical thinking, time management, prioritization, and delegation. As corporate sectors mainly work in teams, communication becomes most important consideration and employability skills in professional applications. Time management is an important skill for corporate employees and this skill will determine capabilities of individuals to work in given deadline or not (Cheary, 2020). Prioritizing tasks also directs employees to avoid critical errors and complete jobs within given deadline. Besides, employees can also have good leadership and listening skills to direct subordinates and also follow instructions of superiors.</w:t>
      </w:r>
    </w:p>
    <w:p w:rsidR="00141778" w:rsidRPr="00F42E63" w:rsidRDefault="00141778" w:rsidP="00141778">
      <w:pPr>
        <w:pStyle w:val="Heading1"/>
        <w:rPr>
          <w:szCs w:val="28"/>
        </w:rPr>
      </w:pPr>
      <w:bookmarkStart w:id="8" w:name="_Toc47027253"/>
      <w:bookmarkStart w:id="9" w:name="_Toc49797646"/>
      <w:r w:rsidRPr="00F42E63">
        <w:rPr>
          <w:szCs w:val="28"/>
        </w:rPr>
        <w:t>Different ways to improve employability skills in higher education</w:t>
      </w:r>
      <w:bookmarkEnd w:id="8"/>
      <w:bookmarkEnd w:id="9"/>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 xml:space="preserve">This section will explain various ways for students to improve their employability skills while they are still studying in colleges or universities. For example, higher education students can join clubs or society to gain some personal knowledge outside educational area (Hart, 2020).  Students can also recognize new areas of personal interest to apply positively to corporate works (Hart, 2020). </w:t>
      </w:r>
    </w:p>
    <w:p w:rsidR="00141778"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Employers are currently focusing on online processes to hire new candidates and social media platforms are developing new professional dimensions for people who are interested in corporate job offers. Thus, online presence is very significant for development and improvement of professional skills. Some individual also tends to focus on improving professional experience level by joining some part-time works. Although part-time workers are not under the full employment options, part-time jobs come with significant level of corporate experience for workers (Hart, 2020). In this way, corporate workers may develop some ideas and knowledge about required employability skills in contemporary workplaces.  Students can also select volunteering works to show dedication and motivation for acquiring diverse employability skills (Hart, 2020).</w:t>
      </w:r>
    </w:p>
    <w:p w:rsidR="00141778" w:rsidRDefault="00141778" w:rsidP="00141778">
      <w:pPr>
        <w:spacing w:line="360" w:lineRule="auto"/>
        <w:jc w:val="both"/>
        <w:rPr>
          <w:rFonts w:ascii="Times New Roman" w:eastAsia="Times New Roman" w:hAnsi="Times New Roman" w:cs="Times New Roman"/>
          <w:sz w:val="24"/>
          <w:szCs w:val="24"/>
        </w:rPr>
      </w:pPr>
    </w:p>
    <w:p w:rsidR="00141778" w:rsidRDefault="00141778" w:rsidP="00141778">
      <w:pPr>
        <w:spacing w:line="360" w:lineRule="auto"/>
        <w:jc w:val="both"/>
        <w:rPr>
          <w:rFonts w:ascii="Times New Roman" w:eastAsia="Times New Roman" w:hAnsi="Times New Roman" w:cs="Times New Roman"/>
          <w:sz w:val="24"/>
          <w:szCs w:val="24"/>
        </w:rPr>
      </w:pPr>
    </w:p>
    <w:p w:rsidR="00141778" w:rsidRDefault="00141778" w:rsidP="00141778">
      <w:pPr>
        <w:spacing w:line="360" w:lineRule="auto"/>
        <w:jc w:val="both"/>
        <w:rPr>
          <w:rFonts w:ascii="Times New Roman" w:hAnsi="Times New Roman" w:cs="Times New Roman"/>
          <w:b/>
          <w:color w:val="000000" w:themeColor="text1"/>
          <w:sz w:val="28"/>
          <w:szCs w:val="28"/>
        </w:rPr>
      </w:pPr>
    </w:p>
    <w:p w:rsidR="00141778" w:rsidRPr="000C4935" w:rsidRDefault="000C4935" w:rsidP="000C4935">
      <w:pPr>
        <w:pStyle w:val="Heading1"/>
        <w:rPr>
          <w:szCs w:val="28"/>
        </w:rPr>
      </w:pPr>
      <w:bookmarkStart w:id="10" w:name="_Toc49797647"/>
      <w:r>
        <w:rPr>
          <w:szCs w:val="28"/>
        </w:rPr>
        <w:lastRenderedPageBreak/>
        <w:t>Analysis of my own employability skills</w:t>
      </w:r>
      <w:bookmarkEnd w:id="10"/>
      <w:r>
        <w:rPr>
          <w:szCs w:val="28"/>
        </w:rPr>
        <w:t xml:space="preserve"> </w:t>
      </w:r>
    </w:p>
    <w:p w:rsidR="00141778" w:rsidRPr="00F42E63" w:rsidRDefault="00141778" w:rsidP="00141778">
      <w:pPr>
        <w:spacing w:line="360" w:lineRule="auto"/>
        <w:jc w:val="both"/>
        <w:rPr>
          <w:rFonts w:ascii="Times New Roman" w:eastAsia="Times New Roman" w:hAnsi="Times New Roman" w:cs="Times New Roman"/>
          <w:color w:val="000000" w:themeColor="text1"/>
          <w:sz w:val="24"/>
          <w:szCs w:val="24"/>
        </w:rPr>
      </w:pPr>
      <w:r w:rsidRPr="00F42E63">
        <w:rPr>
          <w:rFonts w:ascii="Times New Roman" w:eastAsia="Times New Roman" w:hAnsi="Times New Roman" w:cs="Times New Roman"/>
          <w:color w:val="000000" w:themeColor="text1"/>
          <w:sz w:val="24"/>
          <w:szCs w:val="24"/>
        </w:rPr>
        <w:t xml:space="preserve">Being an employee, it is evident that most employers now require particular skills and experience suitable for the job. Central to these requirements are academic skills and the ability for candidates to adapt to the changes in the business world. </w:t>
      </w:r>
    </w:p>
    <w:p w:rsidR="00141778" w:rsidRPr="00F42E63" w:rsidRDefault="00141778" w:rsidP="00141778">
      <w:pPr>
        <w:spacing w:line="360" w:lineRule="auto"/>
        <w:jc w:val="both"/>
        <w:rPr>
          <w:rFonts w:ascii="Times New Roman" w:eastAsia="Times New Roman" w:hAnsi="Times New Roman" w:cs="Times New Roman"/>
          <w:color w:val="000000" w:themeColor="text1"/>
          <w:sz w:val="24"/>
          <w:szCs w:val="24"/>
        </w:rPr>
      </w:pPr>
      <w:r w:rsidRPr="00F42E63">
        <w:rPr>
          <w:rFonts w:ascii="Times New Roman" w:eastAsia="Times New Roman" w:hAnsi="Times New Roman" w:cs="Times New Roman"/>
          <w:color w:val="000000" w:themeColor="text1"/>
          <w:sz w:val="24"/>
          <w:szCs w:val="24"/>
        </w:rPr>
        <w:t>When I first came in England, I was given the chance to work in Health and Social Care sector; although I had no experience in this professional field the employer was able to recognise that my work ethics would suit the requirements of the job role. My personal skill set and my commitment to adapt to this new environment and job specifications convinced my employer to give me a chance. One of my strong areas in past and present employments has been to adapt and learn new things. I am also very good in communication skills and team working.</w:t>
      </w:r>
    </w:p>
    <w:p w:rsidR="00141778" w:rsidRPr="00F42E63" w:rsidRDefault="00141778" w:rsidP="00141778">
      <w:pPr>
        <w:spacing w:line="360" w:lineRule="auto"/>
        <w:jc w:val="both"/>
        <w:rPr>
          <w:rFonts w:ascii="Times New Roman" w:eastAsia="Times New Roman" w:hAnsi="Times New Roman" w:cs="Times New Roman"/>
          <w:color w:val="000000" w:themeColor="text1"/>
          <w:sz w:val="24"/>
          <w:szCs w:val="24"/>
        </w:rPr>
      </w:pPr>
      <w:r w:rsidRPr="00F42E63">
        <w:rPr>
          <w:rFonts w:ascii="Times New Roman" w:eastAsia="Times New Roman" w:hAnsi="Times New Roman" w:cs="Times New Roman"/>
          <w:color w:val="000000" w:themeColor="text1"/>
          <w:sz w:val="24"/>
          <w:szCs w:val="24"/>
        </w:rPr>
        <w:t>From the beginning I was a proactive person, I always used my initiative and not waiting for someone to tell me to do things, and soon after I was promoted to a more senior role in my workplace which gave me the chance again to improve myself. Due to having more responsibilities now, I deal with to a lot of problems and solve them. I have to manage a team and deal with daily operational issues which in some cases involve staff conflict.</w:t>
      </w:r>
    </w:p>
    <w:p w:rsidR="00141778" w:rsidRPr="00F42E63" w:rsidRDefault="00141778" w:rsidP="00141778">
      <w:pPr>
        <w:spacing w:line="360" w:lineRule="auto"/>
        <w:jc w:val="both"/>
        <w:rPr>
          <w:rFonts w:ascii="Times New Roman" w:eastAsia="Times New Roman" w:hAnsi="Times New Roman" w:cs="Times New Roman"/>
          <w:color w:val="000000" w:themeColor="text1"/>
          <w:sz w:val="24"/>
          <w:szCs w:val="24"/>
        </w:rPr>
      </w:pPr>
      <w:r w:rsidRPr="00F42E63">
        <w:rPr>
          <w:rFonts w:ascii="Times New Roman" w:eastAsia="Times New Roman" w:hAnsi="Times New Roman" w:cs="Times New Roman"/>
          <w:color w:val="000000" w:themeColor="text1"/>
          <w:sz w:val="24"/>
          <w:szCs w:val="24"/>
        </w:rPr>
        <w:t>Since I start studying “ Health and Social Care”, I could say that I am more confident with my strength and weakness, because I made my own SWOT analysis and I know which are the areas that I have to improve, and the knowledge which I learned from University, I use it in my workplace and even in everyday life.</w:t>
      </w:r>
    </w:p>
    <w:p w:rsidR="00141778" w:rsidRPr="00F42E63" w:rsidRDefault="00141778" w:rsidP="00141778">
      <w:pPr>
        <w:spacing w:line="360" w:lineRule="auto"/>
        <w:jc w:val="both"/>
        <w:rPr>
          <w:rFonts w:ascii="Times New Roman" w:eastAsia="Times New Roman" w:hAnsi="Times New Roman" w:cs="Times New Roman"/>
          <w:color w:val="000000" w:themeColor="text1"/>
          <w:sz w:val="24"/>
          <w:szCs w:val="24"/>
        </w:rPr>
      </w:pPr>
      <w:r w:rsidRPr="00F42E63">
        <w:rPr>
          <w:rFonts w:ascii="Times New Roman" w:eastAsia="Times New Roman" w:hAnsi="Times New Roman" w:cs="Times New Roman"/>
          <w:color w:val="000000" w:themeColor="text1"/>
          <w:sz w:val="24"/>
          <w:szCs w:val="24"/>
        </w:rPr>
        <w:t>However, I have also prioritized some of the employability skills which may be helpful for me to develop my professional career.</w:t>
      </w:r>
    </w:p>
    <w:p w:rsidR="00141778" w:rsidRDefault="00141778" w:rsidP="00D86129">
      <w:pPr>
        <w:spacing w:line="360" w:lineRule="auto"/>
        <w:jc w:val="both"/>
        <w:rPr>
          <w:rFonts w:ascii="Times New Roman" w:eastAsia="Times New Roman" w:hAnsi="Times New Roman" w:cs="Times New Roman"/>
          <w:b/>
          <w:bCs/>
          <w:i/>
          <w:iCs/>
          <w:color w:val="000000"/>
          <w:sz w:val="24"/>
          <w:szCs w:val="24"/>
        </w:rPr>
      </w:pPr>
      <w:r w:rsidRPr="00F42E63">
        <w:rPr>
          <w:rFonts w:ascii="Times New Roman" w:eastAsia="Times New Roman" w:hAnsi="Times New Roman" w:cs="Times New Roman"/>
          <w:color w:val="000000" w:themeColor="text1"/>
          <w:sz w:val="24"/>
          <w:szCs w:val="24"/>
        </w:rPr>
        <w:t>As per my own opinion, communication is the most important employability skills in workplaces, and I always look forward to working as team member rather than separate individual. I am however also a proactive person and working as a lone worker would not prove to be hard as I can work to my own initiative. I am still to gain more confidence in dealing with my lack of self-confidence as well as problem solving and my team can be helpful within these areas. I always felt huge pressure whenever I was given new tasks and deadlines. I can improve the level of my self-confidence by improving problem-solving and critical thinking skills.</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b/>
          <w:bCs/>
          <w:i/>
          <w:iCs/>
          <w:color w:val="000000"/>
          <w:sz w:val="24"/>
          <w:szCs w:val="24"/>
        </w:rPr>
        <w:t>[</w:t>
      </w:r>
      <w:r w:rsidRPr="00F42E63">
        <w:rPr>
          <w:rFonts w:ascii="Times New Roman" w:eastAsia="Times New Roman" w:hAnsi="Times New Roman" w:cs="Times New Roman"/>
          <w:b/>
          <w:bCs/>
          <w:i/>
          <w:iCs/>
          <w:color w:val="000000"/>
          <w:sz w:val="24"/>
          <w:szCs w:val="24"/>
        </w:rPr>
        <w:t>Refer to appendix</w:t>
      </w:r>
      <w:r>
        <w:rPr>
          <w:rFonts w:ascii="Times New Roman" w:eastAsia="Times New Roman" w:hAnsi="Times New Roman" w:cs="Times New Roman"/>
          <w:b/>
          <w:bCs/>
          <w:i/>
          <w:iCs/>
          <w:color w:val="000000"/>
          <w:sz w:val="24"/>
          <w:szCs w:val="24"/>
        </w:rPr>
        <w:t>2]</w:t>
      </w:r>
      <w:bookmarkStart w:id="11" w:name="_Toc47027255"/>
    </w:p>
    <w:p w:rsidR="00D86129" w:rsidRPr="00D86129" w:rsidRDefault="00D86129" w:rsidP="00D86129">
      <w:pPr>
        <w:spacing w:line="360" w:lineRule="auto"/>
        <w:jc w:val="both"/>
        <w:rPr>
          <w:rFonts w:ascii="Times New Roman" w:eastAsia="Times New Roman" w:hAnsi="Times New Roman" w:cs="Times New Roman"/>
          <w:color w:val="000000" w:themeColor="text1"/>
          <w:sz w:val="24"/>
          <w:szCs w:val="24"/>
        </w:rPr>
      </w:pPr>
    </w:p>
    <w:p w:rsidR="00141778" w:rsidRPr="00176613" w:rsidRDefault="00141778" w:rsidP="00141778">
      <w:pPr>
        <w:pStyle w:val="Heading1"/>
        <w:rPr>
          <w:szCs w:val="28"/>
        </w:rPr>
      </w:pPr>
      <w:bookmarkStart w:id="12" w:name="_Toc49797648"/>
      <w:r w:rsidRPr="00B401AF">
        <w:rPr>
          <w:szCs w:val="28"/>
        </w:rPr>
        <w:lastRenderedPageBreak/>
        <w:t>Conclusion</w:t>
      </w:r>
      <w:bookmarkEnd w:id="11"/>
      <w:bookmarkEnd w:id="12"/>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Thus, it can be concluded that employability skills indicate adaptability and readiness of professional workers to accept of challenges of variou</w:t>
      </w:r>
      <w:r>
        <w:rPr>
          <w:rFonts w:ascii="Times New Roman" w:eastAsia="Times New Roman" w:hAnsi="Times New Roman" w:cs="Times New Roman"/>
          <w:sz w:val="24"/>
          <w:szCs w:val="24"/>
        </w:rPr>
        <w:t xml:space="preserve">s workplace conditions. Modern </w:t>
      </w:r>
      <w:r w:rsidRPr="00F42E63">
        <w:rPr>
          <w:rFonts w:ascii="Times New Roman" w:eastAsia="Times New Roman" w:hAnsi="Times New Roman" w:cs="Times New Roman"/>
          <w:sz w:val="24"/>
          <w:szCs w:val="24"/>
        </w:rPr>
        <w:t>universities area</w:t>
      </w:r>
      <w:r>
        <w:rPr>
          <w:rFonts w:ascii="Times New Roman" w:eastAsia="Times New Roman" w:hAnsi="Times New Roman" w:cs="Times New Roman"/>
          <w:sz w:val="24"/>
          <w:szCs w:val="24"/>
        </w:rPr>
        <w:t xml:space="preserve"> </w:t>
      </w:r>
      <w:r w:rsidRPr="00F42E63">
        <w:rPr>
          <w:rFonts w:ascii="Times New Roman" w:eastAsia="Times New Roman" w:hAnsi="Times New Roman" w:cs="Times New Roman"/>
          <w:sz w:val="24"/>
          <w:szCs w:val="24"/>
        </w:rPr>
        <w:t xml:space="preserve">changing their educational procedure to guide students for professional lifestyle and develop adaptability as well. However, the gap between employers demand and employability skill sets of graduate students still remains. Most important employability skills are communication, problem-solving, collaboration, active listening, and use of technologies. </w:t>
      </w:r>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 xml:space="preserve">Communication does not depend on educational skills and professional designation of employees because everyone needs to communicate to maintain a suitable corporate environment (Morgan, 2016). Besides, communication may come in different types such as written, oral, and visual communication. </w:t>
      </w:r>
    </w:p>
    <w:p w:rsidR="00141778" w:rsidRPr="00F42E63" w:rsidRDefault="00141778" w:rsidP="00141778">
      <w:pPr>
        <w:spacing w:line="360" w:lineRule="auto"/>
        <w:jc w:val="both"/>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t>Employability skills are also transferable that is employees can carry forward these skills in case of changing jobs. Transferable skills are helpful for professional workers to show professional experience and knowledge in new working environments. Gap between graduate-level skills and employability skills has been main topic of concern and debate in professional field. Developing employability skills at graduate levels helps both employers and new employee to create mutual understanding about professionalism without facing any issue.</w:t>
      </w:r>
    </w:p>
    <w:p w:rsidR="00141778" w:rsidRPr="00F42E63" w:rsidRDefault="00141778" w:rsidP="00141778">
      <w:pPr>
        <w:spacing w:line="360" w:lineRule="auto"/>
        <w:jc w:val="both"/>
        <w:rPr>
          <w:rFonts w:ascii="Times New Roman" w:eastAsia="Times New Roman" w:hAnsi="Times New Roman" w:cs="Times New Roman"/>
          <w:color w:val="000000" w:themeColor="text1"/>
          <w:sz w:val="24"/>
          <w:szCs w:val="24"/>
        </w:rPr>
      </w:pPr>
      <w:r w:rsidRPr="00F42E63">
        <w:rPr>
          <w:rFonts w:ascii="Times New Roman" w:eastAsia="Times New Roman" w:hAnsi="Times New Roman" w:cs="Times New Roman"/>
          <w:color w:val="000000" w:themeColor="text1"/>
          <w:sz w:val="24"/>
          <w:szCs w:val="24"/>
        </w:rPr>
        <w:t>As a result of digital era, the employers have widened their expectations of the new employee, and they are looking for people who are more open to  new technology, people who can easily adapt to the changes hence it is better for any prospective employee to have good employability skills .</w:t>
      </w:r>
    </w:p>
    <w:p w:rsidR="00141778" w:rsidRPr="00F42E63" w:rsidRDefault="00141778" w:rsidP="00141778">
      <w:pPr>
        <w:rPr>
          <w:rFonts w:ascii="Times New Roman" w:eastAsia="Times New Roman" w:hAnsi="Times New Roman" w:cs="Times New Roman"/>
          <w:sz w:val="24"/>
          <w:szCs w:val="24"/>
        </w:rPr>
      </w:pPr>
      <w:r w:rsidRPr="00F42E63">
        <w:rPr>
          <w:rFonts w:ascii="Times New Roman" w:eastAsia="Times New Roman" w:hAnsi="Times New Roman" w:cs="Times New Roman"/>
          <w:sz w:val="24"/>
          <w:szCs w:val="24"/>
        </w:rPr>
        <w:br w:type="page"/>
      </w:r>
      <w:bookmarkStart w:id="13" w:name="_GoBack"/>
      <w:bookmarkEnd w:id="13"/>
    </w:p>
    <w:p w:rsidR="00141778" w:rsidRPr="000B2F5B" w:rsidRDefault="00141778" w:rsidP="00141778">
      <w:pPr>
        <w:pStyle w:val="Heading1"/>
        <w:rPr>
          <w:lang w:eastAsia="en-US"/>
        </w:rPr>
      </w:pPr>
      <w:bookmarkStart w:id="14" w:name="_Toc47027256"/>
      <w:bookmarkStart w:id="15" w:name="_Toc49797649"/>
      <w:r w:rsidRPr="000B2F5B">
        <w:rPr>
          <w:lang w:eastAsia="en-US"/>
        </w:rPr>
        <w:lastRenderedPageBreak/>
        <w:t>Reference List</w:t>
      </w:r>
      <w:bookmarkEnd w:id="14"/>
      <w:bookmarkEnd w:id="15"/>
    </w:p>
    <w:p w:rsidR="00141778" w:rsidRPr="000B2F5B" w:rsidRDefault="00141778" w:rsidP="00141778">
      <w:pPr>
        <w:spacing w:after="160" w:line="360" w:lineRule="auto"/>
        <w:jc w:val="both"/>
        <w:rPr>
          <w:rFonts w:ascii="Times New Roman" w:eastAsia="Calibri" w:hAnsi="Times New Roman" w:cs="Times New Roman"/>
          <w:sz w:val="24"/>
          <w:szCs w:val="24"/>
          <w:lang w:eastAsia="en-US"/>
        </w:rPr>
      </w:pPr>
      <w:r w:rsidRPr="000B2F5B">
        <w:rPr>
          <w:rFonts w:ascii="Times New Roman" w:eastAsia="Calibri" w:hAnsi="Times New Roman" w:cs="Times New Roman"/>
          <w:sz w:val="24"/>
          <w:szCs w:val="24"/>
          <w:lang w:eastAsia="en-US"/>
        </w:rPr>
        <w:t xml:space="preserve">Cheary, M. (2020). </w:t>
      </w:r>
      <w:r w:rsidRPr="000B2F5B">
        <w:rPr>
          <w:rFonts w:ascii="Times New Roman" w:eastAsia="Calibri" w:hAnsi="Times New Roman" w:cs="Times New Roman"/>
          <w:i/>
          <w:iCs/>
          <w:sz w:val="24"/>
          <w:szCs w:val="24"/>
          <w:lang w:eastAsia="en-US"/>
        </w:rPr>
        <w:t>What are transferable skills?</w:t>
      </w:r>
      <w:r w:rsidRPr="000B2F5B">
        <w:rPr>
          <w:rFonts w:ascii="Times New Roman" w:eastAsia="Calibri" w:hAnsi="Times New Roman" w:cs="Times New Roman"/>
          <w:sz w:val="24"/>
          <w:szCs w:val="24"/>
          <w:lang w:eastAsia="en-US"/>
        </w:rPr>
        <w:t xml:space="preserve"> Available at: https://www.reed.co.uk/career-advice/what-are-tran</w:t>
      </w:r>
      <w:r>
        <w:rPr>
          <w:rFonts w:ascii="Times New Roman" w:eastAsia="Calibri" w:hAnsi="Times New Roman" w:cs="Times New Roman"/>
          <w:sz w:val="24"/>
          <w:szCs w:val="24"/>
          <w:lang w:eastAsia="en-US"/>
        </w:rPr>
        <w:t>sferable-skills/ [Accessed on 23/08</w:t>
      </w:r>
      <w:r w:rsidRPr="000B2F5B">
        <w:rPr>
          <w:rFonts w:ascii="Times New Roman" w:eastAsia="Calibri" w:hAnsi="Times New Roman" w:cs="Times New Roman"/>
          <w:sz w:val="24"/>
          <w:szCs w:val="24"/>
          <w:lang w:eastAsia="en-US"/>
        </w:rPr>
        <w:t>/2020]</w:t>
      </w:r>
    </w:p>
    <w:p w:rsidR="00141778" w:rsidRPr="000B2F5B" w:rsidRDefault="00141778" w:rsidP="00141778">
      <w:pPr>
        <w:spacing w:after="160" w:line="360" w:lineRule="auto"/>
        <w:jc w:val="both"/>
        <w:rPr>
          <w:rFonts w:ascii="Times New Roman" w:eastAsia="Calibri" w:hAnsi="Times New Roman" w:cs="Times New Roman"/>
          <w:sz w:val="24"/>
          <w:szCs w:val="24"/>
          <w:lang w:eastAsia="en-US"/>
        </w:rPr>
      </w:pPr>
      <w:r w:rsidRPr="000B2F5B">
        <w:rPr>
          <w:rFonts w:ascii="Times New Roman" w:eastAsia="Calibri" w:hAnsi="Times New Roman" w:cs="Times New Roman"/>
          <w:sz w:val="24"/>
          <w:szCs w:val="24"/>
          <w:lang w:eastAsia="en-US"/>
        </w:rPr>
        <w:t>Collet, C., Hine, D. and Du Plessis, K., (2015). Employability skills: perspectives from a knowledge-intensive industry. </w:t>
      </w:r>
      <w:r w:rsidRPr="000B2F5B">
        <w:rPr>
          <w:rFonts w:ascii="Times New Roman" w:eastAsia="Calibri" w:hAnsi="Times New Roman" w:cs="Times New Roman"/>
          <w:i/>
          <w:iCs/>
          <w:sz w:val="24"/>
          <w:szCs w:val="24"/>
          <w:lang w:eastAsia="en-US"/>
        </w:rPr>
        <w:t>Education+ Training, 57</w:t>
      </w:r>
      <w:r w:rsidRPr="000B2F5B">
        <w:rPr>
          <w:rFonts w:ascii="Times New Roman" w:eastAsia="Calibri" w:hAnsi="Times New Roman" w:cs="Times New Roman"/>
          <w:sz w:val="24"/>
          <w:szCs w:val="24"/>
          <w:lang w:eastAsia="en-US"/>
        </w:rPr>
        <w:t>(5), pp. 532-559.</w:t>
      </w:r>
    </w:p>
    <w:p w:rsidR="00141778" w:rsidRPr="000B2F5B" w:rsidRDefault="00141778" w:rsidP="00141778">
      <w:pPr>
        <w:spacing w:after="160" w:line="360" w:lineRule="auto"/>
        <w:jc w:val="both"/>
        <w:rPr>
          <w:rFonts w:ascii="Times New Roman" w:eastAsia="Calibri" w:hAnsi="Times New Roman" w:cs="Times New Roman"/>
          <w:sz w:val="24"/>
          <w:szCs w:val="24"/>
          <w:lang w:eastAsia="en-US"/>
        </w:rPr>
      </w:pPr>
      <w:r w:rsidRPr="000B2F5B">
        <w:rPr>
          <w:rFonts w:ascii="Times New Roman" w:eastAsia="Calibri" w:hAnsi="Times New Roman" w:cs="Times New Roman"/>
          <w:sz w:val="24"/>
          <w:szCs w:val="24"/>
          <w:lang w:eastAsia="en-US"/>
        </w:rPr>
        <w:t xml:space="preserve">Hart, R. (2020). </w:t>
      </w:r>
      <w:r w:rsidRPr="000B2F5B">
        <w:rPr>
          <w:rFonts w:ascii="Times New Roman" w:eastAsia="Calibri" w:hAnsi="Times New Roman" w:cs="Times New Roman"/>
          <w:i/>
          <w:iCs/>
          <w:sz w:val="24"/>
          <w:szCs w:val="24"/>
          <w:lang w:eastAsia="en-US"/>
        </w:rPr>
        <w:t>Six Ways to Improve Your Employability While Studying</w:t>
      </w:r>
      <w:r w:rsidRPr="000B2F5B">
        <w:rPr>
          <w:rFonts w:ascii="Times New Roman" w:eastAsia="Calibri" w:hAnsi="Times New Roman" w:cs="Times New Roman"/>
          <w:sz w:val="24"/>
          <w:szCs w:val="24"/>
          <w:lang w:eastAsia="en-US"/>
        </w:rPr>
        <w:t>. Available at: https://blog.springpod.co.uk/improve-your-employability</w:t>
      </w:r>
      <w:r>
        <w:rPr>
          <w:rFonts w:ascii="Times New Roman" w:eastAsia="Calibri" w:hAnsi="Times New Roman" w:cs="Times New Roman"/>
          <w:sz w:val="24"/>
          <w:szCs w:val="24"/>
          <w:lang w:eastAsia="en-US"/>
        </w:rPr>
        <w:t>-while-studying/ [Accessed on 23/08</w:t>
      </w:r>
      <w:r w:rsidRPr="000B2F5B">
        <w:rPr>
          <w:rFonts w:ascii="Times New Roman" w:eastAsia="Calibri" w:hAnsi="Times New Roman" w:cs="Times New Roman"/>
          <w:sz w:val="24"/>
          <w:szCs w:val="24"/>
          <w:lang w:eastAsia="en-US"/>
        </w:rPr>
        <w:t>/2020]</w:t>
      </w:r>
    </w:p>
    <w:p w:rsidR="00141778" w:rsidRPr="000B2F5B" w:rsidRDefault="00141778" w:rsidP="00141778">
      <w:pPr>
        <w:autoSpaceDE w:val="0"/>
        <w:autoSpaceDN w:val="0"/>
        <w:adjustRightInd w:val="0"/>
        <w:spacing w:line="360" w:lineRule="auto"/>
        <w:jc w:val="both"/>
        <w:rPr>
          <w:rFonts w:ascii="Times New Roman" w:eastAsia="Calibri" w:hAnsi="Times New Roman" w:cs="Times New Roman"/>
          <w:color w:val="000000"/>
          <w:sz w:val="24"/>
          <w:szCs w:val="24"/>
          <w:lang w:eastAsia="en-US"/>
        </w:rPr>
      </w:pPr>
      <w:r w:rsidRPr="000B2F5B">
        <w:rPr>
          <w:rFonts w:ascii="Times New Roman" w:eastAsia="Calibri" w:hAnsi="Times New Roman" w:cs="Times New Roman"/>
          <w:color w:val="000000"/>
          <w:sz w:val="24"/>
          <w:szCs w:val="24"/>
          <w:lang w:eastAsia="en-US"/>
        </w:rPr>
        <w:t>Morgan, P. (2016). The Business Student’s Guide to Study and Employability. California: Sage Publications</w:t>
      </w:r>
    </w:p>
    <w:p w:rsidR="00141778" w:rsidRPr="000B2F5B" w:rsidRDefault="00141778" w:rsidP="00141778">
      <w:pPr>
        <w:spacing w:after="160" w:line="360" w:lineRule="auto"/>
        <w:jc w:val="both"/>
        <w:rPr>
          <w:rFonts w:ascii="Times New Roman" w:eastAsia="Calibri" w:hAnsi="Times New Roman" w:cs="Times New Roman"/>
          <w:sz w:val="24"/>
          <w:szCs w:val="24"/>
          <w:lang w:eastAsia="en-US"/>
        </w:rPr>
      </w:pPr>
      <w:r w:rsidRPr="000B2F5B">
        <w:rPr>
          <w:rFonts w:ascii="Times New Roman" w:eastAsia="Calibri" w:hAnsi="Times New Roman" w:cs="Times New Roman"/>
          <w:sz w:val="24"/>
          <w:szCs w:val="24"/>
          <w:lang w:eastAsia="en-US"/>
        </w:rPr>
        <w:t xml:space="preserve">Rowe, A.D. and Zegwaard, K.E., (2017). Developing graduate employability skills and attributes: Curriculum enhancement through work-integrated learning. </w:t>
      </w:r>
      <w:r w:rsidRPr="000B2F5B">
        <w:rPr>
          <w:rFonts w:ascii="Times New Roman" w:eastAsia="Calibri" w:hAnsi="Times New Roman" w:cs="Times New Roman"/>
          <w:i/>
          <w:iCs/>
          <w:sz w:val="24"/>
          <w:szCs w:val="24"/>
          <w:lang w:eastAsia="en-US"/>
        </w:rPr>
        <w:t>Asia-Pacific Journal of Cooperative Education, Special Issue, 18</w:t>
      </w:r>
      <w:r>
        <w:rPr>
          <w:rFonts w:ascii="Times New Roman" w:eastAsia="Calibri" w:hAnsi="Times New Roman" w:cs="Times New Roman"/>
          <w:sz w:val="24"/>
          <w:szCs w:val="24"/>
          <w:lang w:eastAsia="en-US"/>
        </w:rPr>
        <w:t>(2), pp.87-95</w:t>
      </w:r>
      <w:r w:rsidRPr="000B2F5B">
        <w:rPr>
          <w:rFonts w:ascii="Times New Roman" w:eastAsia="Calibri" w:hAnsi="Times New Roman" w:cs="Times New Roman"/>
          <w:sz w:val="24"/>
          <w:szCs w:val="24"/>
          <w:lang w:eastAsia="en-US"/>
        </w:rPr>
        <w:t>.</w:t>
      </w:r>
    </w:p>
    <w:p w:rsidR="00141778" w:rsidRPr="000B2F5B" w:rsidRDefault="00141778" w:rsidP="00141778">
      <w:pPr>
        <w:rPr>
          <w:rFonts w:ascii="Times New Roman" w:hAnsi="Times New Roman"/>
          <w:b/>
          <w:sz w:val="28"/>
          <w:szCs w:val="40"/>
        </w:rPr>
      </w:pPr>
      <w:r>
        <w:br w:type="page"/>
      </w:r>
    </w:p>
    <w:p w:rsidR="00141778" w:rsidRDefault="00141778"/>
    <w:p w:rsidR="000C4935" w:rsidRPr="00D86129" w:rsidRDefault="000C4935" w:rsidP="00D86129">
      <w:pPr>
        <w:pStyle w:val="Heading1"/>
        <w:jc w:val="center"/>
        <w:rPr>
          <w:rFonts w:cs="Times New Roman"/>
          <w:szCs w:val="28"/>
        </w:rPr>
      </w:pPr>
      <w:bookmarkStart w:id="16" w:name="_Toc49797650"/>
      <w:r>
        <w:rPr>
          <w:rFonts w:cs="Times New Roman"/>
          <w:szCs w:val="28"/>
        </w:rPr>
        <w:t>Appendix 1</w:t>
      </w:r>
      <w:r w:rsidRPr="00B401AF">
        <w:rPr>
          <w:rFonts w:cs="Times New Roman"/>
          <w:szCs w:val="28"/>
        </w:rPr>
        <w:t>:</w:t>
      </w:r>
      <w:r w:rsidRPr="00B401AF">
        <w:rPr>
          <w:rFonts w:eastAsia="Times New Roman" w:cs="Times New Roman"/>
          <w:b w:val="0"/>
          <w:szCs w:val="28"/>
        </w:rPr>
        <w:t xml:space="preserve"> </w:t>
      </w:r>
      <w:r>
        <w:rPr>
          <w:rFonts w:cs="Times New Roman"/>
          <w:szCs w:val="28"/>
        </w:rPr>
        <w:t>Various Employability and Transferable Skills</w:t>
      </w:r>
      <w:r w:rsidR="00D86129">
        <w:rPr>
          <w:rFonts w:cs="Times New Roman"/>
          <w:szCs w:val="28"/>
        </w:rPr>
        <w:t xml:space="preserve">                 </w:t>
      </w:r>
      <w:r w:rsidRPr="000C4935">
        <w:rPr>
          <w:rFonts w:cs="Times New Roman"/>
          <w:b w:val="0"/>
          <w:szCs w:val="28"/>
        </w:rPr>
        <w:t>(</w:t>
      </w:r>
      <w:r w:rsidRPr="000C4935">
        <w:rPr>
          <w:rFonts w:cs="Times New Roman"/>
          <w:b w:val="0"/>
          <w:sz w:val="24"/>
          <w:szCs w:val="24"/>
        </w:rPr>
        <w:t>Source: Cheary,2020</w:t>
      </w:r>
      <w:r w:rsidRPr="000C4935">
        <w:rPr>
          <w:rFonts w:cs="Times New Roman"/>
          <w:b w:val="0"/>
          <w:szCs w:val="28"/>
        </w:rPr>
        <w:t>)</w:t>
      </w:r>
      <w:bookmarkEnd w:id="16"/>
    </w:p>
    <w:p w:rsidR="00141778" w:rsidRDefault="00141778"/>
    <w:p w:rsidR="00141778" w:rsidRDefault="00141778" w:rsidP="00141778">
      <w:pPr>
        <w:pStyle w:val="Heading1"/>
      </w:pPr>
    </w:p>
    <w:p w:rsidR="00141778" w:rsidRDefault="00141778" w:rsidP="00141778">
      <w:pPr>
        <w:pStyle w:val="Heading1"/>
      </w:pPr>
      <w:r>
        <w:rPr>
          <w:noProof/>
          <w:lang w:eastAsia="en-GB"/>
        </w:rPr>
        <w:drawing>
          <wp:inline distT="0" distB="0" distL="0" distR="0">
            <wp:extent cx="5486400" cy="32004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41778" w:rsidRDefault="00141778" w:rsidP="00141778">
      <w:pPr>
        <w:pStyle w:val="Heading1"/>
      </w:pPr>
    </w:p>
    <w:p w:rsidR="00141778" w:rsidRDefault="00141778" w:rsidP="00141778">
      <w:pPr>
        <w:pStyle w:val="Heading1"/>
      </w:pPr>
    </w:p>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Default="00141778"/>
    <w:p w:rsidR="00141778" w:rsidRPr="00B401AF" w:rsidRDefault="00141778" w:rsidP="00141778">
      <w:pPr>
        <w:pStyle w:val="Heading1"/>
        <w:jc w:val="center"/>
        <w:rPr>
          <w:rFonts w:cs="Times New Roman"/>
          <w:szCs w:val="28"/>
        </w:rPr>
      </w:pPr>
      <w:bookmarkStart w:id="17" w:name="_Toc49797651"/>
      <w:r w:rsidRPr="00B401AF">
        <w:rPr>
          <w:rFonts w:cs="Times New Roman"/>
          <w:szCs w:val="28"/>
        </w:rPr>
        <w:t>Appendix 2:</w:t>
      </w:r>
      <w:r w:rsidRPr="00B401AF">
        <w:rPr>
          <w:rFonts w:eastAsia="Times New Roman" w:cs="Times New Roman"/>
          <w:b w:val="0"/>
          <w:szCs w:val="28"/>
        </w:rPr>
        <w:t xml:space="preserve"> </w:t>
      </w:r>
      <w:r w:rsidRPr="00B401AF">
        <w:rPr>
          <w:rFonts w:cs="Times New Roman"/>
          <w:szCs w:val="28"/>
        </w:rPr>
        <w:t>Personal SWOT analysis</w:t>
      </w:r>
      <w:bookmarkEnd w:id="17"/>
    </w:p>
    <w:p w:rsidR="00141778" w:rsidRPr="0080492F" w:rsidRDefault="00141778" w:rsidP="00141778"/>
    <w:tbl>
      <w:tblPr>
        <w:tblStyle w:val="TableGrid"/>
        <w:tblW w:w="0" w:type="auto"/>
        <w:tblLook w:val="04A0"/>
      </w:tblPr>
      <w:tblGrid>
        <w:gridCol w:w="4509"/>
        <w:gridCol w:w="4510"/>
      </w:tblGrid>
      <w:tr w:rsidR="00141778" w:rsidRPr="000B2F5B" w:rsidTr="005D1F96">
        <w:tc>
          <w:tcPr>
            <w:tcW w:w="4509" w:type="dxa"/>
          </w:tcPr>
          <w:p w:rsidR="00141778" w:rsidRPr="006C59D7" w:rsidRDefault="00141778" w:rsidP="005D1F96">
            <w:pPr>
              <w:spacing w:line="360" w:lineRule="auto"/>
              <w:jc w:val="center"/>
              <w:rPr>
                <w:rFonts w:ascii="Times New Roman" w:eastAsia="Times New Roman" w:hAnsi="Times New Roman" w:cs="Times New Roman"/>
                <w:b/>
                <w:bCs/>
                <w:color w:val="FF0000"/>
                <w:sz w:val="24"/>
                <w:szCs w:val="24"/>
              </w:rPr>
            </w:pPr>
            <w:r w:rsidRPr="006C59D7">
              <w:rPr>
                <w:rFonts w:ascii="Times New Roman" w:eastAsia="Times New Roman" w:hAnsi="Times New Roman" w:cs="Times New Roman"/>
                <w:b/>
                <w:bCs/>
                <w:color w:val="FF0000"/>
                <w:sz w:val="24"/>
                <w:szCs w:val="24"/>
              </w:rPr>
              <w:t>Strength</w:t>
            </w:r>
          </w:p>
        </w:tc>
        <w:tc>
          <w:tcPr>
            <w:tcW w:w="4510" w:type="dxa"/>
          </w:tcPr>
          <w:p w:rsidR="00141778" w:rsidRPr="006C59D7" w:rsidRDefault="00141778" w:rsidP="005D1F96">
            <w:pPr>
              <w:spacing w:line="360" w:lineRule="auto"/>
              <w:jc w:val="center"/>
              <w:rPr>
                <w:rFonts w:ascii="Times New Roman" w:eastAsia="Times New Roman" w:hAnsi="Times New Roman" w:cs="Times New Roman"/>
                <w:b/>
                <w:bCs/>
                <w:color w:val="FF0000"/>
                <w:sz w:val="24"/>
                <w:szCs w:val="24"/>
              </w:rPr>
            </w:pPr>
            <w:r w:rsidRPr="006C59D7">
              <w:rPr>
                <w:rFonts w:ascii="Times New Roman" w:eastAsia="Times New Roman" w:hAnsi="Times New Roman" w:cs="Times New Roman"/>
                <w:b/>
                <w:bCs/>
                <w:color w:val="FF0000"/>
                <w:sz w:val="24"/>
                <w:szCs w:val="24"/>
              </w:rPr>
              <w:t>Weakness</w:t>
            </w:r>
          </w:p>
        </w:tc>
      </w:tr>
      <w:tr w:rsidR="00141778" w:rsidRPr="000B2F5B" w:rsidTr="005D1F96">
        <w:tc>
          <w:tcPr>
            <w:tcW w:w="4509" w:type="dxa"/>
          </w:tcPr>
          <w:p w:rsidR="00141778"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Good communication skills</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Adaptability</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Ability to work in a team</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Adaptability</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Proactive approach</w:t>
            </w:r>
          </w:p>
          <w:p w:rsidR="00141778" w:rsidRPr="006C59D7" w:rsidRDefault="00141778" w:rsidP="00141778">
            <w:pPr>
              <w:pStyle w:val="ListParagraph"/>
              <w:numPr>
                <w:ilvl w:val="0"/>
                <w:numId w:val="2"/>
              </w:numPr>
              <w:spacing w:line="360" w:lineRule="auto"/>
              <w:jc w:val="both"/>
              <w:rPr>
                <w:color w:val="000000" w:themeColor="text1"/>
              </w:rPr>
            </w:pPr>
            <w:r w:rsidRPr="006C59D7">
              <w:rPr>
                <w:rFonts w:ascii="Times New Roman"/>
                <w:color w:val="000000" w:themeColor="text1"/>
                <w:sz w:val="24"/>
              </w:rPr>
              <w:t>Commitment to tasks</w:t>
            </w:r>
          </w:p>
          <w:p w:rsidR="00141778" w:rsidRPr="006C59D7" w:rsidRDefault="00141778" w:rsidP="00141778">
            <w:pPr>
              <w:pStyle w:val="ListParagraph"/>
              <w:numPr>
                <w:ilvl w:val="0"/>
                <w:numId w:val="2"/>
              </w:numPr>
              <w:spacing w:line="360" w:lineRule="auto"/>
              <w:jc w:val="both"/>
              <w:rPr>
                <w:color w:val="000000" w:themeColor="text1"/>
              </w:rPr>
            </w:pPr>
            <w:r>
              <w:rPr>
                <w:rFonts w:ascii="Times New Roman"/>
                <w:color w:val="000000" w:themeColor="text1"/>
                <w:sz w:val="24"/>
              </w:rPr>
              <w:t>M</w:t>
            </w:r>
            <w:r w:rsidRPr="006C59D7">
              <w:rPr>
                <w:rFonts w:ascii="Times New Roman"/>
                <w:color w:val="000000" w:themeColor="text1"/>
                <w:sz w:val="24"/>
              </w:rPr>
              <w:t>eeting deadlines</w:t>
            </w:r>
          </w:p>
          <w:p w:rsidR="00141778" w:rsidRPr="006C59D7" w:rsidRDefault="00141778" w:rsidP="00141778">
            <w:pPr>
              <w:pStyle w:val="ListParagraph"/>
              <w:numPr>
                <w:ilvl w:val="0"/>
                <w:numId w:val="2"/>
              </w:numPr>
              <w:spacing w:line="360" w:lineRule="auto"/>
              <w:jc w:val="both"/>
              <w:rPr>
                <w:color w:val="000000" w:themeColor="text1"/>
              </w:rPr>
            </w:pPr>
            <w:r w:rsidRPr="006C59D7">
              <w:rPr>
                <w:rFonts w:ascii="Times New Roman"/>
                <w:color w:val="000000" w:themeColor="text1"/>
                <w:sz w:val="24"/>
              </w:rPr>
              <w:t xml:space="preserve">Time management </w:t>
            </w:r>
          </w:p>
          <w:p w:rsidR="00141778" w:rsidRPr="006C59D7" w:rsidRDefault="00141778" w:rsidP="00141778">
            <w:pPr>
              <w:pStyle w:val="ListParagraph"/>
              <w:numPr>
                <w:ilvl w:val="0"/>
                <w:numId w:val="2"/>
              </w:numPr>
              <w:spacing w:line="360" w:lineRule="auto"/>
              <w:jc w:val="both"/>
              <w:rPr>
                <w:color w:val="000000" w:themeColor="text1"/>
              </w:rPr>
            </w:pPr>
            <w:r w:rsidRPr="006C59D7">
              <w:rPr>
                <w:rFonts w:ascii="Times New Roman"/>
                <w:color w:val="000000" w:themeColor="text1"/>
                <w:sz w:val="24"/>
              </w:rPr>
              <w:t>Approachable</w:t>
            </w:r>
          </w:p>
          <w:p w:rsidR="00141778" w:rsidRPr="0080492F" w:rsidRDefault="00141778" w:rsidP="005D1F96">
            <w:pPr>
              <w:spacing w:line="360" w:lineRule="auto"/>
              <w:ind w:left="360"/>
              <w:jc w:val="both"/>
              <w:rPr>
                <w:color w:val="000000" w:themeColor="text1"/>
              </w:rPr>
            </w:pPr>
          </w:p>
        </w:tc>
        <w:tc>
          <w:tcPr>
            <w:tcW w:w="4510" w:type="dxa"/>
          </w:tcPr>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color w:val="000000" w:themeColor="text1"/>
                <w:sz w:val="24"/>
              </w:rPr>
              <w:t>Lack confidence to tackle new challenges</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Limited access to professional knowledge</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Low self-confidence</w:t>
            </w:r>
          </w:p>
          <w:p w:rsidR="00141778" w:rsidRPr="006C59D7" w:rsidRDefault="00141778" w:rsidP="00141778">
            <w:pPr>
              <w:pStyle w:val="ListParagraph"/>
              <w:numPr>
                <w:ilvl w:val="0"/>
                <w:numId w:val="2"/>
              </w:numPr>
              <w:spacing w:line="360" w:lineRule="auto"/>
              <w:jc w:val="both"/>
              <w:rPr>
                <w:color w:val="000000" w:themeColor="text1"/>
              </w:rPr>
            </w:pPr>
            <w:r w:rsidRPr="006C59D7">
              <w:rPr>
                <w:rFonts w:ascii="Times New Roman"/>
                <w:color w:val="000000" w:themeColor="text1"/>
                <w:sz w:val="24"/>
              </w:rPr>
              <w:t>Low self esteem</w:t>
            </w:r>
          </w:p>
          <w:p w:rsidR="00141778" w:rsidRPr="006C59D7" w:rsidRDefault="00141778" w:rsidP="00141778">
            <w:pPr>
              <w:pStyle w:val="ListParagraph"/>
              <w:numPr>
                <w:ilvl w:val="0"/>
                <w:numId w:val="2"/>
              </w:numPr>
              <w:spacing w:line="360" w:lineRule="auto"/>
              <w:jc w:val="both"/>
              <w:rPr>
                <w:color w:val="000000" w:themeColor="text1"/>
              </w:rPr>
            </w:pPr>
            <w:r w:rsidRPr="006C59D7">
              <w:rPr>
                <w:rFonts w:ascii="Times New Roman"/>
                <w:color w:val="000000" w:themeColor="text1"/>
                <w:sz w:val="24"/>
              </w:rPr>
              <w:t>Working under pressure can be stressful</w:t>
            </w:r>
          </w:p>
          <w:p w:rsidR="00141778" w:rsidRPr="006C59D7" w:rsidRDefault="00141778" w:rsidP="005D1F96">
            <w:pPr>
              <w:pStyle w:val="ListParagraph"/>
              <w:spacing w:line="360" w:lineRule="auto"/>
              <w:jc w:val="both"/>
              <w:rPr>
                <w:color w:val="000000" w:themeColor="text1"/>
              </w:rPr>
            </w:pPr>
          </w:p>
        </w:tc>
      </w:tr>
      <w:tr w:rsidR="00141778" w:rsidRPr="000B2F5B" w:rsidTr="005D1F96">
        <w:tc>
          <w:tcPr>
            <w:tcW w:w="4509" w:type="dxa"/>
          </w:tcPr>
          <w:p w:rsidR="00141778" w:rsidRPr="00281114" w:rsidRDefault="00141778" w:rsidP="005D1F96">
            <w:pPr>
              <w:spacing w:line="360" w:lineRule="auto"/>
              <w:jc w:val="center"/>
              <w:rPr>
                <w:rFonts w:ascii="Times New Roman" w:eastAsia="Times New Roman" w:hAnsi="Times New Roman" w:cs="Times New Roman"/>
                <w:b/>
                <w:bCs/>
                <w:color w:val="FF0000"/>
                <w:sz w:val="24"/>
                <w:szCs w:val="24"/>
              </w:rPr>
            </w:pPr>
            <w:r w:rsidRPr="00281114">
              <w:rPr>
                <w:rFonts w:ascii="Times New Roman" w:eastAsia="Times New Roman" w:hAnsi="Times New Roman" w:cs="Times New Roman"/>
                <w:b/>
                <w:bCs/>
                <w:color w:val="FF0000"/>
                <w:sz w:val="24"/>
                <w:szCs w:val="24"/>
              </w:rPr>
              <w:t>Opportunities</w:t>
            </w:r>
          </w:p>
        </w:tc>
        <w:tc>
          <w:tcPr>
            <w:tcW w:w="4510" w:type="dxa"/>
          </w:tcPr>
          <w:p w:rsidR="00141778" w:rsidRPr="00281114" w:rsidRDefault="00141778" w:rsidP="005D1F96">
            <w:pPr>
              <w:spacing w:line="360" w:lineRule="auto"/>
              <w:jc w:val="center"/>
              <w:rPr>
                <w:rFonts w:ascii="Times New Roman" w:eastAsia="Times New Roman" w:hAnsi="Times New Roman" w:cs="Times New Roman"/>
                <w:b/>
                <w:bCs/>
                <w:color w:val="FF0000"/>
                <w:sz w:val="24"/>
                <w:szCs w:val="24"/>
              </w:rPr>
            </w:pPr>
            <w:r w:rsidRPr="00281114">
              <w:rPr>
                <w:rFonts w:ascii="Times New Roman" w:eastAsia="Times New Roman" w:hAnsi="Times New Roman" w:cs="Times New Roman"/>
                <w:b/>
                <w:bCs/>
                <w:color w:val="FF0000"/>
                <w:sz w:val="24"/>
                <w:szCs w:val="24"/>
              </w:rPr>
              <w:t>Threats</w:t>
            </w:r>
          </w:p>
        </w:tc>
      </w:tr>
      <w:tr w:rsidR="00141778" w:rsidRPr="006C59D7" w:rsidTr="005D1F96">
        <w:tc>
          <w:tcPr>
            <w:tcW w:w="4509" w:type="dxa"/>
          </w:tcPr>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eastAsia="Times New Roman" w:hAnsi="Times New Roman" w:cs="Times New Roman"/>
                <w:color w:val="000000" w:themeColor="text1"/>
                <w:sz w:val="24"/>
                <w:szCs w:val="24"/>
              </w:rPr>
              <w:t>Improving listening skills</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hAnsi="Times New Roman" w:cs="Times New Roman"/>
                <w:color w:val="000000" w:themeColor="text1"/>
                <w:sz w:val="24"/>
                <w:szCs w:val="24"/>
              </w:rPr>
              <w:t xml:space="preserve">Training </w:t>
            </w:r>
          </w:p>
          <w:p w:rsidR="00141778" w:rsidRPr="006C59D7" w:rsidRDefault="00141778" w:rsidP="00141778">
            <w:pPr>
              <w:pStyle w:val="ListParagraph"/>
              <w:numPr>
                <w:ilvl w:val="0"/>
                <w:numId w:val="2"/>
              </w:numPr>
              <w:spacing w:line="360" w:lineRule="auto"/>
              <w:jc w:val="both"/>
              <w:rPr>
                <w:rFonts w:ascii="Times New Roman" w:hAnsi="Times New Roman" w:cs="Times New Roman"/>
                <w:color w:val="000000" w:themeColor="text1"/>
                <w:sz w:val="24"/>
                <w:szCs w:val="24"/>
              </w:rPr>
            </w:pPr>
            <w:r w:rsidRPr="006C59D7">
              <w:rPr>
                <w:rFonts w:ascii="Times New Roman" w:hAnsi="Times New Roman" w:cs="Times New Roman"/>
                <w:color w:val="000000" w:themeColor="text1"/>
                <w:sz w:val="24"/>
                <w:szCs w:val="24"/>
              </w:rPr>
              <w:t>Use of digital literature</w:t>
            </w:r>
          </w:p>
          <w:p w:rsidR="00141778" w:rsidRPr="006C59D7" w:rsidRDefault="00141778" w:rsidP="00141778">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w:t>
            </w:r>
            <w:r w:rsidRPr="006C59D7">
              <w:rPr>
                <w:rFonts w:ascii="Times New Roman" w:hAnsi="Times New Roman" w:cs="Times New Roman"/>
                <w:color w:val="000000" w:themeColor="text1"/>
                <w:sz w:val="24"/>
                <w:szCs w:val="24"/>
              </w:rPr>
              <w:t xml:space="preserve">ood work life balance </w:t>
            </w:r>
          </w:p>
          <w:p w:rsidR="00141778" w:rsidRPr="006C59D7" w:rsidRDefault="00141778" w:rsidP="00141778">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Pr="006C59D7">
              <w:rPr>
                <w:rFonts w:ascii="Times New Roman" w:hAnsi="Times New Roman" w:cs="Times New Roman"/>
                <w:color w:val="000000" w:themeColor="text1"/>
                <w:sz w:val="24"/>
                <w:szCs w:val="24"/>
              </w:rPr>
              <w:t xml:space="preserve">olunteering to do more challenging tasks and gain experience </w:t>
            </w:r>
          </w:p>
          <w:p w:rsidR="00141778" w:rsidRDefault="00141778" w:rsidP="005D1F96">
            <w:pPr>
              <w:pStyle w:val="ListParagraph"/>
              <w:spacing w:line="360" w:lineRule="auto"/>
              <w:jc w:val="both"/>
              <w:rPr>
                <w:color w:val="000000" w:themeColor="text1"/>
              </w:rPr>
            </w:pPr>
          </w:p>
          <w:p w:rsidR="00141778" w:rsidRDefault="00141778" w:rsidP="005D1F96">
            <w:pPr>
              <w:pStyle w:val="ListParagraph"/>
              <w:spacing w:line="360" w:lineRule="auto"/>
              <w:jc w:val="both"/>
              <w:rPr>
                <w:color w:val="000000" w:themeColor="text1"/>
              </w:rPr>
            </w:pPr>
          </w:p>
          <w:p w:rsidR="00141778" w:rsidRDefault="00141778" w:rsidP="005D1F96">
            <w:pPr>
              <w:pStyle w:val="ListParagraph"/>
              <w:spacing w:line="360" w:lineRule="auto"/>
              <w:jc w:val="both"/>
              <w:rPr>
                <w:color w:val="000000" w:themeColor="text1"/>
              </w:rPr>
            </w:pPr>
          </w:p>
          <w:p w:rsidR="00141778" w:rsidRPr="006C59D7" w:rsidRDefault="00141778" w:rsidP="005D1F96">
            <w:pPr>
              <w:pStyle w:val="ListParagraph"/>
              <w:spacing w:line="360" w:lineRule="auto"/>
              <w:jc w:val="both"/>
              <w:rPr>
                <w:color w:val="000000" w:themeColor="text1"/>
              </w:rPr>
            </w:pPr>
          </w:p>
        </w:tc>
        <w:tc>
          <w:tcPr>
            <w:tcW w:w="4510" w:type="dxa"/>
          </w:tcPr>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Pr>
                <w:rFonts w:ascii="Times New Roman"/>
                <w:color w:val="000000" w:themeColor="text1"/>
                <w:sz w:val="24"/>
              </w:rPr>
              <w:t>L</w:t>
            </w:r>
            <w:r w:rsidRPr="006C59D7">
              <w:rPr>
                <w:rFonts w:ascii="Times New Roman"/>
                <w:color w:val="000000" w:themeColor="text1"/>
                <w:sz w:val="24"/>
              </w:rPr>
              <w:t xml:space="preserve">anguage barrier </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6C59D7">
              <w:rPr>
                <w:rFonts w:ascii="Times New Roman" w:hAnsi="Times New Roman" w:cs="Times New Roman"/>
                <w:color w:val="000000" w:themeColor="text1"/>
                <w:sz w:val="24"/>
                <w:szCs w:val="24"/>
              </w:rPr>
              <w:t>Budget constraints for undertaking training</w:t>
            </w:r>
          </w:p>
          <w:p w:rsidR="00141778" w:rsidRPr="0080492F"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6C59D7">
              <w:rPr>
                <w:rFonts w:ascii="Times New Roman" w:hAnsi="Times New Roman" w:cs="Times New Roman"/>
                <w:color w:val="000000" w:themeColor="text1"/>
                <w:sz w:val="24"/>
                <w:szCs w:val="24"/>
              </w:rPr>
              <w:t>taff shortages may result in poor work life balance</w:t>
            </w:r>
          </w:p>
          <w:p w:rsidR="00141778" w:rsidRPr="006C59D7" w:rsidRDefault="00141778" w:rsidP="00141778">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Time constrains can limit opportunity for training new tasks</w:t>
            </w:r>
          </w:p>
          <w:p w:rsidR="00141778" w:rsidRPr="0080492F" w:rsidRDefault="00141778" w:rsidP="005D1F96">
            <w:pPr>
              <w:spacing w:line="360" w:lineRule="auto"/>
              <w:jc w:val="both"/>
              <w:rPr>
                <w:rFonts w:ascii="Times New Roman" w:hAnsi="Times New Roman" w:cs="Times New Roman"/>
                <w:color w:val="000000" w:themeColor="text1"/>
                <w:sz w:val="24"/>
                <w:szCs w:val="24"/>
              </w:rPr>
            </w:pPr>
          </w:p>
        </w:tc>
      </w:tr>
    </w:tbl>
    <w:p w:rsidR="00141778" w:rsidRPr="000B2F5B" w:rsidRDefault="00141778" w:rsidP="00141778">
      <w:pPr>
        <w:spacing w:line="360" w:lineRule="auto"/>
        <w:jc w:val="both"/>
        <w:rPr>
          <w:rFonts w:ascii="Times New Roman" w:eastAsia="Times New Roman" w:hAnsi="Times New Roman" w:cs="Times New Roman"/>
          <w:sz w:val="24"/>
          <w:szCs w:val="24"/>
        </w:rPr>
      </w:pPr>
    </w:p>
    <w:p w:rsidR="00141778" w:rsidRDefault="00141778"/>
    <w:sectPr w:rsidR="00141778" w:rsidSect="002E6CE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ED3" w:rsidRDefault="00B70ED3" w:rsidP="00141778">
      <w:pPr>
        <w:spacing w:line="240" w:lineRule="auto"/>
      </w:pPr>
      <w:r>
        <w:separator/>
      </w:r>
    </w:p>
  </w:endnote>
  <w:endnote w:type="continuationSeparator" w:id="0">
    <w:p w:rsidR="00B70ED3" w:rsidRDefault="00B70ED3" w:rsidP="001417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6969094"/>
      <w:docPartObj>
        <w:docPartGallery w:val="Page Numbers (Bottom of Page)"/>
        <w:docPartUnique/>
      </w:docPartObj>
    </w:sdtPr>
    <w:sdtContent>
      <w:p w:rsidR="00141778" w:rsidRDefault="000B6D92">
        <w:pPr>
          <w:pStyle w:val="Footer"/>
          <w:jc w:val="right"/>
        </w:pPr>
        <w:fldSimple w:instr=" PAGE   \* MERGEFORMAT ">
          <w:r w:rsidR="00D86129">
            <w:rPr>
              <w:noProof/>
            </w:rPr>
            <w:t>2</w:t>
          </w:r>
        </w:fldSimple>
      </w:p>
    </w:sdtContent>
  </w:sdt>
  <w:p w:rsidR="00141778" w:rsidRDefault="001417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ED3" w:rsidRDefault="00B70ED3" w:rsidP="00141778">
      <w:pPr>
        <w:spacing w:line="240" w:lineRule="auto"/>
      </w:pPr>
      <w:r>
        <w:separator/>
      </w:r>
    </w:p>
  </w:footnote>
  <w:footnote w:type="continuationSeparator" w:id="0">
    <w:p w:rsidR="00B70ED3" w:rsidRDefault="00B70ED3" w:rsidP="0014177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778" w:rsidRPr="00141778" w:rsidRDefault="00141778">
    <w:pPr>
      <w:pStyle w:val="Header"/>
      <w:rPr>
        <w:rFonts w:ascii="Times New Roman" w:hAnsi="Times New Roman" w:cs="Times New Roman"/>
        <w:sz w:val="24"/>
        <w:szCs w:val="24"/>
      </w:rPr>
    </w:pPr>
    <w:r w:rsidRPr="00141778">
      <w:rPr>
        <w:rFonts w:ascii="Times New Roman" w:hAnsi="Times New Roman" w:cs="Times New Roman"/>
        <w:sz w:val="24"/>
        <w:szCs w:val="24"/>
      </w:rPr>
      <w:t>Aurora Copae-1919900</w:t>
    </w:r>
    <w:r>
      <w:rPr>
        <w:rFonts w:ascii="Times New Roman" w:hAnsi="Times New Roman" w:cs="Times New Roman"/>
        <w:sz w:val="24"/>
        <w:szCs w:val="24"/>
      </w:rPr>
      <w:t xml:space="preserve">                                                       Academic and Employability Skills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715DC"/>
    <w:multiLevelType w:val="hybridMultilevel"/>
    <w:tmpl w:val="A9A47BE8"/>
    <w:lvl w:ilvl="0" w:tplc="11681098">
      <w:start w:val="1"/>
      <w:numFmt w:val="bullet"/>
      <w:lvlText w:val="•"/>
      <w:lvlJc w:val="left"/>
      <w:pPr>
        <w:tabs>
          <w:tab w:val="num" w:pos="720"/>
        </w:tabs>
        <w:ind w:left="720" w:hanging="360"/>
      </w:pPr>
      <w:rPr>
        <w:rFonts w:ascii="Arial" w:hAnsi="Arial" w:hint="default"/>
      </w:rPr>
    </w:lvl>
    <w:lvl w:ilvl="1" w:tplc="F990B050" w:tentative="1">
      <w:start w:val="1"/>
      <w:numFmt w:val="bullet"/>
      <w:lvlText w:val="•"/>
      <w:lvlJc w:val="left"/>
      <w:pPr>
        <w:tabs>
          <w:tab w:val="num" w:pos="1440"/>
        </w:tabs>
        <w:ind w:left="1440" w:hanging="360"/>
      </w:pPr>
      <w:rPr>
        <w:rFonts w:ascii="Arial" w:hAnsi="Arial" w:hint="default"/>
      </w:rPr>
    </w:lvl>
    <w:lvl w:ilvl="2" w:tplc="A0B609F6" w:tentative="1">
      <w:start w:val="1"/>
      <w:numFmt w:val="bullet"/>
      <w:lvlText w:val="•"/>
      <w:lvlJc w:val="left"/>
      <w:pPr>
        <w:tabs>
          <w:tab w:val="num" w:pos="2160"/>
        </w:tabs>
        <w:ind w:left="2160" w:hanging="360"/>
      </w:pPr>
      <w:rPr>
        <w:rFonts w:ascii="Arial" w:hAnsi="Arial" w:hint="default"/>
      </w:rPr>
    </w:lvl>
    <w:lvl w:ilvl="3" w:tplc="9D7644A0" w:tentative="1">
      <w:start w:val="1"/>
      <w:numFmt w:val="bullet"/>
      <w:lvlText w:val="•"/>
      <w:lvlJc w:val="left"/>
      <w:pPr>
        <w:tabs>
          <w:tab w:val="num" w:pos="2880"/>
        </w:tabs>
        <w:ind w:left="2880" w:hanging="360"/>
      </w:pPr>
      <w:rPr>
        <w:rFonts w:ascii="Arial" w:hAnsi="Arial" w:hint="default"/>
      </w:rPr>
    </w:lvl>
    <w:lvl w:ilvl="4" w:tplc="16006448" w:tentative="1">
      <w:start w:val="1"/>
      <w:numFmt w:val="bullet"/>
      <w:lvlText w:val="•"/>
      <w:lvlJc w:val="left"/>
      <w:pPr>
        <w:tabs>
          <w:tab w:val="num" w:pos="3600"/>
        </w:tabs>
        <w:ind w:left="3600" w:hanging="360"/>
      </w:pPr>
      <w:rPr>
        <w:rFonts w:ascii="Arial" w:hAnsi="Arial" w:hint="default"/>
      </w:rPr>
    </w:lvl>
    <w:lvl w:ilvl="5" w:tplc="B14C2E30" w:tentative="1">
      <w:start w:val="1"/>
      <w:numFmt w:val="bullet"/>
      <w:lvlText w:val="•"/>
      <w:lvlJc w:val="left"/>
      <w:pPr>
        <w:tabs>
          <w:tab w:val="num" w:pos="4320"/>
        </w:tabs>
        <w:ind w:left="4320" w:hanging="360"/>
      </w:pPr>
      <w:rPr>
        <w:rFonts w:ascii="Arial" w:hAnsi="Arial" w:hint="default"/>
      </w:rPr>
    </w:lvl>
    <w:lvl w:ilvl="6" w:tplc="60CAC292" w:tentative="1">
      <w:start w:val="1"/>
      <w:numFmt w:val="bullet"/>
      <w:lvlText w:val="•"/>
      <w:lvlJc w:val="left"/>
      <w:pPr>
        <w:tabs>
          <w:tab w:val="num" w:pos="5040"/>
        </w:tabs>
        <w:ind w:left="5040" w:hanging="360"/>
      </w:pPr>
      <w:rPr>
        <w:rFonts w:ascii="Arial" w:hAnsi="Arial" w:hint="default"/>
      </w:rPr>
    </w:lvl>
    <w:lvl w:ilvl="7" w:tplc="FE8AB1EA" w:tentative="1">
      <w:start w:val="1"/>
      <w:numFmt w:val="bullet"/>
      <w:lvlText w:val="•"/>
      <w:lvlJc w:val="left"/>
      <w:pPr>
        <w:tabs>
          <w:tab w:val="num" w:pos="5760"/>
        </w:tabs>
        <w:ind w:left="5760" w:hanging="360"/>
      </w:pPr>
      <w:rPr>
        <w:rFonts w:ascii="Arial" w:hAnsi="Arial" w:hint="default"/>
      </w:rPr>
    </w:lvl>
    <w:lvl w:ilvl="8" w:tplc="C9AC4856" w:tentative="1">
      <w:start w:val="1"/>
      <w:numFmt w:val="bullet"/>
      <w:lvlText w:val="•"/>
      <w:lvlJc w:val="left"/>
      <w:pPr>
        <w:tabs>
          <w:tab w:val="num" w:pos="6480"/>
        </w:tabs>
        <w:ind w:left="6480" w:hanging="360"/>
      </w:pPr>
      <w:rPr>
        <w:rFonts w:ascii="Arial" w:hAnsi="Arial" w:hint="default"/>
      </w:rPr>
    </w:lvl>
  </w:abstractNum>
  <w:abstractNum w:abstractNumId="1">
    <w:nsid w:val="190B76D5"/>
    <w:multiLevelType w:val="hybridMultilevel"/>
    <w:tmpl w:val="8F1EFE70"/>
    <w:lvl w:ilvl="0" w:tplc="89F4D4EC">
      <w:start w:val="1"/>
      <w:numFmt w:val="bullet"/>
      <w:lvlText w:val=""/>
      <w:lvlJc w:val="left"/>
      <w:pPr>
        <w:ind w:left="720" w:hanging="360"/>
      </w:pPr>
      <w:rPr>
        <w:rFonts w:ascii="Symbol" w:hAnsi="Symbol" w:hint="default"/>
      </w:rPr>
    </w:lvl>
    <w:lvl w:ilvl="1" w:tplc="050CE73E" w:tentative="1">
      <w:start w:val="1"/>
      <w:numFmt w:val="bullet"/>
      <w:lvlText w:val="o"/>
      <w:lvlJc w:val="left"/>
      <w:pPr>
        <w:ind w:left="1440" w:hanging="360"/>
      </w:pPr>
      <w:rPr>
        <w:rFonts w:ascii="Courier New" w:hAnsi="Courier New" w:cs="Courier New" w:hint="default"/>
      </w:rPr>
    </w:lvl>
    <w:lvl w:ilvl="2" w:tplc="E6B0B3D2" w:tentative="1">
      <w:start w:val="1"/>
      <w:numFmt w:val="bullet"/>
      <w:lvlText w:val=""/>
      <w:lvlJc w:val="left"/>
      <w:pPr>
        <w:ind w:left="2160" w:hanging="360"/>
      </w:pPr>
      <w:rPr>
        <w:rFonts w:ascii="Wingdings" w:hAnsi="Wingdings" w:hint="default"/>
      </w:rPr>
    </w:lvl>
    <w:lvl w:ilvl="3" w:tplc="25CEA20E" w:tentative="1">
      <w:start w:val="1"/>
      <w:numFmt w:val="bullet"/>
      <w:lvlText w:val=""/>
      <w:lvlJc w:val="left"/>
      <w:pPr>
        <w:ind w:left="2880" w:hanging="360"/>
      </w:pPr>
      <w:rPr>
        <w:rFonts w:ascii="Symbol" w:hAnsi="Symbol" w:hint="default"/>
      </w:rPr>
    </w:lvl>
    <w:lvl w:ilvl="4" w:tplc="59CC7FF4" w:tentative="1">
      <w:start w:val="1"/>
      <w:numFmt w:val="bullet"/>
      <w:lvlText w:val="o"/>
      <w:lvlJc w:val="left"/>
      <w:pPr>
        <w:ind w:left="3600" w:hanging="360"/>
      </w:pPr>
      <w:rPr>
        <w:rFonts w:ascii="Courier New" w:hAnsi="Courier New" w:cs="Courier New" w:hint="default"/>
      </w:rPr>
    </w:lvl>
    <w:lvl w:ilvl="5" w:tplc="365CBCEE" w:tentative="1">
      <w:start w:val="1"/>
      <w:numFmt w:val="bullet"/>
      <w:lvlText w:val=""/>
      <w:lvlJc w:val="left"/>
      <w:pPr>
        <w:ind w:left="4320" w:hanging="360"/>
      </w:pPr>
      <w:rPr>
        <w:rFonts w:ascii="Wingdings" w:hAnsi="Wingdings" w:hint="default"/>
      </w:rPr>
    </w:lvl>
    <w:lvl w:ilvl="6" w:tplc="A50435B2" w:tentative="1">
      <w:start w:val="1"/>
      <w:numFmt w:val="bullet"/>
      <w:lvlText w:val=""/>
      <w:lvlJc w:val="left"/>
      <w:pPr>
        <w:ind w:left="5040" w:hanging="360"/>
      </w:pPr>
      <w:rPr>
        <w:rFonts w:ascii="Symbol" w:hAnsi="Symbol" w:hint="default"/>
      </w:rPr>
    </w:lvl>
    <w:lvl w:ilvl="7" w:tplc="6396CC4A" w:tentative="1">
      <w:start w:val="1"/>
      <w:numFmt w:val="bullet"/>
      <w:lvlText w:val="o"/>
      <w:lvlJc w:val="left"/>
      <w:pPr>
        <w:ind w:left="5760" w:hanging="360"/>
      </w:pPr>
      <w:rPr>
        <w:rFonts w:ascii="Courier New" w:hAnsi="Courier New" w:cs="Courier New" w:hint="default"/>
      </w:rPr>
    </w:lvl>
    <w:lvl w:ilvl="8" w:tplc="BFCA411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F5B55"/>
    <w:rsid w:val="000B57B1"/>
    <w:rsid w:val="000B6D92"/>
    <w:rsid w:val="000C4935"/>
    <w:rsid w:val="001309D3"/>
    <w:rsid w:val="00141778"/>
    <w:rsid w:val="001A1E2B"/>
    <w:rsid w:val="001C2D6F"/>
    <w:rsid w:val="002E6CEE"/>
    <w:rsid w:val="00997226"/>
    <w:rsid w:val="00B70ED3"/>
    <w:rsid w:val="00D86129"/>
    <w:rsid w:val="00FF5B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778"/>
    <w:pPr>
      <w:spacing w:after="0" w:line="276" w:lineRule="auto"/>
    </w:pPr>
    <w:rPr>
      <w:rFonts w:ascii="Arial" w:eastAsia="Arial" w:hAnsi="Arial" w:cs="Arial"/>
      <w:lang w:eastAsia="en-IN"/>
    </w:rPr>
  </w:style>
  <w:style w:type="paragraph" w:styleId="Heading1">
    <w:name w:val="heading 1"/>
    <w:basedOn w:val="Normal"/>
    <w:next w:val="Normal"/>
    <w:link w:val="Heading1Char"/>
    <w:uiPriority w:val="9"/>
    <w:qFormat/>
    <w:rsid w:val="00141778"/>
    <w:pPr>
      <w:keepNext/>
      <w:keepLines/>
      <w:spacing w:before="120" w:after="120" w:line="360" w:lineRule="auto"/>
      <w:jc w:val="both"/>
      <w:outlineLvl w:val="0"/>
    </w:pPr>
    <w:rPr>
      <w:rFonts w:ascii="Times New Roman" w:hAnsi="Times New Roman"/>
      <w:b/>
      <w:sz w:val="28"/>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778"/>
    <w:rPr>
      <w:rFonts w:ascii="Times New Roman" w:eastAsia="Arial" w:hAnsi="Times New Roman" w:cs="Arial"/>
      <w:b/>
      <w:sz w:val="28"/>
      <w:szCs w:val="40"/>
      <w:lang w:eastAsia="en-IN"/>
    </w:rPr>
  </w:style>
  <w:style w:type="paragraph" w:styleId="BalloonText">
    <w:name w:val="Balloon Text"/>
    <w:basedOn w:val="Normal"/>
    <w:link w:val="BalloonTextChar"/>
    <w:uiPriority w:val="99"/>
    <w:semiHidden/>
    <w:unhideWhenUsed/>
    <w:rsid w:val="001417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778"/>
    <w:rPr>
      <w:rFonts w:ascii="Tahoma" w:eastAsia="Arial" w:hAnsi="Tahoma" w:cs="Tahoma"/>
      <w:sz w:val="16"/>
      <w:szCs w:val="16"/>
      <w:lang w:eastAsia="en-IN"/>
    </w:rPr>
  </w:style>
  <w:style w:type="table" w:styleId="TableGrid">
    <w:name w:val="Table Grid"/>
    <w:basedOn w:val="TableNormal"/>
    <w:uiPriority w:val="39"/>
    <w:rsid w:val="00141778"/>
    <w:pPr>
      <w:spacing w:after="0" w:line="240" w:lineRule="auto"/>
    </w:pPr>
    <w:rPr>
      <w:rFonts w:ascii="Arial" w:eastAsia="Arial" w:hAnsi="Arial" w:cs="Arial"/>
      <w:lang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41778"/>
    <w:pPr>
      <w:ind w:left="720"/>
      <w:contextualSpacing/>
    </w:pPr>
  </w:style>
  <w:style w:type="paragraph" w:styleId="Header">
    <w:name w:val="header"/>
    <w:basedOn w:val="Normal"/>
    <w:link w:val="HeaderChar"/>
    <w:uiPriority w:val="99"/>
    <w:semiHidden/>
    <w:unhideWhenUsed/>
    <w:rsid w:val="0014177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41778"/>
    <w:rPr>
      <w:rFonts w:ascii="Arial" w:eastAsia="Arial" w:hAnsi="Arial" w:cs="Arial"/>
      <w:lang w:eastAsia="en-IN"/>
    </w:rPr>
  </w:style>
  <w:style w:type="paragraph" w:styleId="Footer">
    <w:name w:val="footer"/>
    <w:basedOn w:val="Normal"/>
    <w:link w:val="FooterChar"/>
    <w:uiPriority w:val="99"/>
    <w:unhideWhenUsed/>
    <w:rsid w:val="00141778"/>
    <w:pPr>
      <w:tabs>
        <w:tab w:val="center" w:pos="4513"/>
        <w:tab w:val="right" w:pos="9026"/>
      </w:tabs>
      <w:spacing w:line="240" w:lineRule="auto"/>
    </w:pPr>
  </w:style>
  <w:style w:type="character" w:customStyle="1" w:styleId="FooterChar">
    <w:name w:val="Footer Char"/>
    <w:basedOn w:val="DefaultParagraphFont"/>
    <w:link w:val="Footer"/>
    <w:uiPriority w:val="99"/>
    <w:rsid w:val="00141778"/>
    <w:rPr>
      <w:rFonts w:ascii="Arial" w:eastAsia="Arial" w:hAnsi="Arial" w:cs="Arial"/>
      <w:lang w:eastAsia="en-IN"/>
    </w:rPr>
  </w:style>
  <w:style w:type="paragraph" w:styleId="TOCHeading">
    <w:name w:val="TOC Heading"/>
    <w:basedOn w:val="Heading1"/>
    <w:next w:val="Normal"/>
    <w:uiPriority w:val="39"/>
    <w:semiHidden/>
    <w:unhideWhenUsed/>
    <w:qFormat/>
    <w:rsid w:val="00D86129"/>
    <w:pPr>
      <w:spacing w:before="480" w:after="0" w:line="276" w:lineRule="auto"/>
      <w:jc w:val="left"/>
      <w:outlineLvl w:val="9"/>
    </w:pPr>
    <w:rPr>
      <w:rFonts w:asciiTheme="majorHAnsi" w:eastAsiaTheme="majorEastAsia" w:hAnsiTheme="majorHAnsi" w:cstheme="majorBidi"/>
      <w:bCs/>
      <w:color w:val="2F5496" w:themeColor="accent1" w:themeShade="BF"/>
      <w:szCs w:val="28"/>
      <w:lang w:val="en-US" w:eastAsia="en-US"/>
    </w:rPr>
  </w:style>
  <w:style w:type="paragraph" w:styleId="TOC1">
    <w:name w:val="toc 1"/>
    <w:basedOn w:val="Normal"/>
    <w:next w:val="Normal"/>
    <w:autoRedefine/>
    <w:uiPriority w:val="39"/>
    <w:unhideWhenUsed/>
    <w:rsid w:val="00D86129"/>
    <w:pPr>
      <w:spacing w:after="100"/>
    </w:pPr>
  </w:style>
  <w:style w:type="character" w:styleId="Hyperlink">
    <w:name w:val="Hyperlink"/>
    <w:basedOn w:val="DefaultParagraphFont"/>
    <w:uiPriority w:val="99"/>
    <w:unhideWhenUsed/>
    <w:rsid w:val="00D8612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761098706">
      <w:bodyDiv w:val="1"/>
      <w:marLeft w:val="0"/>
      <w:marRight w:val="0"/>
      <w:marTop w:val="0"/>
      <w:marBottom w:val="0"/>
      <w:divBdr>
        <w:top w:val="none" w:sz="0" w:space="0" w:color="auto"/>
        <w:left w:val="none" w:sz="0" w:space="0" w:color="auto"/>
        <w:bottom w:val="none" w:sz="0" w:space="0" w:color="auto"/>
        <w:right w:val="none" w:sz="0" w:space="0" w:color="auto"/>
      </w:divBdr>
      <w:divsChild>
        <w:div w:id="9325873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78AF31-B1C1-4D58-8047-240320E90A38}" type="doc">
      <dgm:prSet loTypeId="urn:microsoft.com/office/officeart/2005/8/layout/cycle4#1" loCatId="cycle" qsTypeId="urn:microsoft.com/office/officeart/2005/8/quickstyle/simple1" qsCatId="simple" csTypeId="urn:microsoft.com/office/officeart/2005/8/colors/colorful5" csCatId="colorful" phldr="1"/>
      <dgm:spPr/>
      <dgm:t>
        <a:bodyPr/>
        <a:lstStyle/>
        <a:p>
          <a:endParaRPr lang="en-IN"/>
        </a:p>
      </dgm:t>
    </dgm:pt>
    <dgm:pt modelId="{A8838BB9-6B37-4BEA-A2CD-746CDC7A0A9B}">
      <dgm:prSet phldrT="[Text]"/>
      <dgm:spPr/>
      <dgm:t>
        <a:bodyPr/>
        <a:lstStyle/>
        <a:p>
          <a:r>
            <a:rPr lang="en-IN" b="0" i="0">
              <a:solidFill>
                <a:sysClr val="windowText" lastClr="000000"/>
              </a:solidFill>
              <a:latin typeface="Times New Roman" panose="02020603050405020304" pitchFamily="18" charset="0"/>
              <a:cs typeface="Times New Roman" panose="02020603050405020304" pitchFamily="18" charset="0"/>
            </a:rPr>
            <a:t>Communication</a:t>
          </a:r>
          <a:endParaRPr lang="en-IN" b="0">
            <a:solidFill>
              <a:sysClr val="windowText" lastClr="000000"/>
            </a:solidFill>
            <a:latin typeface="Times New Roman" panose="02020603050405020304" pitchFamily="18" charset="0"/>
            <a:cs typeface="Times New Roman" panose="02020603050405020304" pitchFamily="18" charset="0"/>
          </a:endParaRPr>
        </a:p>
      </dgm:t>
    </dgm:pt>
    <dgm:pt modelId="{AC1E8347-390B-492D-8AA6-8CCB86AC0749}" type="parTrans" cxnId="{1FE41397-2A18-4F78-90FC-24F76F921C19}">
      <dgm:prSet/>
      <dgm:spPr/>
      <dgm:t>
        <a:bodyPr/>
        <a:lstStyle/>
        <a:p>
          <a:endParaRPr lang="en-IN"/>
        </a:p>
      </dgm:t>
    </dgm:pt>
    <dgm:pt modelId="{76C39EEC-461C-4F3D-8A00-C04A463553CC}" type="sibTrans" cxnId="{1FE41397-2A18-4F78-90FC-24F76F921C19}">
      <dgm:prSet/>
      <dgm:spPr/>
      <dgm:t>
        <a:bodyPr/>
        <a:lstStyle/>
        <a:p>
          <a:endParaRPr lang="en-IN"/>
        </a:p>
      </dgm:t>
    </dgm:pt>
    <dgm:pt modelId="{48C2A9A0-6D68-42D2-8F7B-950DC354A428}">
      <dgm:prSet phldrT="[Text]" custT="1"/>
      <dgm:spPr/>
      <dgm:t>
        <a:bodyPr/>
        <a:lstStyle/>
        <a:p>
          <a:r>
            <a:rPr lang="en-IN" sz="800" b="0" i="0">
              <a:solidFill>
                <a:sysClr val="windowText" lastClr="000000"/>
              </a:solidFill>
              <a:latin typeface="Times New Roman" panose="02020603050405020304" pitchFamily="18" charset="0"/>
              <a:cs typeface="Times New Roman" panose="02020603050405020304" pitchFamily="18" charset="0"/>
            </a:rPr>
            <a:t>Good communication is an extremely versatile skill that is an important part of every role – which contributes to the smooth running of any workplace.</a:t>
          </a:r>
          <a:endParaRPr lang="en-IN" sz="800" b="0">
            <a:solidFill>
              <a:sysClr val="windowText" lastClr="000000"/>
            </a:solidFill>
            <a:latin typeface="Times New Roman" panose="02020603050405020304" pitchFamily="18" charset="0"/>
            <a:cs typeface="Times New Roman" panose="02020603050405020304" pitchFamily="18" charset="0"/>
          </a:endParaRPr>
        </a:p>
      </dgm:t>
    </dgm:pt>
    <dgm:pt modelId="{45017F83-F6DA-4C3A-8526-09D00417D701}" type="parTrans" cxnId="{15B6B132-3A85-4C60-8C7C-53DACEFC4984}">
      <dgm:prSet/>
      <dgm:spPr/>
      <dgm:t>
        <a:bodyPr/>
        <a:lstStyle/>
        <a:p>
          <a:endParaRPr lang="en-IN"/>
        </a:p>
      </dgm:t>
    </dgm:pt>
    <dgm:pt modelId="{4F746BE1-BE99-475E-A2F2-D55CCD581B07}" type="sibTrans" cxnId="{15B6B132-3A85-4C60-8C7C-53DACEFC4984}">
      <dgm:prSet/>
      <dgm:spPr/>
      <dgm:t>
        <a:bodyPr/>
        <a:lstStyle/>
        <a:p>
          <a:endParaRPr lang="en-IN"/>
        </a:p>
      </dgm:t>
    </dgm:pt>
    <dgm:pt modelId="{FFF452CB-E0C2-45F9-87CF-A38D8B81366C}">
      <dgm:prSet phldrT="[Text]"/>
      <dgm:spPr/>
      <dgm:t>
        <a:bodyPr/>
        <a:lstStyle/>
        <a:p>
          <a:r>
            <a:rPr lang="en-IN" b="0" i="0">
              <a:solidFill>
                <a:sysClr val="windowText" lastClr="000000"/>
              </a:solidFill>
              <a:latin typeface="Times New Roman" panose="02020603050405020304" pitchFamily="18" charset="0"/>
              <a:cs typeface="Times New Roman" panose="02020603050405020304" pitchFamily="18" charset="0"/>
            </a:rPr>
            <a:t>Listening</a:t>
          </a:r>
          <a:endParaRPr lang="en-IN" b="0">
            <a:solidFill>
              <a:sysClr val="windowText" lastClr="000000"/>
            </a:solidFill>
            <a:latin typeface="Times New Roman" panose="02020603050405020304" pitchFamily="18" charset="0"/>
            <a:cs typeface="Times New Roman" panose="02020603050405020304" pitchFamily="18" charset="0"/>
          </a:endParaRPr>
        </a:p>
      </dgm:t>
    </dgm:pt>
    <dgm:pt modelId="{1785B649-A3A8-4F96-A268-AD84D96CDF02}" type="parTrans" cxnId="{E83C108B-8043-4C10-BA0B-E69C666E29C9}">
      <dgm:prSet/>
      <dgm:spPr/>
      <dgm:t>
        <a:bodyPr/>
        <a:lstStyle/>
        <a:p>
          <a:endParaRPr lang="en-IN"/>
        </a:p>
      </dgm:t>
    </dgm:pt>
    <dgm:pt modelId="{18B8FCE8-C1C9-4EBF-9503-A1796B9A6B28}" type="sibTrans" cxnId="{E83C108B-8043-4C10-BA0B-E69C666E29C9}">
      <dgm:prSet/>
      <dgm:spPr/>
      <dgm:t>
        <a:bodyPr/>
        <a:lstStyle/>
        <a:p>
          <a:endParaRPr lang="en-IN"/>
        </a:p>
      </dgm:t>
    </dgm:pt>
    <dgm:pt modelId="{793C8706-9D4D-433B-A81B-0C9E26A2EDEE}">
      <dgm:prSet phldrT="[Text]"/>
      <dgm:spPr/>
      <dgm:t>
        <a:bodyPr/>
        <a:lstStyle/>
        <a:p>
          <a:r>
            <a:rPr lang="en-IN" b="0" i="0">
              <a:solidFill>
                <a:sysClr val="windowText" lastClr="000000"/>
              </a:solidFill>
              <a:latin typeface="Times New Roman" panose="02020603050405020304" pitchFamily="18" charset="0"/>
              <a:cs typeface="Times New Roman" panose="02020603050405020304" pitchFamily="18" charset="0"/>
            </a:rPr>
            <a:t>The ability to listen carefully allows workers to better understand assignments they are given</a:t>
          </a:r>
          <a:endParaRPr lang="en-IN" b="0">
            <a:solidFill>
              <a:sysClr val="windowText" lastClr="000000"/>
            </a:solidFill>
            <a:latin typeface="Times New Roman" panose="02020603050405020304" pitchFamily="18" charset="0"/>
            <a:cs typeface="Times New Roman" panose="02020603050405020304" pitchFamily="18" charset="0"/>
          </a:endParaRPr>
        </a:p>
      </dgm:t>
    </dgm:pt>
    <dgm:pt modelId="{581361BC-5DD0-40B0-9A3B-C3EEEADFEBB7}" type="parTrans" cxnId="{4BEE3523-58A2-4ED0-9F3D-66452A2A032B}">
      <dgm:prSet/>
      <dgm:spPr/>
      <dgm:t>
        <a:bodyPr/>
        <a:lstStyle/>
        <a:p>
          <a:endParaRPr lang="en-IN"/>
        </a:p>
      </dgm:t>
    </dgm:pt>
    <dgm:pt modelId="{E1046135-5BA9-491E-8795-37881ABEBE20}" type="sibTrans" cxnId="{4BEE3523-58A2-4ED0-9F3D-66452A2A032B}">
      <dgm:prSet/>
      <dgm:spPr/>
      <dgm:t>
        <a:bodyPr/>
        <a:lstStyle/>
        <a:p>
          <a:endParaRPr lang="en-IN"/>
        </a:p>
      </dgm:t>
    </dgm:pt>
    <dgm:pt modelId="{027D8532-38BF-4A54-88D0-9592AC84C0CA}">
      <dgm:prSet phldrT="[Text]"/>
      <dgm:spPr/>
      <dgm:t>
        <a:bodyPr/>
        <a:lstStyle/>
        <a:p>
          <a:r>
            <a:rPr lang="en-IN" b="0" i="0">
              <a:solidFill>
                <a:sysClr val="windowText" lastClr="000000"/>
              </a:solidFill>
              <a:latin typeface="Times New Roman" panose="02020603050405020304" pitchFamily="18" charset="0"/>
              <a:cs typeface="Times New Roman" panose="02020603050405020304" pitchFamily="18" charset="0"/>
            </a:rPr>
            <a:t>Time management</a:t>
          </a:r>
          <a:endParaRPr lang="en-IN" b="0">
            <a:solidFill>
              <a:sysClr val="windowText" lastClr="000000"/>
            </a:solidFill>
            <a:latin typeface="Times New Roman" panose="02020603050405020304" pitchFamily="18" charset="0"/>
            <a:cs typeface="Times New Roman" panose="02020603050405020304" pitchFamily="18" charset="0"/>
          </a:endParaRPr>
        </a:p>
      </dgm:t>
    </dgm:pt>
    <dgm:pt modelId="{FD5020D3-52C1-4F8D-A71B-0E1C349FF17E}" type="parTrans" cxnId="{E0EF18A6-CA68-47F1-A3AB-4C2EB17E5E01}">
      <dgm:prSet/>
      <dgm:spPr/>
      <dgm:t>
        <a:bodyPr/>
        <a:lstStyle/>
        <a:p>
          <a:endParaRPr lang="en-IN"/>
        </a:p>
      </dgm:t>
    </dgm:pt>
    <dgm:pt modelId="{6C20C47C-0C8F-46F7-AC42-D337355DB889}" type="sibTrans" cxnId="{E0EF18A6-CA68-47F1-A3AB-4C2EB17E5E01}">
      <dgm:prSet/>
      <dgm:spPr/>
      <dgm:t>
        <a:bodyPr/>
        <a:lstStyle/>
        <a:p>
          <a:endParaRPr lang="en-IN"/>
        </a:p>
      </dgm:t>
    </dgm:pt>
    <dgm:pt modelId="{34C447E7-81E5-4646-A890-CB954839F5FD}">
      <dgm:prSet phldrT="[Text]"/>
      <dgm:spPr/>
      <dgm:t>
        <a:bodyPr/>
        <a:lstStyle/>
        <a:p>
          <a:r>
            <a:rPr lang="en-IN" b="0" i="0">
              <a:solidFill>
                <a:sysClr val="windowText" lastClr="000000"/>
              </a:solidFill>
              <a:latin typeface="Times New Roman" panose="02020603050405020304" pitchFamily="18" charset="0"/>
              <a:cs typeface="Times New Roman" panose="02020603050405020304" pitchFamily="18" charset="0"/>
            </a:rPr>
            <a:t>Good time management allows employees to accomplish more in a shorter period of time</a:t>
          </a:r>
          <a:endParaRPr lang="en-IN" b="0">
            <a:solidFill>
              <a:sysClr val="windowText" lastClr="000000"/>
            </a:solidFill>
            <a:latin typeface="Times New Roman" panose="02020603050405020304" pitchFamily="18" charset="0"/>
            <a:cs typeface="Times New Roman" panose="02020603050405020304" pitchFamily="18" charset="0"/>
          </a:endParaRPr>
        </a:p>
      </dgm:t>
    </dgm:pt>
    <dgm:pt modelId="{0B3492B9-6303-4069-8B61-EA409C68D6E8}" type="parTrans" cxnId="{7927E0D8-8725-430F-85C9-CCCE880E13B3}">
      <dgm:prSet/>
      <dgm:spPr/>
      <dgm:t>
        <a:bodyPr/>
        <a:lstStyle/>
        <a:p>
          <a:endParaRPr lang="en-IN"/>
        </a:p>
      </dgm:t>
    </dgm:pt>
    <dgm:pt modelId="{C03396AE-4ED6-4845-B23A-EC7D1733C9A3}" type="sibTrans" cxnId="{7927E0D8-8725-430F-85C9-CCCE880E13B3}">
      <dgm:prSet/>
      <dgm:spPr/>
      <dgm:t>
        <a:bodyPr/>
        <a:lstStyle/>
        <a:p>
          <a:endParaRPr lang="en-IN"/>
        </a:p>
      </dgm:t>
    </dgm:pt>
    <dgm:pt modelId="{714205AB-7C9B-4983-B3CE-43627A37F95A}">
      <dgm:prSet phldrT="[Text]"/>
      <dgm:spPr/>
      <dgm:t>
        <a:bodyPr/>
        <a:lstStyle/>
        <a:p>
          <a:pPr>
            <a:buFont typeface="Arial" panose="020B0604020202020204" pitchFamily="34" charset="0"/>
            <a:buNone/>
          </a:pPr>
          <a:r>
            <a:rPr lang="en-IN" b="0" i="0">
              <a:solidFill>
                <a:sysClr val="windowText" lastClr="000000"/>
              </a:solidFill>
              <a:latin typeface="Times New Roman" panose="02020603050405020304" pitchFamily="18" charset="0"/>
              <a:cs typeface="Times New Roman" panose="02020603050405020304" pitchFamily="18" charset="0"/>
            </a:rPr>
            <a:t>Collaboration</a:t>
          </a:r>
        </a:p>
      </dgm:t>
    </dgm:pt>
    <dgm:pt modelId="{75D3EBEA-C5D6-47E8-8D6A-7E99FDDBCD7C}" type="parTrans" cxnId="{009F2D80-12B0-4B52-A4F3-F53C000A2289}">
      <dgm:prSet/>
      <dgm:spPr/>
      <dgm:t>
        <a:bodyPr/>
        <a:lstStyle/>
        <a:p>
          <a:endParaRPr lang="en-IN"/>
        </a:p>
      </dgm:t>
    </dgm:pt>
    <dgm:pt modelId="{E7AE3693-4611-4DC3-8575-CA2EBEB73143}" type="sibTrans" cxnId="{009F2D80-12B0-4B52-A4F3-F53C000A2289}">
      <dgm:prSet/>
      <dgm:spPr/>
      <dgm:t>
        <a:bodyPr/>
        <a:lstStyle/>
        <a:p>
          <a:endParaRPr lang="en-IN"/>
        </a:p>
      </dgm:t>
    </dgm:pt>
    <dgm:pt modelId="{A1E4428F-B827-40AB-963A-D521116C6D77}">
      <dgm:prSet phldrT="[Text]" custT="1"/>
      <dgm:spPr/>
      <dgm:t>
        <a:bodyPr/>
        <a:lstStyle/>
        <a:p>
          <a:r>
            <a:rPr lang="en-IN" sz="800" b="0" i="0">
              <a:solidFill>
                <a:sysClr val="windowText" lastClr="000000"/>
              </a:solidFill>
              <a:latin typeface="Times New Roman" panose="02020603050405020304" pitchFamily="18" charset="0"/>
              <a:cs typeface="Times New Roman" panose="02020603050405020304" pitchFamily="18" charset="0"/>
            </a:rPr>
            <a:t>Well-organized teams can achieve much more than any of its members could if they went solo</a:t>
          </a:r>
          <a:endParaRPr lang="en-IN" sz="800" b="0">
            <a:solidFill>
              <a:sysClr val="windowText" lastClr="000000"/>
            </a:solidFill>
            <a:latin typeface="Times New Roman" panose="02020603050405020304" pitchFamily="18" charset="0"/>
            <a:cs typeface="Times New Roman" panose="02020603050405020304" pitchFamily="18" charset="0"/>
          </a:endParaRPr>
        </a:p>
      </dgm:t>
    </dgm:pt>
    <dgm:pt modelId="{C0CE9A51-E004-4C2E-889E-BEC269B58E42}" type="parTrans" cxnId="{56DA25F4-C399-45A9-AECD-B4E885330B8E}">
      <dgm:prSet/>
      <dgm:spPr/>
      <dgm:t>
        <a:bodyPr/>
        <a:lstStyle/>
        <a:p>
          <a:endParaRPr lang="en-IN"/>
        </a:p>
      </dgm:t>
    </dgm:pt>
    <dgm:pt modelId="{C20A261D-3DD0-4786-A668-31BB52461ED3}" type="sibTrans" cxnId="{56DA25F4-C399-45A9-AECD-B4E885330B8E}">
      <dgm:prSet/>
      <dgm:spPr/>
      <dgm:t>
        <a:bodyPr/>
        <a:lstStyle/>
        <a:p>
          <a:endParaRPr lang="en-IN"/>
        </a:p>
      </dgm:t>
    </dgm:pt>
    <dgm:pt modelId="{D5A6B471-0143-4BE4-8A97-020FCA4E4D04}" type="pres">
      <dgm:prSet presAssocID="{6A78AF31-B1C1-4D58-8047-240320E90A38}" presName="cycleMatrixDiagram" presStyleCnt="0">
        <dgm:presLayoutVars>
          <dgm:chMax val="1"/>
          <dgm:dir/>
          <dgm:animLvl val="lvl"/>
          <dgm:resizeHandles val="exact"/>
        </dgm:presLayoutVars>
      </dgm:prSet>
      <dgm:spPr/>
      <dgm:t>
        <a:bodyPr/>
        <a:lstStyle/>
        <a:p>
          <a:endParaRPr lang="en-US"/>
        </a:p>
      </dgm:t>
    </dgm:pt>
    <dgm:pt modelId="{B20BC55F-144B-4767-8B74-6FA95B331C59}" type="pres">
      <dgm:prSet presAssocID="{6A78AF31-B1C1-4D58-8047-240320E90A38}" presName="children" presStyleCnt="0"/>
      <dgm:spPr/>
    </dgm:pt>
    <dgm:pt modelId="{3DD6D596-893C-4BE9-8655-BC35F812C1FE}" type="pres">
      <dgm:prSet presAssocID="{6A78AF31-B1C1-4D58-8047-240320E90A38}" presName="child1group" presStyleCnt="0"/>
      <dgm:spPr/>
    </dgm:pt>
    <dgm:pt modelId="{B1C19C77-E419-4E45-BC1A-96FE33D25107}" type="pres">
      <dgm:prSet presAssocID="{6A78AF31-B1C1-4D58-8047-240320E90A38}" presName="child1" presStyleLbl="bgAcc1" presStyleIdx="0" presStyleCnt="4"/>
      <dgm:spPr/>
      <dgm:t>
        <a:bodyPr/>
        <a:lstStyle/>
        <a:p>
          <a:endParaRPr lang="en-US"/>
        </a:p>
      </dgm:t>
    </dgm:pt>
    <dgm:pt modelId="{C04FB44E-1B76-46E5-965C-D20F8F700EE9}" type="pres">
      <dgm:prSet presAssocID="{6A78AF31-B1C1-4D58-8047-240320E90A38}" presName="child1Text" presStyleLbl="bgAcc1" presStyleIdx="0" presStyleCnt="4">
        <dgm:presLayoutVars>
          <dgm:bulletEnabled val="1"/>
        </dgm:presLayoutVars>
      </dgm:prSet>
      <dgm:spPr/>
      <dgm:t>
        <a:bodyPr/>
        <a:lstStyle/>
        <a:p>
          <a:endParaRPr lang="en-US"/>
        </a:p>
      </dgm:t>
    </dgm:pt>
    <dgm:pt modelId="{75F6C4C7-30A6-4A5F-A95B-35D20C7C499C}" type="pres">
      <dgm:prSet presAssocID="{6A78AF31-B1C1-4D58-8047-240320E90A38}" presName="child2group" presStyleCnt="0"/>
      <dgm:spPr/>
    </dgm:pt>
    <dgm:pt modelId="{86FB1039-4968-40F4-8525-94B30E13C847}" type="pres">
      <dgm:prSet presAssocID="{6A78AF31-B1C1-4D58-8047-240320E90A38}" presName="child2" presStyleLbl="bgAcc1" presStyleIdx="1" presStyleCnt="4"/>
      <dgm:spPr/>
      <dgm:t>
        <a:bodyPr/>
        <a:lstStyle/>
        <a:p>
          <a:endParaRPr lang="en-US"/>
        </a:p>
      </dgm:t>
    </dgm:pt>
    <dgm:pt modelId="{39BD4644-AB27-4975-AB75-54B5083FDBE4}" type="pres">
      <dgm:prSet presAssocID="{6A78AF31-B1C1-4D58-8047-240320E90A38}" presName="child2Text" presStyleLbl="bgAcc1" presStyleIdx="1" presStyleCnt="4">
        <dgm:presLayoutVars>
          <dgm:bulletEnabled val="1"/>
        </dgm:presLayoutVars>
      </dgm:prSet>
      <dgm:spPr/>
      <dgm:t>
        <a:bodyPr/>
        <a:lstStyle/>
        <a:p>
          <a:endParaRPr lang="en-US"/>
        </a:p>
      </dgm:t>
    </dgm:pt>
    <dgm:pt modelId="{4559A5F1-FE45-4152-A85D-E525C2A22526}" type="pres">
      <dgm:prSet presAssocID="{6A78AF31-B1C1-4D58-8047-240320E90A38}" presName="child3group" presStyleCnt="0"/>
      <dgm:spPr/>
    </dgm:pt>
    <dgm:pt modelId="{33C14F12-66C3-4C72-B324-D50159583509}" type="pres">
      <dgm:prSet presAssocID="{6A78AF31-B1C1-4D58-8047-240320E90A38}" presName="child3" presStyleLbl="bgAcc1" presStyleIdx="2" presStyleCnt="4"/>
      <dgm:spPr/>
      <dgm:t>
        <a:bodyPr/>
        <a:lstStyle/>
        <a:p>
          <a:endParaRPr lang="en-US"/>
        </a:p>
      </dgm:t>
    </dgm:pt>
    <dgm:pt modelId="{E85DCEBF-1BFF-4D2F-9E5F-D0BA51A24511}" type="pres">
      <dgm:prSet presAssocID="{6A78AF31-B1C1-4D58-8047-240320E90A38}" presName="child3Text" presStyleLbl="bgAcc1" presStyleIdx="2" presStyleCnt="4">
        <dgm:presLayoutVars>
          <dgm:bulletEnabled val="1"/>
        </dgm:presLayoutVars>
      </dgm:prSet>
      <dgm:spPr/>
      <dgm:t>
        <a:bodyPr/>
        <a:lstStyle/>
        <a:p>
          <a:endParaRPr lang="en-US"/>
        </a:p>
      </dgm:t>
    </dgm:pt>
    <dgm:pt modelId="{99C8B487-23B6-4D78-A064-C71FC81C967D}" type="pres">
      <dgm:prSet presAssocID="{6A78AF31-B1C1-4D58-8047-240320E90A38}" presName="child4group" presStyleCnt="0"/>
      <dgm:spPr/>
    </dgm:pt>
    <dgm:pt modelId="{141DC907-95B7-454C-B79A-A405FFB82A10}" type="pres">
      <dgm:prSet presAssocID="{6A78AF31-B1C1-4D58-8047-240320E90A38}" presName="child4" presStyleLbl="bgAcc1" presStyleIdx="3" presStyleCnt="4"/>
      <dgm:spPr/>
      <dgm:t>
        <a:bodyPr/>
        <a:lstStyle/>
        <a:p>
          <a:endParaRPr lang="en-US"/>
        </a:p>
      </dgm:t>
    </dgm:pt>
    <dgm:pt modelId="{BB03066B-CDDD-4DE8-B6EF-9E9435A8B72E}" type="pres">
      <dgm:prSet presAssocID="{6A78AF31-B1C1-4D58-8047-240320E90A38}" presName="child4Text" presStyleLbl="bgAcc1" presStyleIdx="3" presStyleCnt="4">
        <dgm:presLayoutVars>
          <dgm:bulletEnabled val="1"/>
        </dgm:presLayoutVars>
      </dgm:prSet>
      <dgm:spPr/>
      <dgm:t>
        <a:bodyPr/>
        <a:lstStyle/>
        <a:p>
          <a:endParaRPr lang="en-US"/>
        </a:p>
      </dgm:t>
    </dgm:pt>
    <dgm:pt modelId="{FCA58EF5-DB26-4BB8-AA73-66DA89953130}" type="pres">
      <dgm:prSet presAssocID="{6A78AF31-B1C1-4D58-8047-240320E90A38}" presName="childPlaceholder" presStyleCnt="0"/>
      <dgm:spPr/>
    </dgm:pt>
    <dgm:pt modelId="{52BFC4E6-5CCB-4520-B4A9-41DFB6A65AB5}" type="pres">
      <dgm:prSet presAssocID="{6A78AF31-B1C1-4D58-8047-240320E90A38}" presName="circle" presStyleCnt="0"/>
      <dgm:spPr/>
    </dgm:pt>
    <dgm:pt modelId="{23CC7ECA-BCD0-4E5A-97CC-8E99D1E0E910}" type="pres">
      <dgm:prSet presAssocID="{6A78AF31-B1C1-4D58-8047-240320E90A38}" presName="quadrant1" presStyleLbl="node1" presStyleIdx="0" presStyleCnt="4">
        <dgm:presLayoutVars>
          <dgm:chMax val="1"/>
          <dgm:bulletEnabled val="1"/>
        </dgm:presLayoutVars>
      </dgm:prSet>
      <dgm:spPr/>
      <dgm:t>
        <a:bodyPr/>
        <a:lstStyle/>
        <a:p>
          <a:endParaRPr lang="en-US"/>
        </a:p>
      </dgm:t>
    </dgm:pt>
    <dgm:pt modelId="{3858623A-02CE-4A93-B160-13500FA7F78C}" type="pres">
      <dgm:prSet presAssocID="{6A78AF31-B1C1-4D58-8047-240320E90A38}" presName="quadrant2" presStyleLbl="node1" presStyleIdx="1" presStyleCnt="4">
        <dgm:presLayoutVars>
          <dgm:chMax val="1"/>
          <dgm:bulletEnabled val="1"/>
        </dgm:presLayoutVars>
      </dgm:prSet>
      <dgm:spPr/>
      <dgm:t>
        <a:bodyPr/>
        <a:lstStyle/>
        <a:p>
          <a:endParaRPr lang="en-US"/>
        </a:p>
      </dgm:t>
    </dgm:pt>
    <dgm:pt modelId="{27C91494-4BE6-4E4B-A956-10A4FC531EF7}" type="pres">
      <dgm:prSet presAssocID="{6A78AF31-B1C1-4D58-8047-240320E90A38}" presName="quadrant3" presStyleLbl="node1" presStyleIdx="2" presStyleCnt="4">
        <dgm:presLayoutVars>
          <dgm:chMax val="1"/>
          <dgm:bulletEnabled val="1"/>
        </dgm:presLayoutVars>
      </dgm:prSet>
      <dgm:spPr/>
      <dgm:t>
        <a:bodyPr/>
        <a:lstStyle/>
        <a:p>
          <a:endParaRPr lang="en-US"/>
        </a:p>
      </dgm:t>
    </dgm:pt>
    <dgm:pt modelId="{B655FC8D-50CF-454D-8DCC-838BD9FE3E39}" type="pres">
      <dgm:prSet presAssocID="{6A78AF31-B1C1-4D58-8047-240320E90A38}" presName="quadrant4" presStyleLbl="node1" presStyleIdx="3" presStyleCnt="4">
        <dgm:presLayoutVars>
          <dgm:chMax val="1"/>
          <dgm:bulletEnabled val="1"/>
        </dgm:presLayoutVars>
      </dgm:prSet>
      <dgm:spPr/>
      <dgm:t>
        <a:bodyPr/>
        <a:lstStyle/>
        <a:p>
          <a:endParaRPr lang="en-US"/>
        </a:p>
      </dgm:t>
    </dgm:pt>
    <dgm:pt modelId="{FF74B844-8853-4E75-A767-53E054DE4EC9}" type="pres">
      <dgm:prSet presAssocID="{6A78AF31-B1C1-4D58-8047-240320E90A38}" presName="quadrantPlaceholder" presStyleCnt="0"/>
      <dgm:spPr/>
    </dgm:pt>
    <dgm:pt modelId="{8E482354-2707-425C-A01D-B21A725F8440}" type="pres">
      <dgm:prSet presAssocID="{6A78AF31-B1C1-4D58-8047-240320E90A38}" presName="center1" presStyleLbl="fgShp" presStyleIdx="0" presStyleCnt="2"/>
      <dgm:spPr/>
    </dgm:pt>
    <dgm:pt modelId="{C467EBBC-A35D-4ABC-A82F-D975D2E7B827}" type="pres">
      <dgm:prSet presAssocID="{6A78AF31-B1C1-4D58-8047-240320E90A38}" presName="center2" presStyleLbl="fgShp" presStyleIdx="1" presStyleCnt="2"/>
      <dgm:spPr/>
    </dgm:pt>
  </dgm:ptLst>
  <dgm:cxnLst>
    <dgm:cxn modelId="{23241AC7-59F0-431D-BF05-EA8803D2CCA9}" type="presOf" srcId="{027D8532-38BF-4A54-88D0-9592AC84C0CA}" destId="{27C91494-4BE6-4E4B-A956-10A4FC531EF7}" srcOrd="0" destOrd="0" presId="urn:microsoft.com/office/officeart/2005/8/layout/cycle4#1"/>
    <dgm:cxn modelId="{E0D23FBA-4562-47E0-8850-E4D7BF6DDE35}" type="presOf" srcId="{48C2A9A0-6D68-42D2-8F7B-950DC354A428}" destId="{B1C19C77-E419-4E45-BC1A-96FE33D25107}" srcOrd="0" destOrd="0" presId="urn:microsoft.com/office/officeart/2005/8/layout/cycle4#1"/>
    <dgm:cxn modelId="{1FE41397-2A18-4F78-90FC-24F76F921C19}" srcId="{6A78AF31-B1C1-4D58-8047-240320E90A38}" destId="{A8838BB9-6B37-4BEA-A2CD-746CDC7A0A9B}" srcOrd="0" destOrd="0" parTransId="{AC1E8347-390B-492D-8AA6-8CCB86AC0749}" sibTransId="{76C39EEC-461C-4F3D-8A00-C04A463553CC}"/>
    <dgm:cxn modelId="{E0EF18A6-CA68-47F1-A3AB-4C2EB17E5E01}" srcId="{6A78AF31-B1C1-4D58-8047-240320E90A38}" destId="{027D8532-38BF-4A54-88D0-9592AC84C0CA}" srcOrd="2" destOrd="0" parTransId="{FD5020D3-52C1-4F8D-A71B-0E1C349FF17E}" sibTransId="{6C20C47C-0C8F-46F7-AC42-D337355DB889}"/>
    <dgm:cxn modelId="{E83C108B-8043-4C10-BA0B-E69C666E29C9}" srcId="{6A78AF31-B1C1-4D58-8047-240320E90A38}" destId="{FFF452CB-E0C2-45F9-87CF-A38D8B81366C}" srcOrd="1" destOrd="0" parTransId="{1785B649-A3A8-4F96-A268-AD84D96CDF02}" sibTransId="{18B8FCE8-C1C9-4EBF-9503-A1796B9A6B28}"/>
    <dgm:cxn modelId="{15B6B132-3A85-4C60-8C7C-53DACEFC4984}" srcId="{A8838BB9-6B37-4BEA-A2CD-746CDC7A0A9B}" destId="{48C2A9A0-6D68-42D2-8F7B-950DC354A428}" srcOrd="0" destOrd="0" parTransId="{45017F83-F6DA-4C3A-8526-09D00417D701}" sibTransId="{4F746BE1-BE99-475E-A2F2-D55CCD581B07}"/>
    <dgm:cxn modelId="{C9FA1D89-67AF-4C4F-B9F5-43FFF1ED48A7}" type="presOf" srcId="{714205AB-7C9B-4983-B3CE-43627A37F95A}" destId="{B655FC8D-50CF-454D-8DCC-838BD9FE3E39}" srcOrd="0" destOrd="0" presId="urn:microsoft.com/office/officeart/2005/8/layout/cycle4#1"/>
    <dgm:cxn modelId="{009F2D80-12B0-4B52-A4F3-F53C000A2289}" srcId="{6A78AF31-B1C1-4D58-8047-240320E90A38}" destId="{714205AB-7C9B-4983-B3CE-43627A37F95A}" srcOrd="3" destOrd="0" parTransId="{75D3EBEA-C5D6-47E8-8D6A-7E99FDDBCD7C}" sibTransId="{E7AE3693-4611-4DC3-8575-CA2EBEB73143}"/>
    <dgm:cxn modelId="{51A75250-CDE7-41B7-A703-50AB973BB660}" type="presOf" srcId="{FFF452CB-E0C2-45F9-87CF-A38D8B81366C}" destId="{3858623A-02CE-4A93-B160-13500FA7F78C}" srcOrd="0" destOrd="0" presId="urn:microsoft.com/office/officeart/2005/8/layout/cycle4#1"/>
    <dgm:cxn modelId="{E8982567-5D21-4FA5-ABEC-FF389FA75101}" type="presOf" srcId="{793C8706-9D4D-433B-A81B-0C9E26A2EDEE}" destId="{39BD4644-AB27-4975-AB75-54B5083FDBE4}" srcOrd="1" destOrd="0" presId="urn:microsoft.com/office/officeart/2005/8/layout/cycle4#1"/>
    <dgm:cxn modelId="{088A5E84-E869-4C4E-8097-D4A47E105117}" type="presOf" srcId="{48C2A9A0-6D68-42D2-8F7B-950DC354A428}" destId="{C04FB44E-1B76-46E5-965C-D20F8F700EE9}" srcOrd="1" destOrd="0" presId="urn:microsoft.com/office/officeart/2005/8/layout/cycle4#1"/>
    <dgm:cxn modelId="{4BEE3523-58A2-4ED0-9F3D-66452A2A032B}" srcId="{FFF452CB-E0C2-45F9-87CF-A38D8B81366C}" destId="{793C8706-9D4D-433B-A81B-0C9E26A2EDEE}" srcOrd="0" destOrd="0" parTransId="{581361BC-5DD0-40B0-9A3B-C3EEEADFEBB7}" sibTransId="{E1046135-5BA9-491E-8795-37881ABEBE20}"/>
    <dgm:cxn modelId="{56DA25F4-C399-45A9-AECD-B4E885330B8E}" srcId="{714205AB-7C9B-4983-B3CE-43627A37F95A}" destId="{A1E4428F-B827-40AB-963A-D521116C6D77}" srcOrd="0" destOrd="0" parTransId="{C0CE9A51-E004-4C2E-889E-BEC269B58E42}" sibTransId="{C20A261D-3DD0-4786-A668-31BB52461ED3}"/>
    <dgm:cxn modelId="{90D7BA5E-5E4B-4E5B-9942-F782CD811D02}" type="presOf" srcId="{A1E4428F-B827-40AB-963A-D521116C6D77}" destId="{BB03066B-CDDD-4DE8-B6EF-9E9435A8B72E}" srcOrd="1" destOrd="0" presId="urn:microsoft.com/office/officeart/2005/8/layout/cycle4#1"/>
    <dgm:cxn modelId="{F24ED87D-68E2-4656-B047-B2A8D9FE1FAF}" type="presOf" srcId="{34C447E7-81E5-4646-A890-CB954839F5FD}" destId="{E85DCEBF-1BFF-4D2F-9E5F-D0BA51A24511}" srcOrd="1" destOrd="0" presId="urn:microsoft.com/office/officeart/2005/8/layout/cycle4#1"/>
    <dgm:cxn modelId="{1F1F1EB3-0133-425F-ABC3-E1F76FA3E14E}" type="presOf" srcId="{A8838BB9-6B37-4BEA-A2CD-746CDC7A0A9B}" destId="{23CC7ECA-BCD0-4E5A-97CC-8E99D1E0E910}" srcOrd="0" destOrd="0" presId="urn:microsoft.com/office/officeart/2005/8/layout/cycle4#1"/>
    <dgm:cxn modelId="{7927E0D8-8725-430F-85C9-CCCE880E13B3}" srcId="{027D8532-38BF-4A54-88D0-9592AC84C0CA}" destId="{34C447E7-81E5-4646-A890-CB954839F5FD}" srcOrd="0" destOrd="0" parTransId="{0B3492B9-6303-4069-8B61-EA409C68D6E8}" sibTransId="{C03396AE-4ED6-4845-B23A-EC7D1733C9A3}"/>
    <dgm:cxn modelId="{8A113ED9-5810-4ACA-9815-6AB1DCDF27EC}" type="presOf" srcId="{34C447E7-81E5-4646-A890-CB954839F5FD}" destId="{33C14F12-66C3-4C72-B324-D50159583509}" srcOrd="0" destOrd="0" presId="urn:microsoft.com/office/officeart/2005/8/layout/cycle4#1"/>
    <dgm:cxn modelId="{8B798837-585F-4C9C-96E0-C4180F903715}" type="presOf" srcId="{6A78AF31-B1C1-4D58-8047-240320E90A38}" destId="{D5A6B471-0143-4BE4-8A97-020FCA4E4D04}" srcOrd="0" destOrd="0" presId="urn:microsoft.com/office/officeart/2005/8/layout/cycle4#1"/>
    <dgm:cxn modelId="{49AC2663-6269-4EA1-A5C8-DC51BF24344F}" type="presOf" srcId="{793C8706-9D4D-433B-A81B-0C9E26A2EDEE}" destId="{86FB1039-4968-40F4-8525-94B30E13C847}" srcOrd="0" destOrd="0" presId="urn:microsoft.com/office/officeart/2005/8/layout/cycle4#1"/>
    <dgm:cxn modelId="{C5AE6A94-04C2-4F9C-B52F-E8ADD9F097B2}" type="presOf" srcId="{A1E4428F-B827-40AB-963A-D521116C6D77}" destId="{141DC907-95B7-454C-B79A-A405FFB82A10}" srcOrd="0" destOrd="0" presId="urn:microsoft.com/office/officeart/2005/8/layout/cycle4#1"/>
    <dgm:cxn modelId="{5B933B02-33B9-46E9-9F8A-8D77D0C320E1}" type="presParOf" srcId="{D5A6B471-0143-4BE4-8A97-020FCA4E4D04}" destId="{B20BC55F-144B-4767-8B74-6FA95B331C59}" srcOrd="0" destOrd="0" presId="urn:microsoft.com/office/officeart/2005/8/layout/cycle4#1"/>
    <dgm:cxn modelId="{E3D33B1E-FE88-4807-A24C-D07F3AD95E80}" type="presParOf" srcId="{B20BC55F-144B-4767-8B74-6FA95B331C59}" destId="{3DD6D596-893C-4BE9-8655-BC35F812C1FE}" srcOrd="0" destOrd="0" presId="urn:microsoft.com/office/officeart/2005/8/layout/cycle4#1"/>
    <dgm:cxn modelId="{A1274F3E-4C7D-4312-9EA9-424CC33C26A4}" type="presParOf" srcId="{3DD6D596-893C-4BE9-8655-BC35F812C1FE}" destId="{B1C19C77-E419-4E45-BC1A-96FE33D25107}" srcOrd="0" destOrd="0" presId="urn:microsoft.com/office/officeart/2005/8/layout/cycle4#1"/>
    <dgm:cxn modelId="{0262DE61-C3D6-4A1B-AD57-54CB2C0D4D27}" type="presParOf" srcId="{3DD6D596-893C-4BE9-8655-BC35F812C1FE}" destId="{C04FB44E-1B76-46E5-965C-D20F8F700EE9}" srcOrd="1" destOrd="0" presId="urn:microsoft.com/office/officeart/2005/8/layout/cycle4#1"/>
    <dgm:cxn modelId="{8B5381B1-6E3E-4760-AC5F-F85E15E4AD84}" type="presParOf" srcId="{B20BC55F-144B-4767-8B74-6FA95B331C59}" destId="{75F6C4C7-30A6-4A5F-A95B-35D20C7C499C}" srcOrd="1" destOrd="0" presId="urn:microsoft.com/office/officeart/2005/8/layout/cycle4#1"/>
    <dgm:cxn modelId="{C0562F78-113F-4861-A77C-A80F2569D721}" type="presParOf" srcId="{75F6C4C7-30A6-4A5F-A95B-35D20C7C499C}" destId="{86FB1039-4968-40F4-8525-94B30E13C847}" srcOrd="0" destOrd="0" presId="urn:microsoft.com/office/officeart/2005/8/layout/cycle4#1"/>
    <dgm:cxn modelId="{DC8965C7-C6A7-4183-B90D-17A5DAB280A8}" type="presParOf" srcId="{75F6C4C7-30A6-4A5F-A95B-35D20C7C499C}" destId="{39BD4644-AB27-4975-AB75-54B5083FDBE4}" srcOrd="1" destOrd="0" presId="urn:microsoft.com/office/officeart/2005/8/layout/cycle4#1"/>
    <dgm:cxn modelId="{B2D6A2A4-5C22-475A-88FC-51F096E7FF22}" type="presParOf" srcId="{B20BC55F-144B-4767-8B74-6FA95B331C59}" destId="{4559A5F1-FE45-4152-A85D-E525C2A22526}" srcOrd="2" destOrd="0" presId="urn:microsoft.com/office/officeart/2005/8/layout/cycle4#1"/>
    <dgm:cxn modelId="{CA9A6582-74F7-4B3D-B87A-92E331D5B341}" type="presParOf" srcId="{4559A5F1-FE45-4152-A85D-E525C2A22526}" destId="{33C14F12-66C3-4C72-B324-D50159583509}" srcOrd="0" destOrd="0" presId="urn:microsoft.com/office/officeart/2005/8/layout/cycle4#1"/>
    <dgm:cxn modelId="{419647A9-DF10-47CE-BD94-23682F726B1B}" type="presParOf" srcId="{4559A5F1-FE45-4152-A85D-E525C2A22526}" destId="{E85DCEBF-1BFF-4D2F-9E5F-D0BA51A24511}" srcOrd="1" destOrd="0" presId="urn:microsoft.com/office/officeart/2005/8/layout/cycle4#1"/>
    <dgm:cxn modelId="{94C6ECB9-82AC-4A6B-9F05-377F50B0D01C}" type="presParOf" srcId="{B20BC55F-144B-4767-8B74-6FA95B331C59}" destId="{99C8B487-23B6-4D78-A064-C71FC81C967D}" srcOrd="3" destOrd="0" presId="urn:microsoft.com/office/officeart/2005/8/layout/cycle4#1"/>
    <dgm:cxn modelId="{17CA59FB-1143-4659-932F-83914987F04C}" type="presParOf" srcId="{99C8B487-23B6-4D78-A064-C71FC81C967D}" destId="{141DC907-95B7-454C-B79A-A405FFB82A10}" srcOrd="0" destOrd="0" presId="urn:microsoft.com/office/officeart/2005/8/layout/cycle4#1"/>
    <dgm:cxn modelId="{3200A76D-1451-4D06-857C-B52D72F26E3A}" type="presParOf" srcId="{99C8B487-23B6-4D78-A064-C71FC81C967D}" destId="{BB03066B-CDDD-4DE8-B6EF-9E9435A8B72E}" srcOrd="1" destOrd="0" presId="urn:microsoft.com/office/officeart/2005/8/layout/cycle4#1"/>
    <dgm:cxn modelId="{9AC624A6-AC79-47A9-9902-9E5C1A9189F1}" type="presParOf" srcId="{B20BC55F-144B-4767-8B74-6FA95B331C59}" destId="{FCA58EF5-DB26-4BB8-AA73-66DA89953130}" srcOrd="4" destOrd="0" presId="urn:microsoft.com/office/officeart/2005/8/layout/cycle4#1"/>
    <dgm:cxn modelId="{6C29BA0C-9BC2-4D7D-B8C8-DD459477F4C7}" type="presParOf" srcId="{D5A6B471-0143-4BE4-8A97-020FCA4E4D04}" destId="{52BFC4E6-5CCB-4520-B4A9-41DFB6A65AB5}" srcOrd="1" destOrd="0" presId="urn:microsoft.com/office/officeart/2005/8/layout/cycle4#1"/>
    <dgm:cxn modelId="{F1938412-6687-4CF2-B253-EB375305DBBE}" type="presParOf" srcId="{52BFC4E6-5CCB-4520-B4A9-41DFB6A65AB5}" destId="{23CC7ECA-BCD0-4E5A-97CC-8E99D1E0E910}" srcOrd="0" destOrd="0" presId="urn:microsoft.com/office/officeart/2005/8/layout/cycle4#1"/>
    <dgm:cxn modelId="{873F85C0-AE17-4CF7-B8F0-E13D2655D5D7}" type="presParOf" srcId="{52BFC4E6-5CCB-4520-B4A9-41DFB6A65AB5}" destId="{3858623A-02CE-4A93-B160-13500FA7F78C}" srcOrd="1" destOrd="0" presId="urn:microsoft.com/office/officeart/2005/8/layout/cycle4#1"/>
    <dgm:cxn modelId="{D177305C-EE7F-45B2-B657-6443F09883B2}" type="presParOf" srcId="{52BFC4E6-5CCB-4520-B4A9-41DFB6A65AB5}" destId="{27C91494-4BE6-4E4B-A956-10A4FC531EF7}" srcOrd="2" destOrd="0" presId="urn:microsoft.com/office/officeart/2005/8/layout/cycle4#1"/>
    <dgm:cxn modelId="{6034A6E8-FB71-4547-912A-0EAD2E4C4A54}" type="presParOf" srcId="{52BFC4E6-5CCB-4520-B4A9-41DFB6A65AB5}" destId="{B655FC8D-50CF-454D-8DCC-838BD9FE3E39}" srcOrd="3" destOrd="0" presId="urn:microsoft.com/office/officeart/2005/8/layout/cycle4#1"/>
    <dgm:cxn modelId="{27BD30EC-E971-434D-9C03-FF950B4C3601}" type="presParOf" srcId="{52BFC4E6-5CCB-4520-B4A9-41DFB6A65AB5}" destId="{FF74B844-8853-4E75-A767-53E054DE4EC9}" srcOrd="4" destOrd="0" presId="urn:microsoft.com/office/officeart/2005/8/layout/cycle4#1"/>
    <dgm:cxn modelId="{92065320-3D5B-40BD-B7F1-9ED81F33205B}" type="presParOf" srcId="{D5A6B471-0143-4BE4-8A97-020FCA4E4D04}" destId="{8E482354-2707-425C-A01D-B21A725F8440}" srcOrd="2" destOrd="0" presId="urn:microsoft.com/office/officeart/2005/8/layout/cycle4#1"/>
    <dgm:cxn modelId="{BE7A2599-265D-48C6-B519-F62AAFA7A9FF}" type="presParOf" srcId="{D5A6B471-0143-4BE4-8A97-020FCA4E4D04}" destId="{C467EBBC-A35D-4ABC-A82F-D975D2E7B827}" srcOrd="3" destOrd="0" presId="urn:microsoft.com/office/officeart/2005/8/layout/cycle4#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3C14F12-66C3-4C72-B324-D50159583509}">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b="0" i="0" kern="1200">
              <a:solidFill>
                <a:sysClr val="windowText" lastClr="000000"/>
              </a:solidFill>
              <a:latin typeface="Times New Roman" panose="02020603050405020304" pitchFamily="18" charset="0"/>
              <a:cs typeface="Times New Roman" panose="02020603050405020304" pitchFamily="18" charset="0"/>
            </a:rPr>
            <a:t>Good time management allows employees to accomplish more in a shorter period of time</a:t>
          </a:r>
          <a:endParaRPr lang="en-IN" sz="800" b="0" kern="1200">
            <a:solidFill>
              <a:sysClr val="windowText" lastClr="000000"/>
            </a:solidFill>
            <a:latin typeface="Times New Roman" panose="02020603050405020304" pitchFamily="18" charset="0"/>
            <a:cs typeface="Times New Roman" panose="02020603050405020304" pitchFamily="18" charset="0"/>
          </a:endParaRPr>
        </a:p>
      </dsp:txBody>
      <dsp:txXfrm>
        <a:off x="3716761" y="2432303"/>
        <a:ext cx="1106698" cy="768096"/>
      </dsp:txXfrm>
    </dsp:sp>
    <dsp:sp modelId="{141DC907-95B7-454C-B79A-A405FFB82A10}">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IN" sz="800" b="0" i="0" kern="1200">
              <a:solidFill>
                <a:sysClr val="windowText" lastClr="000000"/>
              </a:solidFill>
              <a:latin typeface="Times New Roman" panose="02020603050405020304" pitchFamily="18" charset="0"/>
              <a:cs typeface="Times New Roman" panose="02020603050405020304" pitchFamily="18" charset="0"/>
            </a:rPr>
            <a:t>Well-organized teams can achieve much more than any of its members could if they went solo</a:t>
          </a:r>
          <a:endParaRPr lang="en-IN" sz="800" b="0" kern="1200">
            <a:solidFill>
              <a:sysClr val="windowText" lastClr="000000"/>
            </a:solidFill>
            <a:latin typeface="Times New Roman" panose="02020603050405020304" pitchFamily="18" charset="0"/>
            <a:cs typeface="Times New Roman" panose="02020603050405020304" pitchFamily="18" charset="0"/>
          </a:endParaRPr>
        </a:p>
      </dsp:txBody>
      <dsp:txXfrm>
        <a:off x="662939" y="2432303"/>
        <a:ext cx="1106698" cy="768096"/>
      </dsp:txXfrm>
    </dsp:sp>
    <dsp:sp modelId="{86FB1039-4968-40F4-8525-94B30E13C847}">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b="0" i="0" kern="1200">
              <a:solidFill>
                <a:sysClr val="windowText" lastClr="000000"/>
              </a:solidFill>
              <a:latin typeface="Times New Roman" panose="02020603050405020304" pitchFamily="18" charset="0"/>
              <a:cs typeface="Times New Roman" panose="02020603050405020304" pitchFamily="18" charset="0"/>
            </a:rPr>
            <a:t>The ability to listen carefully allows workers to better understand assignments they are given</a:t>
          </a:r>
          <a:endParaRPr lang="en-IN" sz="800" b="0" kern="1200">
            <a:solidFill>
              <a:sysClr val="windowText" lastClr="000000"/>
            </a:solidFill>
            <a:latin typeface="Times New Roman" panose="02020603050405020304" pitchFamily="18" charset="0"/>
            <a:cs typeface="Times New Roman" panose="02020603050405020304" pitchFamily="18" charset="0"/>
          </a:endParaRPr>
        </a:p>
      </dsp:txBody>
      <dsp:txXfrm>
        <a:off x="3716761" y="0"/>
        <a:ext cx="1106698" cy="768096"/>
      </dsp:txXfrm>
    </dsp:sp>
    <dsp:sp modelId="{B1C19C77-E419-4E45-BC1A-96FE33D25107}">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IN" sz="800" b="0" i="0" kern="1200">
              <a:solidFill>
                <a:sysClr val="windowText" lastClr="000000"/>
              </a:solidFill>
              <a:latin typeface="Times New Roman" panose="02020603050405020304" pitchFamily="18" charset="0"/>
              <a:cs typeface="Times New Roman" panose="02020603050405020304" pitchFamily="18" charset="0"/>
            </a:rPr>
            <a:t>Good communication is an extremely versatile skill that is an important part of every role – which contributes to the smooth running of any workplace.</a:t>
          </a:r>
          <a:endParaRPr lang="en-IN" sz="800" b="0" kern="1200">
            <a:solidFill>
              <a:sysClr val="windowText" lastClr="000000"/>
            </a:solidFill>
            <a:latin typeface="Times New Roman" panose="02020603050405020304" pitchFamily="18" charset="0"/>
            <a:cs typeface="Times New Roman" panose="02020603050405020304" pitchFamily="18" charset="0"/>
          </a:endParaRPr>
        </a:p>
      </dsp:txBody>
      <dsp:txXfrm>
        <a:off x="662939" y="0"/>
        <a:ext cx="1106698" cy="768096"/>
      </dsp:txXfrm>
    </dsp:sp>
    <dsp:sp modelId="{23CC7ECA-BCD0-4E5A-97CC-8E99D1E0E910}">
      <dsp:nvSpPr>
        <dsp:cNvPr id="0" name=""/>
        <dsp:cNvSpPr/>
      </dsp:nvSpPr>
      <dsp:spPr>
        <a:xfrm>
          <a:off x="1325422" y="182422"/>
          <a:ext cx="1385773" cy="1385773"/>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IN" sz="1000" b="0" i="0" kern="1200">
              <a:solidFill>
                <a:sysClr val="windowText" lastClr="000000"/>
              </a:solidFill>
              <a:latin typeface="Times New Roman" panose="02020603050405020304" pitchFamily="18" charset="0"/>
              <a:cs typeface="Times New Roman" panose="02020603050405020304" pitchFamily="18" charset="0"/>
            </a:rPr>
            <a:t>Communication</a:t>
          </a:r>
          <a:endParaRPr lang="en-IN" sz="1000" b="0" kern="1200">
            <a:solidFill>
              <a:sysClr val="windowText" lastClr="000000"/>
            </a:solidFill>
            <a:latin typeface="Times New Roman" panose="02020603050405020304" pitchFamily="18" charset="0"/>
            <a:cs typeface="Times New Roman" panose="02020603050405020304" pitchFamily="18" charset="0"/>
          </a:endParaRPr>
        </a:p>
      </dsp:txBody>
      <dsp:txXfrm>
        <a:off x="1325422" y="182422"/>
        <a:ext cx="1385773" cy="1385773"/>
      </dsp:txXfrm>
    </dsp:sp>
    <dsp:sp modelId="{3858623A-02CE-4A93-B160-13500FA7F78C}">
      <dsp:nvSpPr>
        <dsp:cNvPr id="0" name=""/>
        <dsp:cNvSpPr/>
      </dsp:nvSpPr>
      <dsp:spPr>
        <a:xfrm rot="5400000">
          <a:off x="2775204" y="182422"/>
          <a:ext cx="1385773" cy="1385773"/>
        </a:xfrm>
        <a:prstGeom prst="pieWedge">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IN" sz="1000" b="0" i="0" kern="1200">
              <a:solidFill>
                <a:sysClr val="windowText" lastClr="000000"/>
              </a:solidFill>
              <a:latin typeface="Times New Roman" panose="02020603050405020304" pitchFamily="18" charset="0"/>
              <a:cs typeface="Times New Roman" panose="02020603050405020304" pitchFamily="18" charset="0"/>
            </a:rPr>
            <a:t>Listening</a:t>
          </a:r>
          <a:endParaRPr lang="en-IN" sz="1000" b="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775204" y="182422"/>
        <a:ext cx="1385773" cy="1385773"/>
      </dsp:txXfrm>
    </dsp:sp>
    <dsp:sp modelId="{27C91494-4BE6-4E4B-A956-10A4FC531EF7}">
      <dsp:nvSpPr>
        <dsp:cNvPr id="0" name=""/>
        <dsp:cNvSpPr/>
      </dsp:nvSpPr>
      <dsp:spPr>
        <a:xfrm rot="10800000">
          <a:off x="2775204" y="1632204"/>
          <a:ext cx="1385773" cy="1385773"/>
        </a:xfrm>
        <a:prstGeom prst="pieWedge">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IN" sz="1000" b="0" i="0" kern="1200">
              <a:solidFill>
                <a:sysClr val="windowText" lastClr="000000"/>
              </a:solidFill>
              <a:latin typeface="Times New Roman" panose="02020603050405020304" pitchFamily="18" charset="0"/>
              <a:cs typeface="Times New Roman" panose="02020603050405020304" pitchFamily="18" charset="0"/>
            </a:rPr>
            <a:t>Time management</a:t>
          </a:r>
          <a:endParaRPr lang="en-IN" sz="1000" b="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775204" y="1632204"/>
        <a:ext cx="1385773" cy="1385773"/>
      </dsp:txXfrm>
    </dsp:sp>
    <dsp:sp modelId="{B655FC8D-50CF-454D-8DCC-838BD9FE3E39}">
      <dsp:nvSpPr>
        <dsp:cNvPr id="0" name=""/>
        <dsp:cNvSpPr/>
      </dsp:nvSpPr>
      <dsp:spPr>
        <a:xfrm rot="16200000">
          <a:off x="1325422" y="1632204"/>
          <a:ext cx="1385773" cy="1385773"/>
        </a:xfrm>
        <a:prstGeom prst="pieWedg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buFont typeface="Arial" panose="020B0604020202020204" pitchFamily="34" charset="0"/>
            <a:buNone/>
          </a:pPr>
          <a:r>
            <a:rPr lang="en-IN" sz="1000" b="0" i="0" kern="1200">
              <a:solidFill>
                <a:sysClr val="windowText" lastClr="000000"/>
              </a:solidFill>
              <a:latin typeface="Times New Roman" panose="02020603050405020304" pitchFamily="18" charset="0"/>
              <a:cs typeface="Times New Roman" panose="02020603050405020304" pitchFamily="18" charset="0"/>
            </a:rPr>
            <a:t>Collaboration</a:t>
          </a:r>
        </a:p>
      </dsp:txBody>
      <dsp:txXfrm rot="16200000">
        <a:off x="1325422" y="1632204"/>
        <a:ext cx="1385773" cy="1385773"/>
      </dsp:txXfrm>
    </dsp:sp>
    <dsp:sp modelId="{8E482354-2707-425C-A01D-B21A725F8440}">
      <dsp:nvSpPr>
        <dsp:cNvPr id="0" name=""/>
        <dsp:cNvSpPr/>
      </dsp:nvSpPr>
      <dsp:spPr>
        <a:xfrm>
          <a:off x="2503970" y="1312164"/>
          <a:ext cx="478459" cy="416052"/>
        </a:xfrm>
        <a:prstGeom prst="circular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67EBBC-A35D-4ABC-A82F-D975D2E7B827}">
      <dsp:nvSpPr>
        <dsp:cNvPr id="0" name=""/>
        <dsp:cNvSpPr/>
      </dsp:nvSpPr>
      <dsp:spPr>
        <a:xfrm rot="10800000">
          <a:off x="2503970" y="1472184"/>
          <a:ext cx="478459" cy="416052"/>
        </a:xfrm>
        <a:prstGeom prst="circular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4DA5F-C9D7-4F98-8087-CB441AABC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dc:creator>
  <cp:lastModifiedBy>auror</cp:lastModifiedBy>
  <cp:revision>6</cp:revision>
  <dcterms:created xsi:type="dcterms:W3CDTF">2020-08-31T18:48:00Z</dcterms:created>
  <dcterms:modified xsi:type="dcterms:W3CDTF">2020-08-31T19:25:00Z</dcterms:modified>
</cp:coreProperties>
</file>