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B1C25A" w14:textId="77777777" w:rsidR="00F133A9" w:rsidRDefault="00151FE7" w:rsidP="00151FE7">
      <w:pPr>
        <w:jc w:val="center"/>
        <w:rPr>
          <w:rFonts w:ascii="Times New Roman" w:hAnsi="Times New Roman" w:cs="Times New Roman"/>
          <w:sz w:val="24"/>
          <w:szCs w:val="24"/>
        </w:rPr>
      </w:pPr>
      <w:r>
        <w:rPr>
          <w:rFonts w:ascii="Times New Roman" w:hAnsi="Times New Roman" w:cs="Times New Roman"/>
          <w:sz w:val="24"/>
          <w:szCs w:val="24"/>
        </w:rPr>
        <w:t>Joseph Ogden</w:t>
      </w:r>
    </w:p>
    <w:p w14:paraId="5579A5C0" w14:textId="52D13D4D" w:rsidR="00151FE7" w:rsidRDefault="00151FE7" w:rsidP="00151FE7">
      <w:pPr>
        <w:jc w:val="center"/>
        <w:rPr>
          <w:rFonts w:ascii="Times New Roman" w:hAnsi="Times New Roman" w:cs="Times New Roman"/>
          <w:sz w:val="24"/>
          <w:szCs w:val="24"/>
        </w:rPr>
      </w:pPr>
      <w:r>
        <w:rPr>
          <w:rFonts w:ascii="Times New Roman" w:hAnsi="Times New Roman" w:cs="Times New Roman"/>
          <w:sz w:val="24"/>
          <w:szCs w:val="24"/>
        </w:rPr>
        <w:t>1704684</w:t>
      </w:r>
    </w:p>
    <w:p w14:paraId="4029A22B" w14:textId="7A6045BE" w:rsidR="00151FE7" w:rsidRDefault="00151FE7" w:rsidP="00151FE7">
      <w:pPr>
        <w:jc w:val="center"/>
        <w:rPr>
          <w:rFonts w:ascii="Times New Roman" w:hAnsi="Times New Roman" w:cs="Times New Roman"/>
          <w:sz w:val="24"/>
          <w:szCs w:val="24"/>
        </w:rPr>
      </w:pPr>
      <w:r>
        <w:rPr>
          <w:rFonts w:ascii="Times New Roman" w:hAnsi="Times New Roman" w:cs="Times New Roman"/>
          <w:sz w:val="24"/>
          <w:szCs w:val="24"/>
        </w:rPr>
        <w:t>Word Count</w:t>
      </w:r>
      <w:r w:rsidR="00834F75">
        <w:rPr>
          <w:rFonts w:ascii="Times New Roman" w:hAnsi="Times New Roman" w:cs="Times New Roman"/>
          <w:sz w:val="24"/>
          <w:szCs w:val="24"/>
        </w:rPr>
        <w:t>:</w:t>
      </w:r>
      <w:r w:rsidR="00983198">
        <w:rPr>
          <w:rFonts w:ascii="Times New Roman" w:hAnsi="Times New Roman" w:cs="Times New Roman"/>
          <w:sz w:val="24"/>
          <w:szCs w:val="24"/>
        </w:rPr>
        <w:t xml:space="preserve"> </w:t>
      </w:r>
      <w:r w:rsidR="0086289A">
        <w:rPr>
          <w:rFonts w:ascii="Times New Roman" w:hAnsi="Times New Roman" w:cs="Times New Roman"/>
          <w:sz w:val="24"/>
          <w:szCs w:val="24"/>
        </w:rPr>
        <w:t>2426</w:t>
      </w:r>
    </w:p>
    <w:p w14:paraId="28725526" w14:textId="55734DC5" w:rsidR="00751B8D" w:rsidRPr="001B3FC7" w:rsidRDefault="008B538F" w:rsidP="001B3FC7">
      <w:pPr>
        <w:jc w:val="center"/>
        <w:rPr>
          <w:rFonts w:ascii="Times New Roman" w:hAnsi="Times New Roman" w:cs="Times New Roman"/>
          <w:sz w:val="24"/>
          <w:szCs w:val="24"/>
        </w:rPr>
      </w:pPr>
      <w:r w:rsidRPr="001B3FC7">
        <w:rPr>
          <w:rFonts w:ascii="Times New Roman" w:hAnsi="Times New Roman" w:cs="Times New Roman"/>
          <w:sz w:val="24"/>
          <w:szCs w:val="24"/>
        </w:rPr>
        <w:t>Critically outline the main themes presented in 1 and 2 Maccabees. In your answer, please also refer to the differences between 1 and 2 Maccabees.</w:t>
      </w:r>
    </w:p>
    <w:p w14:paraId="7A5CCEB7" w14:textId="77777777" w:rsidR="008B538F" w:rsidRPr="008B538F" w:rsidRDefault="008B538F" w:rsidP="008B538F">
      <w:pPr>
        <w:pStyle w:val="ListParagraph"/>
        <w:ind w:left="1080"/>
        <w:rPr>
          <w:rFonts w:ascii="Times New Roman" w:hAnsi="Times New Roman" w:cs="Times New Roman"/>
          <w:sz w:val="24"/>
          <w:szCs w:val="24"/>
        </w:rPr>
      </w:pPr>
    </w:p>
    <w:p w14:paraId="44384813" w14:textId="3E31D8DE" w:rsidR="00751B8D" w:rsidRDefault="00751B8D" w:rsidP="00751B8D">
      <w:pPr>
        <w:jc w:val="center"/>
        <w:rPr>
          <w:rFonts w:ascii="Times New Roman" w:hAnsi="Times New Roman" w:cs="Times New Roman"/>
          <w:sz w:val="24"/>
          <w:szCs w:val="24"/>
        </w:rPr>
      </w:pPr>
    </w:p>
    <w:p w14:paraId="19599FEE" w14:textId="1E593ACA" w:rsidR="00751B8D" w:rsidRDefault="00751B8D" w:rsidP="00751B8D">
      <w:pPr>
        <w:jc w:val="center"/>
        <w:rPr>
          <w:rFonts w:ascii="Times New Roman" w:hAnsi="Times New Roman" w:cs="Times New Roman"/>
          <w:sz w:val="24"/>
          <w:szCs w:val="24"/>
        </w:rPr>
      </w:pPr>
    </w:p>
    <w:p w14:paraId="60311C3E" w14:textId="57154D97" w:rsidR="00751B8D" w:rsidRDefault="00751B8D" w:rsidP="00751B8D">
      <w:pPr>
        <w:jc w:val="center"/>
        <w:rPr>
          <w:rFonts w:ascii="Times New Roman" w:hAnsi="Times New Roman" w:cs="Times New Roman"/>
          <w:sz w:val="24"/>
          <w:szCs w:val="24"/>
        </w:rPr>
      </w:pPr>
    </w:p>
    <w:p w14:paraId="674E763D" w14:textId="481B00F0" w:rsidR="00751B8D" w:rsidRDefault="00751B8D" w:rsidP="00751B8D">
      <w:pPr>
        <w:jc w:val="center"/>
        <w:rPr>
          <w:rFonts w:ascii="Times New Roman" w:hAnsi="Times New Roman" w:cs="Times New Roman"/>
          <w:sz w:val="24"/>
          <w:szCs w:val="24"/>
        </w:rPr>
      </w:pPr>
    </w:p>
    <w:p w14:paraId="4EFFDDEA" w14:textId="48F134F8" w:rsidR="00751B8D" w:rsidRDefault="00751B8D" w:rsidP="00751B8D">
      <w:pPr>
        <w:jc w:val="center"/>
        <w:rPr>
          <w:rFonts w:ascii="Times New Roman" w:hAnsi="Times New Roman" w:cs="Times New Roman"/>
          <w:sz w:val="24"/>
          <w:szCs w:val="24"/>
        </w:rPr>
      </w:pPr>
    </w:p>
    <w:p w14:paraId="6889FB90" w14:textId="1084AB9E" w:rsidR="00751B8D" w:rsidRDefault="00751B8D" w:rsidP="00751B8D">
      <w:pPr>
        <w:jc w:val="center"/>
        <w:rPr>
          <w:rFonts w:ascii="Times New Roman" w:hAnsi="Times New Roman" w:cs="Times New Roman"/>
          <w:sz w:val="24"/>
          <w:szCs w:val="24"/>
        </w:rPr>
      </w:pPr>
    </w:p>
    <w:p w14:paraId="4CB879E1" w14:textId="5C289064" w:rsidR="00751B8D" w:rsidRDefault="00751B8D" w:rsidP="00751B8D">
      <w:pPr>
        <w:jc w:val="center"/>
        <w:rPr>
          <w:rFonts w:ascii="Times New Roman" w:hAnsi="Times New Roman" w:cs="Times New Roman"/>
          <w:sz w:val="24"/>
          <w:szCs w:val="24"/>
        </w:rPr>
      </w:pPr>
    </w:p>
    <w:p w14:paraId="1B383C80" w14:textId="5775AAC1" w:rsidR="00751B8D" w:rsidRDefault="00751B8D" w:rsidP="00751B8D">
      <w:pPr>
        <w:jc w:val="center"/>
        <w:rPr>
          <w:rFonts w:ascii="Times New Roman" w:hAnsi="Times New Roman" w:cs="Times New Roman"/>
          <w:sz w:val="24"/>
          <w:szCs w:val="24"/>
        </w:rPr>
      </w:pPr>
    </w:p>
    <w:p w14:paraId="5824870D" w14:textId="0C5DEEDE" w:rsidR="00751B8D" w:rsidRDefault="00751B8D" w:rsidP="00751B8D">
      <w:pPr>
        <w:jc w:val="center"/>
        <w:rPr>
          <w:rFonts w:ascii="Times New Roman" w:hAnsi="Times New Roman" w:cs="Times New Roman"/>
          <w:sz w:val="24"/>
          <w:szCs w:val="24"/>
        </w:rPr>
      </w:pPr>
    </w:p>
    <w:p w14:paraId="0AA178C4" w14:textId="6FA2C0EE" w:rsidR="00751B8D" w:rsidRDefault="00751B8D" w:rsidP="00751B8D">
      <w:pPr>
        <w:jc w:val="center"/>
        <w:rPr>
          <w:rFonts w:ascii="Times New Roman" w:hAnsi="Times New Roman" w:cs="Times New Roman"/>
          <w:sz w:val="24"/>
          <w:szCs w:val="24"/>
        </w:rPr>
      </w:pPr>
    </w:p>
    <w:p w14:paraId="51D06079" w14:textId="4211DF18" w:rsidR="00751B8D" w:rsidRDefault="00751B8D" w:rsidP="00751B8D">
      <w:pPr>
        <w:jc w:val="center"/>
        <w:rPr>
          <w:rFonts w:ascii="Times New Roman" w:hAnsi="Times New Roman" w:cs="Times New Roman"/>
          <w:sz w:val="24"/>
          <w:szCs w:val="24"/>
        </w:rPr>
      </w:pPr>
    </w:p>
    <w:p w14:paraId="42A86D17" w14:textId="526DEF3C" w:rsidR="00751B8D" w:rsidRDefault="00751B8D" w:rsidP="00751B8D">
      <w:pPr>
        <w:jc w:val="center"/>
        <w:rPr>
          <w:rFonts w:ascii="Times New Roman" w:hAnsi="Times New Roman" w:cs="Times New Roman"/>
          <w:sz w:val="24"/>
          <w:szCs w:val="24"/>
        </w:rPr>
      </w:pPr>
    </w:p>
    <w:p w14:paraId="5E7FAF81" w14:textId="637CD87B" w:rsidR="00751B8D" w:rsidRDefault="00751B8D" w:rsidP="00751B8D">
      <w:pPr>
        <w:jc w:val="center"/>
        <w:rPr>
          <w:rFonts w:ascii="Times New Roman" w:hAnsi="Times New Roman" w:cs="Times New Roman"/>
          <w:sz w:val="24"/>
          <w:szCs w:val="24"/>
        </w:rPr>
      </w:pPr>
    </w:p>
    <w:p w14:paraId="4789C0BF" w14:textId="0AB445F8" w:rsidR="00751B8D" w:rsidRDefault="00751B8D" w:rsidP="00751B8D">
      <w:pPr>
        <w:jc w:val="center"/>
        <w:rPr>
          <w:rFonts w:ascii="Times New Roman" w:hAnsi="Times New Roman" w:cs="Times New Roman"/>
          <w:sz w:val="24"/>
          <w:szCs w:val="24"/>
        </w:rPr>
      </w:pPr>
    </w:p>
    <w:p w14:paraId="40ECE1C2" w14:textId="0C4A1FCA" w:rsidR="00751B8D" w:rsidRDefault="00C112A8" w:rsidP="00751B8D">
      <w:pPr>
        <w:rPr>
          <w:rFonts w:ascii="Times New Roman" w:hAnsi="Times New Roman" w:cs="Times New Roman"/>
          <w:sz w:val="24"/>
          <w:szCs w:val="24"/>
        </w:rPr>
      </w:pPr>
      <w:r>
        <w:rPr>
          <w:rFonts w:ascii="Times New Roman" w:hAnsi="Times New Roman" w:cs="Times New Roman"/>
          <w:sz w:val="24"/>
          <w:szCs w:val="24"/>
        </w:rPr>
        <w:lastRenderedPageBreak/>
        <w:t>1 and 2 Maccabees</w:t>
      </w:r>
      <w:r w:rsidR="008D6AB6">
        <w:rPr>
          <w:rFonts w:ascii="Times New Roman" w:hAnsi="Times New Roman" w:cs="Times New Roman"/>
          <w:sz w:val="24"/>
          <w:szCs w:val="24"/>
        </w:rPr>
        <w:t xml:space="preserve"> are both deuterocanonical books that</w:t>
      </w:r>
      <w:r>
        <w:rPr>
          <w:rFonts w:ascii="Times New Roman" w:hAnsi="Times New Roman" w:cs="Times New Roman"/>
          <w:sz w:val="24"/>
          <w:szCs w:val="24"/>
        </w:rPr>
        <w:t xml:space="preserve"> primarily </w:t>
      </w:r>
      <w:r w:rsidR="00B034BE">
        <w:rPr>
          <w:rFonts w:ascii="Times New Roman" w:hAnsi="Times New Roman" w:cs="Times New Roman"/>
          <w:sz w:val="24"/>
          <w:szCs w:val="24"/>
        </w:rPr>
        <w:t xml:space="preserve">deal with the repression of </w:t>
      </w:r>
      <w:r w:rsidR="00E50724">
        <w:rPr>
          <w:rFonts w:ascii="Times New Roman" w:hAnsi="Times New Roman" w:cs="Times New Roman"/>
          <w:sz w:val="24"/>
          <w:szCs w:val="24"/>
        </w:rPr>
        <w:t>Jewish practices under the Seleucids</w:t>
      </w:r>
      <w:r w:rsidR="00634919">
        <w:rPr>
          <w:rFonts w:ascii="Times New Roman" w:hAnsi="Times New Roman" w:cs="Times New Roman"/>
          <w:sz w:val="24"/>
          <w:szCs w:val="24"/>
        </w:rPr>
        <w:t xml:space="preserve"> </w:t>
      </w:r>
      <w:r w:rsidR="00C50F56">
        <w:rPr>
          <w:rFonts w:ascii="Times New Roman" w:hAnsi="Times New Roman" w:cs="Times New Roman"/>
          <w:sz w:val="24"/>
          <w:szCs w:val="24"/>
        </w:rPr>
        <w:t>in the reign of Antiochus IV</w:t>
      </w:r>
      <w:r w:rsidR="00570B3E">
        <w:rPr>
          <w:rFonts w:ascii="Times New Roman" w:hAnsi="Times New Roman" w:cs="Times New Roman"/>
          <w:sz w:val="24"/>
          <w:szCs w:val="24"/>
        </w:rPr>
        <w:t>,</w:t>
      </w:r>
      <w:r w:rsidR="00C50F56">
        <w:rPr>
          <w:rFonts w:ascii="Times New Roman" w:hAnsi="Times New Roman" w:cs="Times New Roman"/>
          <w:sz w:val="24"/>
          <w:szCs w:val="24"/>
        </w:rPr>
        <w:t xml:space="preserve"> </w:t>
      </w:r>
      <w:r w:rsidR="00634919">
        <w:rPr>
          <w:rFonts w:ascii="Times New Roman" w:hAnsi="Times New Roman" w:cs="Times New Roman"/>
          <w:sz w:val="24"/>
          <w:szCs w:val="24"/>
        </w:rPr>
        <w:t>and</w:t>
      </w:r>
      <w:r w:rsidR="00570B3E">
        <w:rPr>
          <w:rFonts w:ascii="Times New Roman" w:hAnsi="Times New Roman" w:cs="Times New Roman"/>
          <w:sz w:val="24"/>
          <w:szCs w:val="24"/>
        </w:rPr>
        <w:t xml:space="preserve"> further</w:t>
      </w:r>
      <w:r w:rsidR="00634919">
        <w:rPr>
          <w:rFonts w:ascii="Times New Roman" w:hAnsi="Times New Roman" w:cs="Times New Roman"/>
          <w:sz w:val="24"/>
          <w:szCs w:val="24"/>
        </w:rPr>
        <w:t xml:space="preserve"> the events leading up to</w:t>
      </w:r>
      <w:r w:rsidR="009F0AF8">
        <w:rPr>
          <w:rFonts w:ascii="Times New Roman" w:hAnsi="Times New Roman" w:cs="Times New Roman"/>
          <w:sz w:val="24"/>
          <w:szCs w:val="24"/>
        </w:rPr>
        <w:t>, beyond (in the case of 1 Maccabees)</w:t>
      </w:r>
      <w:r w:rsidR="00634919">
        <w:rPr>
          <w:rFonts w:ascii="Times New Roman" w:hAnsi="Times New Roman" w:cs="Times New Roman"/>
          <w:sz w:val="24"/>
          <w:szCs w:val="24"/>
        </w:rPr>
        <w:t xml:space="preserve"> and including the </w:t>
      </w:r>
      <w:r w:rsidR="00570B3E">
        <w:rPr>
          <w:rFonts w:ascii="Times New Roman" w:hAnsi="Times New Roman" w:cs="Times New Roman"/>
          <w:sz w:val="24"/>
          <w:szCs w:val="24"/>
        </w:rPr>
        <w:t xml:space="preserve">Maccabean revolt which sought to </w:t>
      </w:r>
      <w:r w:rsidR="004C307D">
        <w:rPr>
          <w:rFonts w:ascii="Times New Roman" w:hAnsi="Times New Roman" w:cs="Times New Roman"/>
          <w:sz w:val="24"/>
          <w:szCs w:val="24"/>
        </w:rPr>
        <w:t xml:space="preserve">counteract </w:t>
      </w:r>
      <w:r w:rsidR="00CD68B0">
        <w:rPr>
          <w:rFonts w:ascii="Times New Roman" w:hAnsi="Times New Roman" w:cs="Times New Roman"/>
          <w:sz w:val="24"/>
          <w:szCs w:val="24"/>
        </w:rPr>
        <w:t>this oppression.</w:t>
      </w:r>
      <w:r w:rsidR="00864720">
        <w:rPr>
          <w:rFonts w:ascii="Times New Roman" w:hAnsi="Times New Roman" w:cs="Times New Roman"/>
          <w:sz w:val="24"/>
          <w:szCs w:val="24"/>
        </w:rPr>
        <w:t xml:space="preserve"> However, whilst an over-arching narrative</w:t>
      </w:r>
      <w:r w:rsidR="00F943B1">
        <w:rPr>
          <w:rFonts w:ascii="Times New Roman" w:hAnsi="Times New Roman" w:cs="Times New Roman"/>
          <w:sz w:val="24"/>
          <w:szCs w:val="24"/>
        </w:rPr>
        <w:t xml:space="preserve"> and shared themes</w:t>
      </w:r>
      <w:r w:rsidR="00864720">
        <w:rPr>
          <w:rFonts w:ascii="Times New Roman" w:hAnsi="Times New Roman" w:cs="Times New Roman"/>
          <w:sz w:val="24"/>
          <w:szCs w:val="24"/>
        </w:rPr>
        <w:t xml:space="preserve"> can be </w:t>
      </w:r>
      <w:r w:rsidR="00804D29">
        <w:rPr>
          <w:rFonts w:ascii="Times New Roman" w:hAnsi="Times New Roman" w:cs="Times New Roman"/>
          <w:sz w:val="24"/>
          <w:szCs w:val="24"/>
        </w:rPr>
        <w:t>identified</w:t>
      </w:r>
      <w:r w:rsidR="00864720">
        <w:rPr>
          <w:rFonts w:ascii="Times New Roman" w:hAnsi="Times New Roman" w:cs="Times New Roman"/>
          <w:sz w:val="24"/>
          <w:szCs w:val="24"/>
        </w:rPr>
        <w:t xml:space="preserve"> within 1 and 2 Maccabees, </w:t>
      </w:r>
      <w:r w:rsidR="0045452D">
        <w:rPr>
          <w:rFonts w:ascii="Times New Roman" w:hAnsi="Times New Roman" w:cs="Times New Roman"/>
          <w:sz w:val="24"/>
          <w:szCs w:val="24"/>
        </w:rPr>
        <w:t>key differences can be observed in</w:t>
      </w:r>
      <w:r w:rsidR="00804D29">
        <w:rPr>
          <w:rFonts w:ascii="Times New Roman" w:hAnsi="Times New Roman" w:cs="Times New Roman"/>
          <w:sz w:val="24"/>
          <w:szCs w:val="24"/>
        </w:rPr>
        <w:t xml:space="preserve"> equal measure in</w:t>
      </w:r>
      <w:r w:rsidR="0045452D">
        <w:rPr>
          <w:rFonts w:ascii="Times New Roman" w:hAnsi="Times New Roman" w:cs="Times New Roman"/>
          <w:sz w:val="24"/>
          <w:szCs w:val="24"/>
        </w:rPr>
        <w:t xml:space="preserve"> terms of content</w:t>
      </w:r>
      <w:r w:rsidR="00F943B1">
        <w:rPr>
          <w:rFonts w:ascii="Times New Roman" w:hAnsi="Times New Roman" w:cs="Times New Roman"/>
          <w:sz w:val="24"/>
          <w:szCs w:val="24"/>
        </w:rPr>
        <w:t>,</w:t>
      </w:r>
      <w:r w:rsidR="0045452D">
        <w:rPr>
          <w:rFonts w:ascii="Times New Roman" w:hAnsi="Times New Roman" w:cs="Times New Roman"/>
          <w:sz w:val="24"/>
          <w:szCs w:val="24"/>
        </w:rPr>
        <w:t xml:space="preserve"> authorship</w:t>
      </w:r>
      <w:r w:rsidR="00F943B1">
        <w:rPr>
          <w:rFonts w:ascii="Times New Roman" w:hAnsi="Times New Roman" w:cs="Times New Roman"/>
          <w:sz w:val="24"/>
          <w:szCs w:val="24"/>
        </w:rPr>
        <w:t>, and also the manner in which certain themes are put to use.</w:t>
      </w:r>
      <w:r w:rsidR="0045452D">
        <w:rPr>
          <w:rFonts w:ascii="Times New Roman" w:hAnsi="Times New Roman" w:cs="Times New Roman"/>
          <w:sz w:val="24"/>
          <w:szCs w:val="24"/>
        </w:rPr>
        <w:t xml:space="preserve"> As such, this essay will explore</w:t>
      </w:r>
      <w:r w:rsidR="00E1679E">
        <w:rPr>
          <w:rFonts w:ascii="Times New Roman" w:hAnsi="Times New Roman" w:cs="Times New Roman"/>
          <w:sz w:val="24"/>
          <w:szCs w:val="24"/>
        </w:rPr>
        <w:t xml:space="preserve"> a number of</w:t>
      </w:r>
      <w:r w:rsidR="0045452D">
        <w:rPr>
          <w:rFonts w:ascii="Times New Roman" w:hAnsi="Times New Roman" w:cs="Times New Roman"/>
          <w:sz w:val="24"/>
          <w:szCs w:val="24"/>
        </w:rPr>
        <w:t xml:space="preserve"> </w:t>
      </w:r>
      <w:r w:rsidR="00F943B1">
        <w:rPr>
          <w:rFonts w:ascii="Times New Roman" w:hAnsi="Times New Roman" w:cs="Times New Roman"/>
          <w:sz w:val="24"/>
          <w:szCs w:val="24"/>
        </w:rPr>
        <w:t xml:space="preserve">these </w:t>
      </w:r>
      <w:r w:rsidR="00902C10">
        <w:rPr>
          <w:rFonts w:ascii="Times New Roman" w:hAnsi="Times New Roman" w:cs="Times New Roman"/>
          <w:sz w:val="24"/>
          <w:szCs w:val="24"/>
        </w:rPr>
        <w:t>themes</w:t>
      </w:r>
      <w:r w:rsidR="0051612A">
        <w:rPr>
          <w:rFonts w:ascii="Times New Roman" w:hAnsi="Times New Roman" w:cs="Times New Roman"/>
          <w:sz w:val="24"/>
          <w:szCs w:val="24"/>
        </w:rPr>
        <w:t xml:space="preserve"> (notably tradition; martyrdom; human action versus divine intervention; and heroism)</w:t>
      </w:r>
      <w:r w:rsidR="00902C10">
        <w:rPr>
          <w:rFonts w:ascii="Times New Roman" w:hAnsi="Times New Roman" w:cs="Times New Roman"/>
          <w:sz w:val="24"/>
          <w:szCs w:val="24"/>
        </w:rPr>
        <w:t xml:space="preserve"> in full, </w:t>
      </w:r>
      <w:r w:rsidR="00E82CF2">
        <w:rPr>
          <w:rFonts w:ascii="Times New Roman" w:hAnsi="Times New Roman" w:cs="Times New Roman"/>
          <w:sz w:val="24"/>
          <w:szCs w:val="24"/>
        </w:rPr>
        <w:t>specifically focusing on those differences which separate the two texts and the implications of these differences on the reading and interpretation of the Maccabees as a whole.</w:t>
      </w:r>
    </w:p>
    <w:p w14:paraId="12CF645E" w14:textId="394A1E26" w:rsidR="00F50DE8" w:rsidRDefault="00F50DE8" w:rsidP="00751B8D">
      <w:pPr>
        <w:rPr>
          <w:rFonts w:ascii="Times New Roman" w:hAnsi="Times New Roman" w:cs="Times New Roman"/>
          <w:sz w:val="24"/>
          <w:szCs w:val="24"/>
        </w:rPr>
      </w:pPr>
    </w:p>
    <w:p w14:paraId="2D30EAF1" w14:textId="77777777" w:rsidR="001F53E0" w:rsidRDefault="00F50DE8" w:rsidP="00751B8D">
      <w:pPr>
        <w:rPr>
          <w:rFonts w:ascii="Times New Roman" w:hAnsi="Times New Roman" w:cs="Times New Roman"/>
          <w:sz w:val="24"/>
          <w:szCs w:val="24"/>
        </w:rPr>
      </w:pPr>
      <w:r>
        <w:rPr>
          <w:rFonts w:ascii="Times New Roman" w:hAnsi="Times New Roman" w:cs="Times New Roman"/>
          <w:sz w:val="24"/>
          <w:szCs w:val="24"/>
        </w:rPr>
        <w:t xml:space="preserve">It is worthwhile to begin by </w:t>
      </w:r>
      <w:r w:rsidR="00A96A21">
        <w:rPr>
          <w:rFonts w:ascii="Times New Roman" w:hAnsi="Times New Roman" w:cs="Times New Roman"/>
          <w:sz w:val="24"/>
          <w:szCs w:val="24"/>
        </w:rPr>
        <w:t xml:space="preserve">examining the authorship and original language of the texts, both of which </w:t>
      </w:r>
      <w:r w:rsidR="00766936">
        <w:rPr>
          <w:rFonts w:ascii="Times New Roman" w:hAnsi="Times New Roman" w:cs="Times New Roman"/>
          <w:sz w:val="24"/>
          <w:szCs w:val="24"/>
        </w:rPr>
        <w:t>illuminate</w:t>
      </w:r>
      <w:r w:rsidR="00DB5836">
        <w:rPr>
          <w:rFonts w:ascii="Times New Roman" w:hAnsi="Times New Roman" w:cs="Times New Roman"/>
          <w:sz w:val="24"/>
          <w:szCs w:val="24"/>
        </w:rPr>
        <w:t xml:space="preserve"> certain</w:t>
      </w:r>
      <w:r w:rsidR="00766936">
        <w:rPr>
          <w:rFonts w:ascii="Times New Roman" w:hAnsi="Times New Roman" w:cs="Times New Roman"/>
          <w:sz w:val="24"/>
          <w:szCs w:val="24"/>
        </w:rPr>
        <w:t xml:space="preserve"> </w:t>
      </w:r>
      <w:r w:rsidR="00DB5836">
        <w:rPr>
          <w:rFonts w:ascii="Times New Roman" w:hAnsi="Times New Roman" w:cs="Times New Roman"/>
          <w:sz w:val="24"/>
          <w:szCs w:val="24"/>
        </w:rPr>
        <w:t xml:space="preserve">contextual elements </w:t>
      </w:r>
      <w:r w:rsidR="00285720">
        <w:rPr>
          <w:rFonts w:ascii="Times New Roman" w:hAnsi="Times New Roman" w:cs="Times New Roman"/>
          <w:sz w:val="24"/>
          <w:szCs w:val="24"/>
        </w:rPr>
        <w:t xml:space="preserve">which are key to understanding </w:t>
      </w:r>
      <w:r w:rsidR="008E4076">
        <w:rPr>
          <w:rFonts w:ascii="Times New Roman" w:hAnsi="Times New Roman" w:cs="Times New Roman"/>
          <w:sz w:val="24"/>
          <w:szCs w:val="24"/>
        </w:rPr>
        <w:t xml:space="preserve">the books </w:t>
      </w:r>
      <w:r w:rsidR="00EF0D79">
        <w:rPr>
          <w:rFonts w:ascii="Times New Roman" w:hAnsi="Times New Roman" w:cs="Times New Roman"/>
          <w:sz w:val="24"/>
          <w:szCs w:val="24"/>
        </w:rPr>
        <w:t xml:space="preserve">in terms of their similarities and differences. </w:t>
      </w:r>
      <w:r w:rsidR="000A686F">
        <w:rPr>
          <w:rFonts w:ascii="Times New Roman" w:hAnsi="Times New Roman" w:cs="Times New Roman"/>
          <w:sz w:val="24"/>
          <w:szCs w:val="24"/>
        </w:rPr>
        <w:t>1 Maccabees</w:t>
      </w:r>
      <w:r w:rsidR="00156A78">
        <w:rPr>
          <w:rFonts w:ascii="Times New Roman" w:hAnsi="Times New Roman" w:cs="Times New Roman"/>
          <w:sz w:val="24"/>
          <w:szCs w:val="24"/>
        </w:rPr>
        <w:t>, likely written in the time of John Hyrcanus after 134 B.C.E.,</w:t>
      </w:r>
      <w:r w:rsidR="000A686F">
        <w:rPr>
          <w:rFonts w:ascii="Times New Roman" w:hAnsi="Times New Roman" w:cs="Times New Roman"/>
          <w:sz w:val="24"/>
          <w:szCs w:val="24"/>
        </w:rPr>
        <w:t xml:space="preserve"> </w:t>
      </w:r>
      <w:r w:rsidR="005D163C">
        <w:rPr>
          <w:rFonts w:ascii="Times New Roman" w:hAnsi="Times New Roman" w:cs="Times New Roman"/>
          <w:sz w:val="24"/>
          <w:szCs w:val="24"/>
        </w:rPr>
        <w:t xml:space="preserve">is perhaps more complicated in terms of tracing its linguistic history, </w:t>
      </w:r>
      <w:r w:rsidR="00715193">
        <w:rPr>
          <w:rFonts w:ascii="Times New Roman" w:hAnsi="Times New Roman" w:cs="Times New Roman"/>
          <w:sz w:val="24"/>
          <w:szCs w:val="24"/>
        </w:rPr>
        <w:t xml:space="preserve">with the supposed original Hebrew version </w:t>
      </w:r>
      <w:r w:rsidR="003C501D">
        <w:rPr>
          <w:rFonts w:ascii="Times New Roman" w:hAnsi="Times New Roman" w:cs="Times New Roman"/>
          <w:sz w:val="24"/>
          <w:szCs w:val="24"/>
        </w:rPr>
        <w:t>being lost</w:t>
      </w:r>
      <w:r w:rsidR="007D62DA">
        <w:rPr>
          <w:rFonts w:ascii="Times New Roman" w:hAnsi="Times New Roman" w:cs="Times New Roman"/>
          <w:sz w:val="24"/>
          <w:szCs w:val="24"/>
        </w:rPr>
        <w:t xml:space="preserve"> </w:t>
      </w:r>
      <w:r w:rsidR="00550A56">
        <w:rPr>
          <w:rFonts w:ascii="Times New Roman" w:hAnsi="Times New Roman" w:cs="Times New Roman"/>
          <w:sz w:val="24"/>
          <w:szCs w:val="24"/>
        </w:rPr>
        <w:t xml:space="preserve">and </w:t>
      </w:r>
      <w:r w:rsidR="00C80AD2">
        <w:rPr>
          <w:rFonts w:ascii="Times New Roman" w:hAnsi="Times New Roman" w:cs="Times New Roman"/>
          <w:sz w:val="24"/>
          <w:szCs w:val="24"/>
        </w:rPr>
        <w:t xml:space="preserve">debates in the scholarship as to whether </w:t>
      </w:r>
      <w:r w:rsidR="003B2D50">
        <w:rPr>
          <w:rFonts w:ascii="Times New Roman" w:hAnsi="Times New Roman" w:cs="Times New Roman"/>
          <w:sz w:val="24"/>
          <w:szCs w:val="24"/>
        </w:rPr>
        <w:t>the original was in fact in ‘Septuagintal Greek’ rather than Hebrew</w:t>
      </w:r>
      <w:r w:rsidR="006469EC">
        <w:rPr>
          <w:rFonts w:ascii="Times New Roman" w:hAnsi="Times New Roman" w:cs="Times New Roman"/>
          <w:sz w:val="24"/>
          <w:szCs w:val="24"/>
        </w:rPr>
        <w:t>.</w:t>
      </w:r>
      <w:r w:rsidR="00E45567">
        <w:rPr>
          <w:rFonts w:ascii="Times New Roman" w:hAnsi="Times New Roman" w:cs="Times New Roman"/>
          <w:sz w:val="24"/>
          <w:szCs w:val="24"/>
        </w:rPr>
        <w:t xml:space="preserve"> Darshan argues that</w:t>
      </w:r>
      <w:r w:rsidR="00E67481">
        <w:rPr>
          <w:rFonts w:ascii="Times New Roman" w:hAnsi="Times New Roman" w:cs="Times New Roman"/>
          <w:sz w:val="24"/>
          <w:szCs w:val="24"/>
        </w:rPr>
        <w:t xml:space="preserve"> factors such as</w:t>
      </w:r>
      <w:r w:rsidR="00E45567">
        <w:rPr>
          <w:rFonts w:ascii="Times New Roman" w:hAnsi="Times New Roman" w:cs="Times New Roman"/>
          <w:sz w:val="24"/>
          <w:szCs w:val="24"/>
        </w:rPr>
        <w:t xml:space="preserve"> </w:t>
      </w:r>
      <w:r w:rsidR="00BD629C">
        <w:rPr>
          <w:rFonts w:ascii="Times New Roman" w:hAnsi="Times New Roman" w:cs="Times New Roman"/>
          <w:sz w:val="24"/>
          <w:szCs w:val="24"/>
        </w:rPr>
        <w:t>a</w:t>
      </w:r>
      <w:r w:rsidR="00E67481">
        <w:rPr>
          <w:rFonts w:ascii="Times New Roman" w:hAnsi="Times New Roman" w:cs="Times New Roman"/>
          <w:sz w:val="24"/>
          <w:szCs w:val="24"/>
        </w:rPr>
        <w:t xml:space="preserve"> lack of </w:t>
      </w:r>
      <w:r w:rsidR="00A670D9">
        <w:rPr>
          <w:rFonts w:ascii="Times New Roman" w:hAnsi="Times New Roman" w:cs="Times New Roman"/>
          <w:sz w:val="24"/>
          <w:szCs w:val="24"/>
        </w:rPr>
        <w:t>standard literary Greek</w:t>
      </w:r>
      <w:r w:rsidR="00BA1F4F">
        <w:rPr>
          <w:rFonts w:ascii="Times New Roman" w:hAnsi="Times New Roman" w:cs="Times New Roman"/>
          <w:sz w:val="24"/>
          <w:szCs w:val="24"/>
        </w:rPr>
        <w:t xml:space="preserve"> linguistic</w:t>
      </w:r>
      <w:r w:rsidR="00A670D9">
        <w:rPr>
          <w:rFonts w:ascii="Times New Roman" w:hAnsi="Times New Roman" w:cs="Times New Roman"/>
          <w:sz w:val="24"/>
          <w:szCs w:val="24"/>
        </w:rPr>
        <w:t xml:space="preserve"> elements</w:t>
      </w:r>
      <w:r w:rsidR="00B2212A">
        <w:rPr>
          <w:rFonts w:ascii="Times New Roman" w:hAnsi="Times New Roman" w:cs="Times New Roman"/>
          <w:sz w:val="24"/>
          <w:szCs w:val="24"/>
        </w:rPr>
        <w:t xml:space="preserve"> and allusion to biblical texts</w:t>
      </w:r>
      <w:r w:rsidR="00A670D9">
        <w:rPr>
          <w:rFonts w:ascii="Times New Roman" w:hAnsi="Times New Roman" w:cs="Times New Roman"/>
          <w:sz w:val="24"/>
          <w:szCs w:val="24"/>
        </w:rPr>
        <w:t xml:space="preserve"> </w:t>
      </w:r>
      <w:r w:rsidR="00B93007">
        <w:rPr>
          <w:rFonts w:ascii="Times New Roman" w:hAnsi="Times New Roman" w:cs="Times New Roman"/>
          <w:sz w:val="24"/>
          <w:szCs w:val="24"/>
        </w:rPr>
        <w:t>confirm</w:t>
      </w:r>
      <w:r w:rsidR="00A670D9">
        <w:rPr>
          <w:rFonts w:ascii="Times New Roman" w:hAnsi="Times New Roman" w:cs="Times New Roman"/>
          <w:sz w:val="24"/>
          <w:szCs w:val="24"/>
        </w:rPr>
        <w:t xml:space="preserve"> a Hebrew original</w:t>
      </w:r>
      <w:r w:rsidR="00CB30CF">
        <w:rPr>
          <w:rFonts w:ascii="Times New Roman" w:hAnsi="Times New Roman" w:cs="Times New Roman"/>
          <w:sz w:val="24"/>
          <w:szCs w:val="24"/>
        </w:rPr>
        <w:t xml:space="preserve">, although does note that </w:t>
      </w:r>
      <w:r w:rsidR="001F3F89">
        <w:rPr>
          <w:rFonts w:ascii="Times New Roman" w:hAnsi="Times New Roman" w:cs="Times New Roman"/>
          <w:sz w:val="24"/>
          <w:szCs w:val="24"/>
        </w:rPr>
        <w:t>some Greek influence in terms of themes and motifs can be identified.</w:t>
      </w:r>
      <w:r w:rsidR="002D6038">
        <w:rPr>
          <w:rStyle w:val="FootnoteReference"/>
          <w:rFonts w:ascii="Times New Roman" w:hAnsi="Times New Roman" w:cs="Times New Roman"/>
          <w:sz w:val="24"/>
          <w:szCs w:val="24"/>
        </w:rPr>
        <w:footnoteReference w:id="1"/>
      </w:r>
      <w:r w:rsidR="00856025">
        <w:rPr>
          <w:rFonts w:ascii="Times New Roman" w:hAnsi="Times New Roman" w:cs="Times New Roman"/>
          <w:sz w:val="24"/>
          <w:szCs w:val="24"/>
        </w:rPr>
        <w:t xml:space="preserve"> </w:t>
      </w:r>
    </w:p>
    <w:p w14:paraId="6BFEC26C" w14:textId="77777777" w:rsidR="001F53E0" w:rsidRDefault="001F53E0" w:rsidP="00751B8D">
      <w:pPr>
        <w:rPr>
          <w:rFonts w:ascii="Times New Roman" w:hAnsi="Times New Roman" w:cs="Times New Roman"/>
          <w:sz w:val="24"/>
          <w:szCs w:val="24"/>
        </w:rPr>
      </w:pPr>
    </w:p>
    <w:p w14:paraId="5F68CE76" w14:textId="63513AEA" w:rsidR="00416334" w:rsidRDefault="00856025" w:rsidP="00751B8D">
      <w:pPr>
        <w:rPr>
          <w:rFonts w:ascii="Times New Roman" w:hAnsi="Times New Roman" w:cs="Times New Roman"/>
          <w:sz w:val="24"/>
          <w:szCs w:val="24"/>
        </w:rPr>
      </w:pPr>
      <w:r>
        <w:rPr>
          <w:rFonts w:ascii="Times New Roman" w:hAnsi="Times New Roman" w:cs="Times New Roman"/>
          <w:sz w:val="24"/>
          <w:szCs w:val="24"/>
        </w:rPr>
        <w:t>Conversely</w:t>
      </w:r>
      <w:r w:rsidR="00945D9F">
        <w:rPr>
          <w:rFonts w:ascii="Times New Roman" w:hAnsi="Times New Roman" w:cs="Times New Roman"/>
          <w:sz w:val="24"/>
          <w:szCs w:val="24"/>
        </w:rPr>
        <w:t>,</w:t>
      </w:r>
      <w:r>
        <w:rPr>
          <w:rFonts w:ascii="Times New Roman" w:hAnsi="Times New Roman" w:cs="Times New Roman"/>
          <w:sz w:val="24"/>
          <w:szCs w:val="24"/>
        </w:rPr>
        <w:t xml:space="preserve"> 2 Maccabees </w:t>
      </w:r>
      <w:r w:rsidR="00945D9F">
        <w:rPr>
          <w:rFonts w:ascii="Times New Roman" w:hAnsi="Times New Roman" w:cs="Times New Roman"/>
          <w:sz w:val="24"/>
          <w:szCs w:val="24"/>
        </w:rPr>
        <w:t>is more identifiably Greek and with no evidence of a Hebrew original.</w:t>
      </w:r>
      <w:r w:rsidR="000E2049">
        <w:rPr>
          <w:rFonts w:ascii="Times New Roman" w:hAnsi="Times New Roman" w:cs="Times New Roman"/>
          <w:sz w:val="24"/>
          <w:szCs w:val="24"/>
        </w:rPr>
        <w:t xml:space="preserve"> </w:t>
      </w:r>
      <w:r w:rsidR="001315ED">
        <w:rPr>
          <w:rFonts w:ascii="Times New Roman" w:hAnsi="Times New Roman" w:cs="Times New Roman"/>
          <w:sz w:val="24"/>
          <w:szCs w:val="24"/>
        </w:rPr>
        <w:t xml:space="preserve">Its </w:t>
      </w:r>
      <w:r w:rsidR="000E2049">
        <w:rPr>
          <w:rFonts w:ascii="Times New Roman" w:hAnsi="Times New Roman" w:cs="Times New Roman"/>
          <w:sz w:val="24"/>
          <w:szCs w:val="24"/>
        </w:rPr>
        <w:t>author</w:t>
      </w:r>
      <w:r w:rsidR="0011370B">
        <w:rPr>
          <w:rFonts w:ascii="Times New Roman" w:hAnsi="Times New Roman" w:cs="Times New Roman"/>
          <w:sz w:val="24"/>
          <w:szCs w:val="24"/>
        </w:rPr>
        <w:t xml:space="preserve">ship, date and location of publication is </w:t>
      </w:r>
      <w:r w:rsidR="00D67D69">
        <w:rPr>
          <w:rFonts w:ascii="Times New Roman" w:hAnsi="Times New Roman" w:cs="Times New Roman"/>
          <w:sz w:val="24"/>
          <w:szCs w:val="24"/>
        </w:rPr>
        <w:t>also less certain</w:t>
      </w:r>
      <w:r w:rsidR="00DC2863">
        <w:rPr>
          <w:rFonts w:ascii="Times New Roman" w:hAnsi="Times New Roman" w:cs="Times New Roman"/>
          <w:sz w:val="24"/>
          <w:szCs w:val="24"/>
        </w:rPr>
        <w:t xml:space="preserve">, though deSilva </w:t>
      </w:r>
      <w:r w:rsidR="008A681E">
        <w:rPr>
          <w:rFonts w:ascii="Times New Roman" w:hAnsi="Times New Roman" w:cs="Times New Roman"/>
          <w:sz w:val="24"/>
          <w:szCs w:val="24"/>
        </w:rPr>
        <w:lastRenderedPageBreak/>
        <w:t xml:space="preserve">argues </w:t>
      </w:r>
      <w:r w:rsidR="00D26AD6">
        <w:rPr>
          <w:rFonts w:ascii="Times New Roman" w:hAnsi="Times New Roman" w:cs="Times New Roman"/>
          <w:sz w:val="24"/>
          <w:szCs w:val="24"/>
        </w:rPr>
        <w:t>for a date of composition after 161 B.C.E.</w:t>
      </w:r>
      <w:r w:rsidR="000B55E9">
        <w:rPr>
          <w:rFonts w:ascii="Times New Roman" w:hAnsi="Times New Roman" w:cs="Times New Roman"/>
          <w:sz w:val="24"/>
          <w:szCs w:val="24"/>
        </w:rPr>
        <w:t xml:space="preserve"> (since the events of the book end here)</w:t>
      </w:r>
      <w:r w:rsidR="00D26AD6">
        <w:rPr>
          <w:rFonts w:ascii="Times New Roman" w:hAnsi="Times New Roman" w:cs="Times New Roman"/>
          <w:sz w:val="24"/>
          <w:szCs w:val="24"/>
        </w:rPr>
        <w:t xml:space="preserve"> and before </w:t>
      </w:r>
      <w:r w:rsidR="00422264">
        <w:rPr>
          <w:rFonts w:ascii="Times New Roman" w:hAnsi="Times New Roman" w:cs="Times New Roman"/>
          <w:sz w:val="24"/>
          <w:szCs w:val="24"/>
        </w:rPr>
        <w:t xml:space="preserve">63 B.C.E. (based on ‘the thoroughly positive portrayal of the Romans’), </w:t>
      </w:r>
      <w:r w:rsidR="009B13DD">
        <w:rPr>
          <w:rFonts w:ascii="Times New Roman" w:hAnsi="Times New Roman" w:cs="Times New Roman"/>
          <w:sz w:val="24"/>
          <w:szCs w:val="24"/>
        </w:rPr>
        <w:t xml:space="preserve">whilst also suggesting that it was of </w:t>
      </w:r>
      <w:r w:rsidR="00CE0242">
        <w:rPr>
          <w:rFonts w:ascii="Times New Roman" w:hAnsi="Times New Roman" w:cs="Times New Roman"/>
          <w:sz w:val="24"/>
          <w:szCs w:val="24"/>
        </w:rPr>
        <w:t>Judean rather than Alexandrian origin, given that</w:t>
      </w:r>
      <w:r w:rsidR="00344861">
        <w:rPr>
          <w:rFonts w:ascii="Times New Roman" w:hAnsi="Times New Roman" w:cs="Times New Roman"/>
          <w:sz w:val="24"/>
          <w:szCs w:val="24"/>
        </w:rPr>
        <w:t xml:space="preserve"> many Judeans ‘were, however, fluent in Greek’ </w:t>
      </w:r>
      <w:r w:rsidR="000D2B5A">
        <w:rPr>
          <w:rFonts w:ascii="Times New Roman" w:hAnsi="Times New Roman" w:cs="Times New Roman"/>
          <w:sz w:val="24"/>
          <w:szCs w:val="24"/>
        </w:rPr>
        <w:t xml:space="preserve">and that there was mobility </w:t>
      </w:r>
      <w:r w:rsidR="00C9639F">
        <w:rPr>
          <w:rFonts w:ascii="Times New Roman" w:hAnsi="Times New Roman" w:cs="Times New Roman"/>
          <w:sz w:val="24"/>
          <w:szCs w:val="24"/>
        </w:rPr>
        <w:t>of</w:t>
      </w:r>
      <w:r w:rsidR="000D2B5A">
        <w:rPr>
          <w:rFonts w:ascii="Times New Roman" w:hAnsi="Times New Roman" w:cs="Times New Roman"/>
          <w:sz w:val="24"/>
          <w:szCs w:val="24"/>
        </w:rPr>
        <w:t xml:space="preserve"> Jews from the Diaspora in and out of </w:t>
      </w:r>
      <w:r w:rsidR="008A55E2">
        <w:rPr>
          <w:rFonts w:ascii="Times New Roman" w:hAnsi="Times New Roman" w:cs="Times New Roman"/>
          <w:sz w:val="24"/>
          <w:szCs w:val="24"/>
        </w:rPr>
        <w:t xml:space="preserve">Judea </w:t>
      </w:r>
      <w:r w:rsidR="003C0C29">
        <w:rPr>
          <w:rFonts w:ascii="Times New Roman" w:hAnsi="Times New Roman" w:cs="Times New Roman"/>
          <w:sz w:val="24"/>
          <w:szCs w:val="24"/>
        </w:rPr>
        <w:t>during</w:t>
      </w:r>
      <w:r w:rsidR="008A55E2">
        <w:rPr>
          <w:rFonts w:ascii="Times New Roman" w:hAnsi="Times New Roman" w:cs="Times New Roman"/>
          <w:sz w:val="24"/>
          <w:szCs w:val="24"/>
        </w:rPr>
        <w:t xml:space="preserve"> the period.</w:t>
      </w:r>
      <w:r w:rsidR="00B33833">
        <w:rPr>
          <w:rStyle w:val="FootnoteReference"/>
          <w:rFonts w:ascii="Times New Roman" w:hAnsi="Times New Roman" w:cs="Times New Roman"/>
          <w:sz w:val="24"/>
          <w:szCs w:val="24"/>
        </w:rPr>
        <w:footnoteReference w:id="2"/>
      </w:r>
      <w:r w:rsidR="00E61266">
        <w:rPr>
          <w:rFonts w:ascii="Times New Roman" w:hAnsi="Times New Roman" w:cs="Times New Roman"/>
          <w:sz w:val="24"/>
          <w:szCs w:val="24"/>
        </w:rPr>
        <w:t xml:space="preserve"> 2 Maccabees also claims to largely comprise the work of Jason of Cyrene,</w:t>
      </w:r>
      <w:r w:rsidR="003838AE">
        <w:rPr>
          <w:rStyle w:val="FootnoteReference"/>
          <w:rFonts w:ascii="Times New Roman" w:hAnsi="Times New Roman" w:cs="Times New Roman"/>
          <w:sz w:val="24"/>
          <w:szCs w:val="24"/>
        </w:rPr>
        <w:footnoteReference w:id="3"/>
      </w:r>
      <w:r w:rsidR="00E61266">
        <w:rPr>
          <w:rFonts w:ascii="Times New Roman" w:hAnsi="Times New Roman" w:cs="Times New Roman"/>
          <w:sz w:val="24"/>
          <w:szCs w:val="24"/>
        </w:rPr>
        <w:t xml:space="preserve"> but as Trotter points out, it is unclear to what extent that work forms the basis for 2 Maccabees and whether other sources are used, nor can shared literary sources between 1 and 2 Maccabees be identified.</w:t>
      </w:r>
      <w:r w:rsidR="00397429">
        <w:rPr>
          <w:rStyle w:val="FootnoteReference"/>
          <w:rFonts w:ascii="Times New Roman" w:hAnsi="Times New Roman" w:cs="Times New Roman"/>
          <w:sz w:val="24"/>
          <w:szCs w:val="24"/>
        </w:rPr>
        <w:footnoteReference w:id="4"/>
      </w:r>
      <w:r w:rsidR="001F53E0">
        <w:rPr>
          <w:rFonts w:ascii="Times New Roman" w:hAnsi="Times New Roman" w:cs="Times New Roman"/>
          <w:sz w:val="24"/>
          <w:szCs w:val="24"/>
        </w:rPr>
        <w:t xml:space="preserve"> It is also generally agreed that </w:t>
      </w:r>
      <w:r w:rsidR="003E705A">
        <w:rPr>
          <w:rFonts w:ascii="Times New Roman" w:hAnsi="Times New Roman" w:cs="Times New Roman"/>
          <w:sz w:val="24"/>
          <w:szCs w:val="24"/>
        </w:rPr>
        <w:t>the letters in 2 Maccabees were composed by a separate author, adding yet a further dimension to the varied authorship of the Maccabees as a whole.</w:t>
      </w:r>
      <w:r w:rsidR="004E34C7">
        <w:rPr>
          <w:rStyle w:val="FootnoteReference"/>
          <w:rFonts w:ascii="Times New Roman" w:hAnsi="Times New Roman" w:cs="Times New Roman"/>
          <w:sz w:val="24"/>
          <w:szCs w:val="24"/>
        </w:rPr>
        <w:footnoteReference w:id="5"/>
      </w:r>
      <w:r w:rsidR="00415CEC">
        <w:rPr>
          <w:rFonts w:ascii="Times New Roman" w:hAnsi="Times New Roman" w:cs="Times New Roman"/>
          <w:sz w:val="24"/>
          <w:szCs w:val="24"/>
        </w:rPr>
        <w:t xml:space="preserve"> </w:t>
      </w:r>
      <w:r w:rsidR="00502A84">
        <w:rPr>
          <w:rFonts w:ascii="Times New Roman" w:hAnsi="Times New Roman" w:cs="Times New Roman"/>
          <w:sz w:val="24"/>
          <w:szCs w:val="24"/>
        </w:rPr>
        <w:t>When two books have different authors</w:t>
      </w:r>
      <w:r w:rsidR="00714662">
        <w:rPr>
          <w:rFonts w:ascii="Times New Roman" w:hAnsi="Times New Roman" w:cs="Times New Roman"/>
          <w:sz w:val="24"/>
          <w:szCs w:val="24"/>
        </w:rPr>
        <w:t xml:space="preserve"> and yet still multiple authors within a single book</w:t>
      </w:r>
      <w:r w:rsidR="00502A84">
        <w:rPr>
          <w:rFonts w:ascii="Times New Roman" w:hAnsi="Times New Roman" w:cs="Times New Roman"/>
          <w:sz w:val="24"/>
          <w:szCs w:val="24"/>
        </w:rPr>
        <w:t>, there will undoubtedly be identifiable differences in each.</w:t>
      </w:r>
    </w:p>
    <w:p w14:paraId="7DE53CD6" w14:textId="77777777" w:rsidR="00416334" w:rsidRDefault="00416334" w:rsidP="00751B8D">
      <w:pPr>
        <w:rPr>
          <w:rFonts w:ascii="Times New Roman" w:hAnsi="Times New Roman" w:cs="Times New Roman"/>
          <w:sz w:val="24"/>
          <w:szCs w:val="24"/>
        </w:rPr>
      </w:pPr>
    </w:p>
    <w:p w14:paraId="6B7373E4" w14:textId="4F99EC4A" w:rsidR="00F50DE8" w:rsidRDefault="00416334" w:rsidP="00751B8D">
      <w:pPr>
        <w:rPr>
          <w:rFonts w:ascii="Times New Roman" w:hAnsi="Times New Roman" w:cs="Times New Roman"/>
          <w:sz w:val="24"/>
          <w:szCs w:val="24"/>
        </w:rPr>
      </w:pPr>
      <w:r>
        <w:rPr>
          <w:rFonts w:ascii="Times New Roman" w:hAnsi="Times New Roman" w:cs="Times New Roman"/>
          <w:sz w:val="24"/>
          <w:szCs w:val="24"/>
        </w:rPr>
        <w:t>Naturally, t</w:t>
      </w:r>
      <w:r w:rsidR="00415CEC">
        <w:rPr>
          <w:rFonts w:ascii="Times New Roman" w:hAnsi="Times New Roman" w:cs="Times New Roman"/>
          <w:sz w:val="24"/>
          <w:szCs w:val="24"/>
        </w:rPr>
        <w:t xml:space="preserve">hese considerations must be taken into account when assessing any overlapping </w:t>
      </w:r>
      <w:r w:rsidR="00502A84">
        <w:rPr>
          <w:rFonts w:ascii="Times New Roman" w:hAnsi="Times New Roman" w:cs="Times New Roman"/>
          <w:sz w:val="24"/>
          <w:szCs w:val="24"/>
        </w:rPr>
        <w:t xml:space="preserve">or varying </w:t>
      </w:r>
      <w:r w:rsidR="00415CEC">
        <w:rPr>
          <w:rFonts w:ascii="Times New Roman" w:hAnsi="Times New Roman" w:cs="Times New Roman"/>
          <w:sz w:val="24"/>
          <w:szCs w:val="24"/>
        </w:rPr>
        <w:t>themes between the two books.</w:t>
      </w:r>
      <w:r w:rsidR="008B3D45">
        <w:rPr>
          <w:rFonts w:ascii="Times New Roman" w:hAnsi="Times New Roman" w:cs="Times New Roman"/>
          <w:sz w:val="24"/>
          <w:szCs w:val="24"/>
        </w:rPr>
        <w:t xml:space="preserve"> There are some basic points that can be made about the differences. Firstly, the more historiographical nature of 1 Maccabees could be attributed to its dating and authorship, since it is more tangibly</w:t>
      </w:r>
      <w:r w:rsidR="00627A87">
        <w:rPr>
          <w:rFonts w:ascii="Times New Roman" w:hAnsi="Times New Roman" w:cs="Times New Roman"/>
          <w:sz w:val="24"/>
          <w:szCs w:val="24"/>
        </w:rPr>
        <w:t xml:space="preserve"> immediately</w:t>
      </w:r>
      <w:r w:rsidR="008B3D45">
        <w:rPr>
          <w:rFonts w:ascii="Times New Roman" w:hAnsi="Times New Roman" w:cs="Times New Roman"/>
          <w:sz w:val="24"/>
          <w:szCs w:val="24"/>
        </w:rPr>
        <w:t xml:space="preserve"> contemporary with the events it describes</w:t>
      </w:r>
      <w:r w:rsidR="00202C48">
        <w:rPr>
          <w:rFonts w:ascii="Times New Roman" w:hAnsi="Times New Roman" w:cs="Times New Roman"/>
          <w:sz w:val="24"/>
          <w:szCs w:val="24"/>
        </w:rPr>
        <w:t xml:space="preserve"> (unless we accept</w:t>
      </w:r>
      <w:r w:rsidR="00C56202">
        <w:rPr>
          <w:rFonts w:ascii="Times New Roman" w:hAnsi="Times New Roman" w:cs="Times New Roman"/>
          <w:sz w:val="24"/>
          <w:szCs w:val="24"/>
        </w:rPr>
        <w:t xml:space="preserve"> that</w:t>
      </w:r>
      <w:r w:rsidR="00202C48">
        <w:rPr>
          <w:rFonts w:ascii="Times New Roman" w:hAnsi="Times New Roman" w:cs="Times New Roman"/>
          <w:sz w:val="24"/>
          <w:szCs w:val="24"/>
        </w:rPr>
        <w:t xml:space="preserve"> 2 Maccabees is stringently faithful to Jason of Cyrene’s work, in which case the matter becomes debatable)</w:t>
      </w:r>
      <w:r w:rsidR="008B3D45">
        <w:rPr>
          <w:rFonts w:ascii="Times New Roman" w:hAnsi="Times New Roman" w:cs="Times New Roman"/>
          <w:sz w:val="24"/>
          <w:szCs w:val="24"/>
        </w:rPr>
        <w:t>, whilst 2 Maccabees</w:t>
      </w:r>
      <w:r w:rsidR="00B92E00">
        <w:rPr>
          <w:rFonts w:ascii="Times New Roman" w:hAnsi="Times New Roman" w:cs="Times New Roman"/>
          <w:sz w:val="24"/>
          <w:szCs w:val="24"/>
        </w:rPr>
        <w:t>, as-well as probably being published at a slightly later date</w:t>
      </w:r>
      <w:r w:rsidR="00595700">
        <w:rPr>
          <w:rFonts w:ascii="Times New Roman" w:hAnsi="Times New Roman" w:cs="Times New Roman"/>
          <w:sz w:val="24"/>
          <w:szCs w:val="24"/>
        </w:rPr>
        <w:t>,</w:t>
      </w:r>
      <w:r w:rsidR="008B3D45">
        <w:rPr>
          <w:rFonts w:ascii="Times New Roman" w:hAnsi="Times New Roman" w:cs="Times New Roman"/>
          <w:sz w:val="24"/>
          <w:szCs w:val="24"/>
        </w:rPr>
        <w:t xml:space="preserve"> </w:t>
      </w:r>
      <w:r w:rsidR="002956A7">
        <w:rPr>
          <w:rFonts w:ascii="Times New Roman" w:hAnsi="Times New Roman" w:cs="Times New Roman"/>
          <w:sz w:val="24"/>
          <w:szCs w:val="24"/>
        </w:rPr>
        <w:t>is more explicit in its varied use of source material</w:t>
      </w:r>
      <w:r w:rsidR="00093D1B">
        <w:rPr>
          <w:rFonts w:ascii="Times New Roman" w:hAnsi="Times New Roman" w:cs="Times New Roman"/>
          <w:sz w:val="24"/>
          <w:szCs w:val="24"/>
        </w:rPr>
        <w:t xml:space="preserve"> as has been discussed</w:t>
      </w:r>
      <w:r w:rsidR="002956A7">
        <w:rPr>
          <w:rFonts w:ascii="Times New Roman" w:hAnsi="Times New Roman" w:cs="Times New Roman"/>
          <w:sz w:val="24"/>
          <w:szCs w:val="24"/>
        </w:rPr>
        <w:t xml:space="preserve">, and </w:t>
      </w:r>
      <w:r w:rsidR="00595700">
        <w:rPr>
          <w:rFonts w:ascii="Times New Roman" w:hAnsi="Times New Roman" w:cs="Times New Roman"/>
          <w:sz w:val="24"/>
          <w:szCs w:val="24"/>
        </w:rPr>
        <w:t>thus</w:t>
      </w:r>
      <w:r w:rsidR="002956A7">
        <w:rPr>
          <w:rFonts w:ascii="Times New Roman" w:hAnsi="Times New Roman" w:cs="Times New Roman"/>
          <w:sz w:val="24"/>
          <w:szCs w:val="24"/>
        </w:rPr>
        <w:t xml:space="preserve"> reads as a more interpretive and theological text.</w:t>
      </w:r>
      <w:r w:rsidR="008975FC">
        <w:rPr>
          <w:rFonts w:ascii="Times New Roman" w:hAnsi="Times New Roman" w:cs="Times New Roman"/>
          <w:sz w:val="24"/>
          <w:szCs w:val="24"/>
        </w:rPr>
        <w:t xml:space="preserve"> This can be observed through the theme of martyrdom, a theme identifiable within both </w:t>
      </w:r>
      <w:r w:rsidR="008975FC">
        <w:rPr>
          <w:rFonts w:ascii="Times New Roman" w:hAnsi="Times New Roman" w:cs="Times New Roman"/>
          <w:sz w:val="24"/>
          <w:szCs w:val="24"/>
        </w:rPr>
        <w:lastRenderedPageBreak/>
        <w:t>books but to varying degrees and arguably in order to demonstrate different points. In 1 Maccabees for example, the martyrdom of the Jews hiding from the king’s officers is described mostly in historical terms and in order to contextualise the actions of Mattathias in his rebellion</w:t>
      </w:r>
      <w:r w:rsidR="001835F5">
        <w:rPr>
          <w:rFonts w:ascii="Times New Roman" w:hAnsi="Times New Roman" w:cs="Times New Roman"/>
          <w:sz w:val="24"/>
          <w:szCs w:val="24"/>
        </w:rPr>
        <w:t>, and if removed would create a gap in the narrative.</w:t>
      </w:r>
      <w:r w:rsidR="001271BB">
        <w:rPr>
          <w:rStyle w:val="FootnoteReference"/>
          <w:rFonts w:ascii="Times New Roman" w:hAnsi="Times New Roman" w:cs="Times New Roman"/>
          <w:sz w:val="24"/>
          <w:szCs w:val="24"/>
        </w:rPr>
        <w:footnoteReference w:id="6"/>
      </w:r>
      <w:r w:rsidR="003F465B">
        <w:rPr>
          <w:rFonts w:ascii="Times New Roman" w:hAnsi="Times New Roman" w:cs="Times New Roman"/>
          <w:sz w:val="24"/>
          <w:szCs w:val="24"/>
        </w:rPr>
        <w:t xml:space="preserve"> Conversely, martyrdom in 2 Maccabees features more prominently and is </w:t>
      </w:r>
      <w:r w:rsidR="006D5E08">
        <w:rPr>
          <w:rFonts w:ascii="Times New Roman" w:hAnsi="Times New Roman" w:cs="Times New Roman"/>
          <w:sz w:val="24"/>
          <w:szCs w:val="24"/>
        </w:rPr>
        <w:t xml:space="preserve">concerned with reverence for God </w:t>
      </w:r>
      <w:r w:rsidR="00F915D3">
        <w:rPr>
          <w:rFonts w:ascii="Times New Roman" w:hAnsi="Times New Roman" w:cs="Times New Roman"/>
          <w:sz w:val="24"/>
          <w:szCs w:val="24"/>
        </w:rPr>
        <w:t xml:space="preserve">(and therefore his intervention) </w:t>
      </w:r>
      <w:r w:rsidR="006D5E08">
        <w:rPr>
          <w:rFonts w:ascii="Times New Roman" w:hAnsi="Times New Roman" w:cs="Times New Roman"/>
          <w:sz w:val="24"/>
          <w:szCs w:val="24"/>
        </w:rPr>
        <w:t>and includ</w:t>
      </w:r>
      <w:r w:rsidR="00A628D9">
        <w:rPr>
          <w:rFonts w:ascii="Times New Roman" w:hAnsi="Times New Roman" w:cs="Times New Roman"/>
          <w:sz w:val="24"/>
          <w:szCs w:val="24"/>
        </w:rPr>
        <w:t>es more explicit</w:t>
      </w:r>
      <w:r w:rsidR="006D5E08">
        <w:rPr>
          <w:rFonts w:ascii="Times New Roman" w:hAnsi="Times New Roman" w:cs="Times New Roman"/>
          <w:sz w:val="24"/>
          <w:szCs w:val="24"/>
        </w:rPr>
        <w:t xml:space="preserve"> reference to </w:t>
      </w:r>
      <w:r w:rsidR="0076352F">
        <w:rPr>
          <w:rFonts w:ascii="Times New Roman" w:hAnsi="Times New Roman" w:cs="Times New Roman"/>
          <w:sz w:val="24"/>
          <w:szCs w:val="24"/>
        </w:rPr>
        <w:t xml:space="preserve">the </w:t>
      </w:r>
      <w:r w:rsidR="00A628D9">
        <w:rPr>
          <w:rFonts w:ascii="Times New Roman" w:hAnsi="Times New Roman" w:cs="Times New Roman"/>
          <w:sz w:val="24"/>
          <w:szCs w:val="24"/>
        </w:rPr>
        <w:t xml:space="preserve">Pharisaic </w:t>
      </w:r>
      <w:r w:rsidR="003B13A5">
        <w:rPr>
          <w:rFonts w:ascii="Times New Roman" w:hAnsi="Times New Roman" w:cs="Times New Roman"/>
          <w:sz w:val="24"/>
          <w:szCs w:val="24"/>
        </w:rPr>
        <w:t>theological concept</w:t>
      </w:r>
      <w:r w:rsidR="006D5E08">
        <w:rPr>
          <w:rFonts w:ascii="Times New Roman" w:hAnsi="Times New Roman" w:cs="Times New Roman"/>
          <w:sz w:val="24"/>
          <w:szCs w:val="24"/>
        </w:rPr>
        <w:t xml:space="preserve"> </w:t>
      </w:r>
      <w:r w:rsidR="0076352F">
        <w:rPr>
          <w:rFonts w:ascii="Times New Roman" w:hAnsi="Times New Roman" w:cs="Times New Roman"/>
          <w:sz w:val="24"/>
          <w:szCs w:val="24"/>
        </w:rPr>
        <w:t>of</w:t>
      </w:r>
      <w:r w:rsidR="006D5E08">
        <w:rPr>
          <w:rFonts w:ascii="Times New Roman" w:hAnsi="Times New Roman" w:cs="Times New Roman"/>
          <w:sz w:val="24"/>
          <w:szCs w:val="24"/>
        </w:rPr>
        <w:t xml:space="preserve"> resurrection</w:t>
      </w:r>
      <w:r w:rsidR="008E3EAF">
        <w:rPr>
          <w:rFonts w:ascii="Times New Roman" w:hAnsi="Times New Roman" w:cs="Times New Roman"/>
          <w:sz w:val="24"/>
          <w:szCs w:val="24"/>
        </w:rPr>
        <w:t xml:space="preserve">, rather than being </w:t>
      </w:r>
      <w:r w:rsidR="00A03E58">
        <w:rPr>
          <w:rFonts w:ascii="Times New Roman" w:hAnsi="Times New Roman" w:cs="Times New Roman"/>
          <w:sz w:val="24"/>
          <w:szCs w:val="24"/>
        </w:rPr>
        <w:t xml:space="preserve">primarily </w:t>
      </w:r>
      <w:r w:rsidR="008E3EAF">
        <w:rPr>
          <w:rFonts w:ascii="Times New Roman" w:hAnsi="Times New Roman" w:cs="Times New Roman"/>
          <w:sz w:val="24"/>
          <w:szCs w:val="24"/>
        </w:rPr>
        <w:t xml:space="preserve">concerned with historical events themselves, as can be observed in the </w:t>
      </w:r>
      <w:r w:rsidR="00A06E42">
        <w:rPr>
          <w:rFonts w:ascii="Times New Roman" w:hAnsi="Times New Roman" w:cs="Times New Roman"/>
          <w:sz w:val="24"/>
          <w:szCs w:val="24"/>
        </w:rPr>
        <w:t>m</w:t>
      </w:r>
      <w:r w:rsidR="008E3EAF">
        <w:rPr>
          <w:rFonts w:ascii="Times New Roman" w:hAnsi="Times New Roman" w:cs="Times New Roman"/>
          <w:sz w:val="24"/>
          <w:szCs w:val="24"/>
        </w:rPr>
        <w:t xml:space="preserve">artyrdom of the </w:t>
      </w:r>
      <w:r w:rsidR="00B822E0">
        <w:rPr>
          <w:rFonts w:ascii="Times New Roman" w:hAnsi="Times New Roman" w:cs="Times New Roman"/>
          <w:sz w:val="24"/>
          <w:szCs w:val="24"/>
        </w:rPr>
        <w:t>s</w:t>
      </w:r>
      <w:r w:rsidR="008E3EAF">
        <w:rPr>
          <w:rFonts w:ascii="Times New Roman" w:hAnsi="Times New Roman" w:cs="Times New Roman"/>
          <w:sz w:val="24"/>
          <w:szCs w:val="24"/>
        </w:rPr>
        <w:t xml:space="preserve">even </w:t>
      </w:r>
      <w:r w:rsidR="00B822E0">
        <w:rPr>
          <w:rFonts w:ascii="Times New Roman" w:hAnsi="Times New Roman" w:cs="Times New Roman"/>
          <w:sz w:val="24"/>
          <w:szCs w:val="24"/>
        </w:rPr>
        <w:t>b</w:t>
      </w:r>
      <w:r w:rsidR="008E3EAF">
        <w:rPr>
          <w:rFonts w:ascii="Times New Roman" w:hAnsi="Times New Roman" w:cs="Times New Roman"/>
          <w:sz w:val="24"/>
          <w:szCs w:val="24"/>
        </w:rPr>
        <w:t>rothers</w:t>
      </w:r>
      <w:r w:rsidR="004427ED">
        <w:rPr>
          <w:rFonts w:ascii="Times New Roman" w:hAnsi="Times New Roman" w:cs="Times New Roman"/>
          <w:sz w:val="24"/>
          <w:szCs w:val="24"/>
        </w:rPr>
        <w:t xml:space="preserve"> </w:t>
      </w:r>
      <w:r w:rsidR="00921503">
        <w:rPr>
          <w:rFonts w:ascii="Times New Roman" w:hAnsi="Times New Roman" w:cs="Times New Roman"/>
          <w:sz w:val="24"/>
          <w:szCs w:val="24"/>
        </w:rPr>
        <w:t xml:space="preserve">and their mother </w:t>
      </w:r>
      <w:r w:rsidR="004427ED">
        <w:rPr>
          <w:rFonts w:ascii="Times New Roman" w:hAnsi="Times New Roman" w:cs="Times New Roman"/>
          <w:sz w:val="24"/>
          <w:szCs w:val="24"/>
        </w:rPr>
        <w:t xml:space="preserve">and </w:t>
      </w:r>
      <w:r w:rsidR="00D24A8F">
        <w:rPr>
          <w:rFonts w:ascii="Times New Roman" w:hAnsi="Times New Roman" w:cs="Times New Roman"/>
          <w:sz w:val="24"/>
          <w:szCs w:val="24"/>
        </w:rPr>
        <w:t xml:space="preserve">perhaps </w:t>
      </w:r>
      <w:r w:rsidR="004427ED">
        <w:rPr>
          <w:rFonts w:ascii="Times New Roman" w:hAnsi="Times New Roman" w:cs="Times New Roman"/>
          <w:sz w:val="24"/>
          <w:szCs w:val="24"/>
        </w:rPr>
        <w:t>mo</w:t>
      </w:r>
      <w:r w:rsidR="00F45BEC">
        <w:rPr>
          <w:rFonts w:ascii="Times New Roman" w:hAnsi="Times New Roman" w:cs="Times New Roman"/>
          <w:sz w:val="24"/>
          <w:szCs w:val="24"/>
        </w:rPr>
        <w:t>st</w:t>
      </w:r>
      <w:r w:rsidR="004427ED">
        <w:rPr>
          <w:rFonts w:ascii="Times New Roman" w:hAnsi="Times New Roman" w:cs="Times New Roman"/>
          <w:sz w:val="24"/>
          <w:szCs w:val="24"/>
        </w:rPr>
        <w:t xml:space="preserve"> strikingly the martyrdom of </w:t>
      </w:r>
      <w:proofErr w:type="spellStart"/>
      <w:r w:rsidR="004427ED">
        <w:rPr>
          <w:rFonts w:ascii="Times New Roman" w:hAnsi="Times New Roman" w:cs="Times New Roman"/>
          <w:sz w:val="24"/>
          <w:szCs w:val="24"/>
        </w:rPr>
        <w:t>Razis</w:t>
      </w:r>
      <w:proofErr w:type="spellEnd"/>
      <w:r w:rsidR="008E3EAF">
        <w:rPr>
          <w:rFonts w:ascii="Times New Roman" w:hAnsi="Times New Roman" w:cs="Times New Roman"/>
          <w:sz w:val="24"/>
          <w:szCs w:val="24"/>
        </w:rPr>
        <w:t>.</w:t>
      </w:r>
      <w:r w:rsidR="002C5B97">
        <w:rPr>
          <w:rStyle w:val="FootnoteReference"/>
          <w:rFonts w:ascii="Times New Roman" w:hAnsi="Times New Roman" w:cs="Times New Roman"/>
          <w:sz w:val="24"/>
          <w:szCs w:val="24"/>
        </w:rPr>
        <w:footnoteReference w:id="7"/>
      </w:r>
      <w:r w:rsidR="008E3EAF">
        <w:rPr>
          <w:rFonts w:ascii="Times New Roman" w:hAnsi="Times New Roman" w:cs="Times New Roman"/>
          <w:sz w:val="24"/>
          <w:szCs w:val="24"/>
        </w:rPr>
        <w:t xml:space="preserve"> </w:t>
      </w:r>
      <w:r w:rsidR="000D591B">
        <w:rPr>
          <w:rFonts w:ascii="Times New Roman" w:hAnsi="Times New Roman" w:cs="Times New Roman"/>
          <w:sz w:val="24"/>
          <w:szCs w:val="24"/>
        </w:rPr>
        <w:t xml:space="preserve">In the case of the latter, the theological focus of the narrative is particularly clear from the graphic and symbolic image of </w:t>
      </w:r>
      <w:proofErr w:type="spellStart"/>
      <w:r w:rsidR="00A37CB5">
        <w:rPr>
          <w:rFonts w:ascii="Times New Roman" w:hAnsi="Times New Roman" w:cs="Times New Roman"/>
          <w:sz w:val="24"/>
          <w:szCs w:val="24"/>
        </w:rPr>
        <w:t>Razis</w:t>
      </w:r>
      <w:proofErr w:type="spellEnd"/>
      <w:r w:rsidR="000D591B">
        <w:rPr>
          <w:rFonts w:ascii="Times New Roman" w:hAnsi="Times New Roman" w:cs="Times New Roman"/>
          <w:sz w:val="24"/>
          <w:szCs w:val="24"/>
        </w:rPr>
        <w:t xml:space="preserve"> casting his own entrails at his enemy, trusting in the belief that they will be returned to him through</w:t>
      </w:r>
      <w:r w:rsidR="00B94ED4">
        <w:rPr>
          <w:rFonts w:ascii="Times New Roman" w:hAnsi="Times New Roman" w:cs="Times New Roman"/>
          <w:sz w:val="24"/>
          <w:szCs w:val="24"/>
        </w:rPr>
        <w:t xml:space="preserve"> physical</w:t>
      </w:r>
      <w:r w:rsidR="000D591B">
        <w:rPr>
          <w:rFonts w:ascii="Times New Roman" w:hAnsi="Times New Roman" w:cs="Times New Roman"/>
          <w:sz w:val="24"/>
          <w:szCs w:val="24"/>
        </w:rPr>
        <w:t xml:space="preserve"> resurrection.</w:t>
      </w:r>
      <w:r w:rsidR="001835F5">
        <w:rPr>
          <w:rFonts w:ascii="Times New Roman" w:hAnsi="Times New Roman" w:cs="Times New Roman"/>
          <w:sz w:val="24"/>
          <w:szCs w:val="24"/>
        </w:rPr>
        <w:t xml:space="preserve"> In any case, if these episodes were to be removed from the text, then the historical account would still make sense, further highlighting the </w:t>
      </w:r>
      <w:r w:rsidR="00492DC6">
        <w:rPr>
          <w:rFonts w:ascii="Times New Roman" w:hAnsi="Times New Roman" w:cs="Times New Roman"/>
          <w:sz w:val="24"/>
          <w:szCs w:val="24"/>
        </w:rPr>
        <w:t>importance of</w:t>
      </w:r>
      <w:r w:rsidR="001835F5">
        <w:rPr>
          <w:rFonts w:ascii="Times New Roman" w:hAnsi="Times New Roman" w:cs="Times New Roman"/>
          <w:sz w:val="24"/>
          <w:szCs w:val="24"/>
        </w:rPr>
        <w:t xml:space="preserve"> theological concerns </w:t>
      </w:r>
      <w:r w:rsidR="00492DC6">
        <w:rPr>
          <w:rFonts w:ascii="Times New Roman" w:hAnsi="Times New Roman" w:cs="Times New Roman"/>
          <w:sz w:val="24"/>
          <w:szCs w:val="24"/>
        </w:rPr>
        <w:t>over</w:t>
      </w:r>
      <w:r w:rsidR="001835F5">
        <w:rPr>
          <w:rFonts w:ascii="Times New Roman" w:hAnsi="Times New Roman" w:cs="Times New Roman"/>
          <w:sz w:val="24"/>
          <w:szCs w:val="24"/>
        </w:rPr>
        <w:t xml:space="preserve"> </w:t>
      </w:r>
      <w:r w:rsidR="00BE6A01">
        <w:rPr>
          <w:rFonts w:ascii="Times New Roman" w:hAnsi="Times New Roman" w:cs="Times New Roman"/>
          <w:sz w:val="24"/>
          <w:szCs w:val="24"/>
        </w:rPr>
        <w:t>historiography</w:t>
      </w:r>
      <w:r w:rsidR="001835F5">
        <w:rPr>
          <w:rFonts w:ascii="Times New Roman" w:hAnsi="Times New Roman" w:cs="Times New Roman"/>
          <w:sz w:val="24"/>
          <w:szCs w:val="24"/>
        </w:rPr>
        <w:t xml:space="preserve"> in 2 Maccabees. </w:t>
      </w:r>
    </w:p>
    <w:p w14:paraId="5025AC97" w14:textId="3014AD96" w:rsidR="00C2540C" w:rsidRDefault="00C2540C" w:rsidP="00751B8D">
      <w:pPr>
        <w:rPr>
          <w:rFonts w:ascii="Times New Roman" w:hAnsi="Times New Roman" w:cs="Times New Roman"/>
          <w:sz w:val="24"/>
          <w:szCs w:val="24"/>
        </w:rPr>
      </w:pPr>
    </w:p>
    <w:p w14:paraId="24542970" w14:textId="2EBEB12E" w:rsidR="00C2540C" w:rsidRDefault="00C2540C" w:rsidP="00751B8D">
      <w:pPr>
        <w:rPr>
          <w:rFonts w:ascii="Times New Roman" w:hAnsi="Times New Roman" w:cs="Times New Roman"/>
          <w:sz w:val="24"/>
          <w:szCs w:val="24"/>
        </w:rPr>
      </w:pPr>
      <w:r>
        <w:rPr>
          <w:rFonts w:ascii="Times New Roman" w:hAnsi="Times New Roman" w:cs="Times New Roman"/>
          <w:sz w:val="24"/>
          <w:szCs w:val="24"/>
        </w:rPr>
        <w:t xml:space="preserve">Despite this, some scholars have argued that the historicity of 2 Maccabees should not be dismissed. One particular theme which illuminates this argument is that of the </w:t>
      </w:r>
      <w:r w:rsidR="008B4F94">
        <w:rPr>
          <w:rFonts w:ascii="Times New Roman" w:hAnsi="Times New Roman" w:cs="Times New Roman"/>
          <w:sz w:val="24"/>
          <w:szCs w:val="24"/>
        </w:rPr>
        <w:t>festival</w:t>
      </w:r>
      <w:r>
        <w:rPr>
          <w:rFonts w:ascii="Times New Roman" w:hAnsi="Times New Roman" w:cs="Times New Roman"/>
          <w:sz w:val="24"/>
          <w:szCs w:val="24"/>
        </w:rPr>
        <w:t xml:space="preserve"> of Hanukkah.</w:t>
      </w:r>
      <w:r w:rsidR="004D17D5">
        <w:rPr>
          <w:rFonts w:ascii="Times New Roman" w:hAnsi="Times New Roman" w:cs="Times New Roman"/>
          <w:sz w:val="24"/>
          <w:szCs w:val="24"/>
        </w:rPr>
        <w:t xml:space="preserve"> The </w:t>
      </w:r>
      <w:r w:rsidR="00E40245">
        <w:rPr>
          <w:rFonts w:ascii="Times New Roman" w:hAnsi="Times New Roman" w:cs="Times New Roman"/>
          <w:sz w:val="24"/>
          <w:szCs w:val="24"/>
        </w:rPr>
        <w:t xml:space="preserve">historical </w:t>
      </w:r>
      <w:r w:rsidR="004D17D5">
        <w:rPr>
          <w:rFonts w:ascii="Times New Roman" w:hAnsi="Times New Roman" w:cs="Times New Roman"/>
          <w:sz w:val="24"/>
          <w:szCs w:val="24"/>
        </w:rPr>
        <w:t>origins of Hanukkah are well documented in 1 Maccabees in a detailed account of the cleansing and re-dedication of the temple, which was rebuilt and adorned, followed by an eight day celebration of the dedication.</w:t>
      </w:r>
      <w:r w:rsidR="00E40245">
        <w:rPr>
          <w:rStyle w:val="FootnoteReference"/>
          <w:rFonts w:ascii="Times New Roman" w:hAnsi="Times New Roman" w:cs="Times New Roman"/>
          <w:sz w:val="24"/>
          <w:szCs w:val="24"/>
        </w:rPr>
        <w:footnoteReference w:id="8"/>
      </w:r>
      <w:r w:rsidR="005E6169">
        <w:rPr>
          <w:rFonts w:ascii="Times New Roman" w:hAnsi="Times New Roman" w:cs="Times New Roman"/>
          <w:sz w:val="24"/>
          <w:szCs w:val="24"/>
        </w:rPr>
        <w:t xml:space="preserve"> In regard to 2 Maccabees, Wheaton notes its ‘neglect…as evidence for Hanukkah’ in the scholarship, but argues that a re-reading highlights the way in which </w:t>
      </w:r>
      <w:r w:rsidR="00D278D9">
        <w:rPr>
          <w:rFonts w:ascii="Times New Roman" w:hAnsi="Times New Roman" w:cs="Times New Roman"/>
          <w:sz w:val="24"/>
          <w:szCs w:val="24"/>
        </w:rPr>
        <w:t>its</w:t>
      </w:r>
      <w:r w:rsidR="005E6169">
        <w:rPr>
          <w:rFonts w:ascii="Times New Roman" w:hAnsi="Times New Roman" w:cs="Times New Roman"/>
          <w:sz w:val="24"/>
          <w:szCs w:val="24"/>
        </w:rPr>
        <w:t xml:space="preserve"> author ‘imbued Hanukkah with meaning’.</w:t>
      </w:r>
      <w:r w:rsidR="00775826">
        <w:rPr>
          <w:rStyle w:val="FootnoteReference"/>
          <w:rFonts w:ascii="Times New Roman" w:hAnsi="Times New Roman" w:cs="Times New Roman"/>
          <w:sz w:val="24"/>
          <w:szCs w:val="24"/>
        </w:rPr>
        <w:footnoteReference w:id="9"/>
      </w:r>
      <w:r w:rsidR="009721F9">
        <w:rPr>
          <w:rFonts w:ascii="Times New Roman" w:hAnsi="Times New Roman" w:cs="Times New Roman"/>
          <w:sz w:val="24"/>
          <w:szCs w:val="24"/>
        </w:rPr>
        <w:t xml:space="preserve"> In </w:t>
      </w:r>
      <w:r w:rsidR="009721F9">
        <w:rPr>
          <w:rFonts w:ascii="Times New Roman" w:hAnsi="Times New Roman" w:cs="Times New Roman"/>
          <w:sz w:val="24"/>
          <w:szCs w:val="24"/>
        </w:rPr>
        <w:lastRenderedPageBreak/>
        <w:t>particular, Wheaton notes the urge in the letters for all Jews, including the ‘scattered people’, to partake in the celebration of Hanukkah,</w:t>
      </w:r>
      <w:r w:rsidR="00D2627D">
        <w:rPr>
          <w:rStyle w:val="FootnoteReference"/>
          <w:rFonts w:ascii="Times New Roman" w:hAnsi="Times New Roman" w:cs="Times New Roman"/>
          <w:sz w:val="24"/>
          <w:szCs w:val="24"/>
        </w:rPr>
        <w:footnoteReference w:id="10"/>
      </w:r>
      <w:r w:rsidR="009721F9">
        <w:rPr>
          <w:rFonts w:ascii="Times New Roman" w:hAnsi="Times New Roman" w:cs="Times New Roman"/>
          <w:sz w:val="24"/>
          <w:szCs w:val="24"/>
        </w:rPr>
        <w:t xml:space="preserve"> whilst the historical remainder of the book continues to ‘motivate the readers to celebrate the festival with a view toward future deliverance’</w:t>
      </w:r>
      <w:r w:rsidR="006A6B44">
        <w:rPr>
          <w:rFonts w:ascii="Times New Roman" w:hAnsi="Times New Roman" w:cs="Times New Roman"/>
          <w:sz w:val="24"/>
          <w:szCs w:val="24"/>
        </w:rPr>
        <w:t>, and as such ‘the epistolary introduction to the historical epitome of chaps. 3-15 binds the festival of Hanukkah to the events recounted therein’.</w:t>
      </w:r>
      <w:r w:rsidR="000D0952">
        <w:rPr>
          <w:rStyle w:val="FootnoteReference"/>
          <w:rFonts w:ascii="Times New Roman" w:hAnsi="Times New Roman" w:cs="Times New Roman"/>
          <w:sz w:val="24"/>
          <w:szCs w:val="24"/>
        </w:rPr>
        <w:footnoteReference w:id="11"/>
      </w:r>
      <w:r w:rsidR="00270CF8">
        <w:rPr>
          <w:rFonts w:ascii="Times New Roman" w:hAnsi="Times New Roman" w:cs="Times New Roman"/>
          <w:sz w:val="24"/>
          <w:szCs w:val="24"/>
        </w:rPr>
        <w:t xml:space="preserve"> Nevertheless, the difference in use of the theme can be observed. Once again, whilst 1 Maccabees introduces Hanukkah in an entirely historical context, the letters beseech God to gather those ‘scattered people’</w:t>
      </w:r>
      <w:r w:rsidR="00CE734C">
        <w:rPr>
          <w:rFonts w:ascii="Times New Roman" w:hAnsi="Times New Roman" w:cs="Times New Roman"/>
          <w:sz w:val="24"/>
          <w:szCs w:val="24"/>
        </w:rPr>
        <w:t xml:space="preserve"> in celebration</w:t>
      </w:r>
      <w:r w:rsidR="00270CF8">
        <w:rPr>
          <w:rFonts w:ascii="Times New Roman" w:hAnsi="Times New Roman" w:cs="Times New Roman"/>
          <w:sz w:val="24"/>
          <w:szCs w:val="24"/>
        </w:rPr>
        <w:t xml:space="preserve"> and are focused on divine intervention to that effect as opposed to the human-led instigation of Hanukkah</w:t>
      </w:r>
      <w:r w:rsidR="00CD6ECD">
        <w:rPr>
          <w:rFonts w:ascii="Times New Roman" w:hAnsi="Times New Roman" w:cs="Times New Roman"/>
          <w:sz w:val="24"/>
          <w:szCs w:val="24"/>
        </w:rPr>
        <w:t xml:space="preserve"> in 1 Maccabees.</w:t>
      </w:r>
      <w:r w:rsidR="002E1B2F">
        <w:rPr>
          <w:rFonts w:ascii="Times New Roman" w:hAnsi="Times New Roman" w:cs="Times New Roman"/>
          <w:sz w:val="24"/>
          <w:szCs w:val="24"/>
        </w:rPr>
        <w:t xml:space="preserve"> Thus, whilst the theme is shared, it is exercised in different ways.</w:t>
      </w:r>
    </w:p>
    <w:p w14:paraId="649FF60B" w14:textId="5BCEF87F" w:rsidR="00B35A20" w:rsidRDefault="00B35A20" w:rsidP="00751B8D">
      <w:pPr>
        <w:rPr>
          <w:rFonts w:ascii="Times New Roman" w:hAnsi="Times New Roman" w:cs="Times New Roman"/>
          <w:sz w:val="24"/>
          <w:szCs w:val="24"/>
        </w:rPr>
      </w:pPr>
    </w:p>
    <w:p w14:paraId="0DE7EE31" w14:textId="12A87825" w:rsidR="00BE6DC3" w:rsidRDefault="00B35A20" w:rsidP="00751B8D">
      <w:pPr>
        <w:rPr>
          <w:rFonts w:ascii="Times New Roman" w:hAnsi="Times New Roman" w:cs="Times New Roman"/>
          <w:sz w:val="24"/>
          <w:szCs w:val="24"/>
        </w:rPr>
      </w:pPr>
      <w:r>
        <w:rPr>
          <w:rFonts w:ascii="Times New Roman" w:hAnsi="Times New Roman" w:cs="Times New Roman"/>
          <w:sz w:val="24"/>
          <w:szCs w:val="24"/>
        </w:rPr>
        <w:t>Another important theme within 1 and 2 Maccabees is heroism</w:t>
      </w:r>
      <w:r w:rsidR="00D8563D">
        <w:rPr>
          <w:rFonts w:ascii="Times New Roman" w:hAnsi="Times New Roman" w:cs="Times New Roman"/>
          <w:sz w:val="24"/>
          <w:szCs w:val="24"/>
        </w:rPr>
        <w:t xml:space="preserve">, which can be split into several different categories and is indeed linked to the theme of martyrdom. </w:t>
      </w:r>
      <w:r w:rsidR="000A00DD">
        <w:rPr>
          <w:rFonts w:ascii="Times New Roman" w:hAnsi="Times New Roman" w:cs="Times New Roman"/>
          <w:sz w:val="24"/>
          <w:szCs w:val="24"/>
        </w:rPr>
        <w:t>Tomes identifies these categories as ‘heroism of the warrior, the martyr, and the suicide’, correctly noting that perhaps the most obvious example is the heroism of Judas and his brothers, warriors who exhibit bravery, for example in the case of Eleazar</w:t>
      </w:r>
      <w:r w:rsidR="001E1018">
        <w:rPr>
          <w:rFonts w:ascii="Times New Roman" w:hAnsi="Times New Roman" w:cs="Times New Roman"/>
          <w:sz w:val="24"/>
          <w:szCs w:val="24"/>
        </w:rPr>
        <w:t xml:space="preserve"> </w:t>
      </w:r>
      <w:proofErr w:type="spellStart"/>
      <w:r w:rsidR="001E1018">
        <w:rPr>
          <w:rFonts w:ascii="Times New Roman" w:hAnsi="Times New Roman" w:cs="Times New Roman"/>
          <w:sz w:val="24"/>
          <w:szCs w:val="24"/>
        </w:rPr>
        <w:t>Avaran</w:t>
      </w:r>
      <w:proofErr w:type="spellEnd"/>
      <w:r w:rsidR="000A00DD">
        <w:rPr>
          <w:rFonts w:ascii="Times New Roman" w:hAnsi="Times New Roman" w:cs="Times New Roman"/>
          <w:sz w:val="24"/>
          <w:szCs w:val="24"/>
        </w:rPr>
        <w:t xml:space="preserve"> heroically charging at an elephant and losing his life.</w:t>
      </w:r>
      <w:r w:rsidR="004E5013">
        <w:rPr>
          <w:rStyle w:val="FootnoteReference"/>
          <w:rFonts w:ascii="Times New Roman" w:hAnsi="Times New Roman" w:cs="Times New Roman"/>
          <w:sz w:val="24"/>
          <w:szCs w:val="24"/>
        </w:rPr>
        <w:footnoteReference w:id="12"/>
      </w:r>
      <w:r w:rsidR="00A67B9B">
        <w:rPr>
          <w:rFonts w:ascii="Times New Roman" w:hAnsi="Times New Roman" w:cs="Times New Roman"/>
          <w:sz w:val="24"/>
          <w:szCs w:val="24"/>
        </w:rPr>
        <w:t xml:space="preserve"> Tomes does however form the ‘suicide’ category on the basis of the </w:t>
      </w:r>
      <w:proofErr w:type="spellStart"/>
      <w:r w:rsidR="00A67B9B">
        <w:rPr>
          <w:rFonts w:ascii="Times New Roman" w:hAnsi="Times New Roman" w:cs="Times New Roman"/>
          <w:sz w:val="24"/>
          <w:szCs w:val="24"/>
        </w:rPr>
        <w:t>Razis</w:t>
      </w:r>
      <w:proofErr w:type="spellEnd"/>
      <w:r w:rsidR="00A67B9B">
        <w:rPr>
          <w:rFonts w:ascii="Times New Roman" w:hAnsi="Times New Roman" w:cs="Times New Roman"/>
          <w:sz w:val="24"/>
          <w:szCs w:val="24"/>
        </w:rPr>
        <w:t xml:space="preserve"> episode, which is arguably identifiable with or </w:t>
      </w:r>
      <w:r w:rsidR="007E5750">
        <w:rPr>
          <w:rFonts w:ascii="Times New Roman" w:hAnsi="Times New Roman" w:cs="Times New Roman"/>
          <w:sz w:val="24"/>
          <w:szCs w:val="24"/>
        </w:rPr>
        <w:t>could at least be considered a</w:t>
      </w:r>
      <w:r w:rsidR="00A67B9B">
        <w:rPr>
          <w:rFonts w:ascii="Times New Roman" w:hAnsi="Times New Roman" w:cs="Times New Roman"/>
          <w:sz w:val="24"/>
          <w:szCs w:val="24"/>
        </w:rPr>
        <w:t xml:space="preserve"> sub-section of martyrdom, and </w:t>
      </w:r>
      <w:r w:rsidR="00715432">
        <w:rPr>
          <w:rFonts w:ascii="Times New Roman" w:hAnsi="Times New Roman" w:cs="Times New Roman"/>
          <w:sz w:val="24"/>
          <w:szCs w:val="24"/>
        </w:rPr>
        <w:t>thus</w:t>
      </w:r>
      <w:r w:rsidR="00A67B9B">
        <w:rPr>
          <w:rFonts w:ascii="Times New Roman" w:hAnsi="Times New Roman" w:cs="Times New Roman"/>
          <w:sz w:val="24"/>
          <w:szCs w:val="24"/>
        </w:rPr>
        <w:t xml:space="preserve"> </w:t>
      </w:r>
      <w:r w:rsidR="005A2735">
        <w:rPr>
          <w:rFonts w:ascii="Times New Roman" w:hAnsi="Times New Roman" w:cs="Times New Roman"/>
          <w:sz w:val="24"/>
          <w:szCs w:val="24"/>
        </w:rPr>
        <w:t xml:space="preserve">the former two categories only </w:t>
      </w:r>
      <w:r w:rsidR="00A67B9B">
        <w:rPr>
          <w:rFonts w:ascii="Times New Roman" w:hAnsi="Times New Roman" w:cs="Times New Roman"/>
          <w:sz w:val="24"/>
          <w:szCs w:val="24"/>
        </w:rPr>
        <w:t xml:space="preserve">will be treated </w:t>
      </w:r>
      <w:r w:rsidR="009C0AAB">
        <w:rPr>
          <w:rFonts w:ascii="Times New Roman" w:hAnsi="Times New Roman" w:cs="Times New Roman"/>
          <w:sz w:val="24"/>
          <w:szCs w:val="24"/>
        </w:rPr>
        <w:t xml:space="preserve">here </w:t>
      </w:r>
      <w:r w:rsidR="00A67B9B">
        <w:rPr>
          <w:rFonts w:ascii="Times New Roman" w:hAnsi="Times New Roman" w:cs="Times New Roman"/>
          <w:sz w:val="24"/>
          <w:szCs w:val="24"/>
        </w:rPr>
        <w:t>for argument’s sake.</w:t>
      </w:r>
      <w:r w:rsidR="00A67B9B">
        <w:rPr>
          <w:rStyle w:val="FootnoteReference"/>
          <w:rFonts w:ascii="Times New Roman" w:hAnsi="Times New Roman" w:cs="Times New Roman"/>
          <w:sz w:val="24"/>
          <w:szCs w:val="24"/>
        </w:rPr>
        <w:footnoteReference w:id="13"/>
      </w:r>
      <w:r w:rsidR="00FE2189">
        <w:rPr>
          <w:rFonts w:ascii="Times New Roman" w:hAnsi="Times New Roman" w:cs="Times New Roman"/>
          <w:sz w:val="24"/>
          <w:szCs w:val="24"/>
        </w:rPr>
        <w:t xml:space="preserve"> </w:t>
      </w:r>
      <w:r w:rsidR="00FA7C69">
        <w:rPr>
          <w:rFonts w:ascii="Times New Roman" w:hAnsi="Times New Roman" w:cs="Times New Roman"/>
          <w:sz w:val="24"/>
          <w:szCs w:val="24"/>
        </w:rPr>
        <w:t xml:space="preserve">The important distinguishing factor between 1 and 2 Maccabees here is </w:t>
      </w:r>
      <w:r w:rsidR="00154131">
        <w:rPr>
          <w:rFonts w:ascii="Times New Roman" w:hAnsi="Times New Roman" w:cs="Times New Roman"/>
          <w:sz w:val="24"/>
          <w:szCs w:val="24"/>
        </w:rPr>
        <w:t xml:space="preserve">that </w:t>
      </w:r>
      <w:r w:rsidR="00FA7C69">
        <w:rPr>
          <w:rFonts w:ascii="Times New Roman" w:hAnsi="Times New Roman" w:cs="Times New Roman"/>
          <w:sz w:val="24"/>
          <w:szCs w:val="24"/>
        </w:rPr>
        <w:t xml:space="preserve">the two categories </w:t>
      </w:r>
      <w:r w:rsidR="00154131">
        <w:rPr>
          <w:rFonts w:ascii="Times New Roman" w:hAnsi="Times New Roman" w:cs="Times New Roman"/>
          <w:sz w:val="24"/>
          <w:szCs w:val="24"/>
        </w:rPr>
        <w:t xml:space="preserve">do not </w:t>
      </w:r>
      <w:r w:rsidR="00FA7C69">
        <w:rPr>
          <w:rFonts w:ascii="Times New Roman" w:hAnsi="Times New Roman" w:cs="Times New Roman"/>
          <w:sz w:val="24"/>
          <w:szCs w:val="24"/>
        </w:rPr>
        <w:t xml:space="preserve">represent the theme of heroism </w:t>
      </w:r>
      <w:r w:rsidR="00154131">
        <w:rPr>
          <w:rFonts w:ascii="Times New Roman" w:hAnsi="Times New Roman" w:cs="Times New Roman"/>
          <w:sz w:val="24"/>
          <w:szCs w:val="24"/>
        </w:rPr>
        <w:t xml:space="preserve">equally </w:t>
      </w:r>
      <w:r w:rsidR="00FA7C69">
        <w:rPr>
          <w:rFonts w:ascii="Times New Roman" w:hAnsi="Times New Roman" w:cs="Times New Roman"/>
          <w:sz w:val="24"/>
          <w:szCs w:val="24"/>
        </w:rPr>
        <w:t>within both books.</w:t>
      </w:r>
      <w:r w:rsidR="00EE5297">
        <w:rPr>
          <w:rFonts w:ascii="Times New Roman" w:hAnsi="Times New Roman" w:cs="Times New Roman"/>
          <w:sz w:val="24"/>
          <w:szCs w:val="24"/>
        </w:rPr>
        <w:t xml:space="preserve"> Returning to the martyrdom of the Jews hiding from the king’s officers, Tome</w:t>
      </w:r>
      <w:r w:rsidR="000A167E">
        <w:rPr>
          <w:rFonts w:ascii="Times New Roman" w:hAnsi="Times New Roman" w:cs="Times New Roman"/>
          <w:sz w:val="24"/>
          <w:szCs w:val="24"/>
        </w:rPr>
        <w:t>s</w:t>
      </w:r>
      <w:r w:rsidR="00EE5297">
        <w:rPr>
          <w:rFonts w:ascii="Times New Roman" w:hAnsi="Times New Roman" w:cs="Times New Roman"/>
          <w:sz w:val="24"/>
          <w:szCs w:val="24"/>
        </w:rPr>
        <w:t xml:space="preserve"> rightly notes </w:t>
      </w:r>
      <w:r w:rsidR="00EE5297">
        <w:rPr>
          <w:rFonts w:ascii="Times New Roman" w:hAnsi="Times New Roman" w:cs="Times New Roman"/>
          <w:sz w:val="24"/>
          <w:szCs w:val="24"/>
        </w:rPr>
        <w:lastRenderedPageBreak/>
        <w:t>that their decision not to fight so as to not ‘profane the sabbath day’ is not well received by Mattathias</w:t>
      </w:r>
      <w:r w:rsidR="00C96B06">
        <w:rPr>
          <w:rFonts w:ascii="Times New Roman" w:hAnsi="Times New Roman" w:cs="Times New Roman"/>
          <w:sz w:val="24"/>
          <w:szCs w:val="24"/>
        </w:rPr>
        <w:t>, who believes that if they do not defend themselves, then they will ultimately be eradicated</w:t>
      </w:r>
      <w:r w:rsidR="00254965">
        <w:rPr>
          <w:rFonts w:ascii="Times New Roman" w:hAnsi="Times New Roman" w:cs="Times New Roman"/>
          <w:sz w:val="24"/>
          <w:szCs w:val="24"/>
        </w:rPr>
        <w:t>.</w:t>
      </w:r>
      <w:r w:rsidR="00B925E0">
        <w:rPr>
          <w:rStyle w:val="FootnoteReference"/>
          <w:rFonts w:ascii="Times New Roman" w:hAnsi="Times New Roman" w:cs="Times New Roman"/>
          <w:sz w:val="24"/>
          <w:szCs w:val="24"/>
        </w:rPr>
        <w:footnoteReference w:id="14"/>
      </w:r>
      <w:r w:rsidR="000148BA">
        <w:rPr>
          <w:rFonts w:ascii="Times New Roman" w:hAnsi="Times New Roman" w:cs="Times New Roman"/>
          <w:sz w:val="24"/>
          <w:szCs w:val="24"/>
        </w:rPr>
        <w:t xml:space="preserve"> Here, then, Mattathias embodies heroism in the form of the warrior, but in such a way that reduces the heroism of the martyrs</w:t>
      </w:r>
      <w:r w:rsidR="00733D4F">
        <w:rPr>
          <w:rFonts w:ascii="Times New Roman" w:hAnsi="Times New Roman" w:cs="Times New Roman"/>
          <w:sz w:val="24"/>
          <w:szCs w:val="24"/>
        </w:rPr>
        <w:t xml:space="preserve"> owing to the fact that their actions in observing their law and faith were</w:t>
      </w:r>
      <w:r w:rsidR="00B51ED8">
        <w:rPr>
          <w:rFonts w:ascii="Times New Roman" w:hAnsi="Times New Roman" w:cs="Times New Roman"/>
          <w:sz w:val="24"/>
          <w:szCs w:val="24"/>
        </w:rPr>
        <w:t xml:space="preserve"> essentially</w:t>
      </w:r>
      <w:r w:rsidR="00733D4F">
        <w:rPr>
          <w:rFonts w:ascii="Times New Roman" w:hAnsi="Times New Roman" w:cs="Times New Roman"/>
          <w:sz w:val="24"/>
          <w:szCs w:val="24"/>
        </w:rPr>
        <w:t xml:space="preserve"> incorrect in the context of the threat that faces them</w:t>
      </w:r>
      <w:r w:rsidR="00801ECD">
        <w:rPr>
          <w:rFonts w:ascii="Times New Roman" w:hAnsi="Times New Roman" w:cs="Times New Roman"/>
          <w:sz w:val="24"/>
          <w:szCs w:val="24"/>
        </w:rPr>
        <w:t xml:space="preserve"> and, equally, because ‘they had hoped not to be found out’.</w:t>
      </w:r>
      <w:r w:rsidR="00801ECD">
        <w:rPr>
          <w:rStyle w:val="FootnoteReference"/>
          <w:rFonts w:ascii="Times New Roman" w:hAnsi="Times New Roman" w:cs="Times New Roman"/>
          <w:sz w:val="24"/>
          <w:szCs w:val="24"/>
        </w:rPr>
        <w:footnoteReference w:id="15"/>
      </w:r>
    </w:p>
    <w:p w14:paraId="252457B2" w14:textId="77777777" w:rsidR="00BE6DC3" w:rsidRDefault="00BE6DC3" w:rsidP="00751B8D">
      <w:pPr>
        <w:rPr>
          <w:rFonts w:ascii="Times New Roman" w:hAnsi="Times New Roman" w:cs="Times New Roman"/>
          <w:sz w:val="24"/>
          <w:szCs w:val="24"/>
        </w:rPr>
      </w:pPr>
    </w:p>
    <w:p w14:paraId="3BF8A3E4" w14:textId="6FA2BCFA" w:rsidR="00820627" w:rsidRDefault="00E71BDA" w:rsidP="00751B8D">
      <w:pPr>
        <w:rPr>
          <w:rFonts w:ascii="Times New Roman" w:hAnsi="Times New Roman" w:cs="Times New Roman"/>
          <w:sz w:val="24"/>
          <w:szCs w:val="24"/>
        </w:rPr>
      </w:pPr>
      <w:r>
        <w:rPr>
          <w:rFonts w:ascii="Times New Roman" w:hAnsi="Times New Roman" w:cs="Times New Roman"/>
          <w:sz w:val="24"/>
          <w:szCs w:val="24"/>
        </w:rPr>
        <w:t xml:space="preserve">Conversely, the martyrs in 2 Maccabees are heroic </w:t>
      </w:r>
      <w:r w:rsidRPr="005E060C">
        <w:rPr>
          <w:rFonts w:ascii="Times New Roman" w:hAnsi="Times New Roman" w:cs="Times New Roman"/>
          <w:i/>
          <w:iCs/>
          <w:sz w:val="24"/>
          <w:szCs w:val="24"/>
        </w:rPr>
        <w:t>precisely</w:t>
      </w:r>
      <w:r>
        <w:rPr>
          <w:rFonts w:ascii="Times New Roman" w:hAnsi="Times New Roman" w:cs="Times New Roman"/>
          <w:sz w:val="24"/>
          <w:szCs w:val="24"/>
        </w:rPr>
        <w:t xml:space="preserve"> because they die adhering to their law. </w:t>
      </w:r>
      <w:r w:rsidR="00636F6C">
        <w:rPr>
          <w:rFonts w:ascii="Times New Roman" w:hAnsi="Times New Roman" w:cs="Times New Roman"/>
          <w:sz w:val="24"/>
          <w:szCs w:val="24"/>
        </w:rPr>
        <w:t>As with the case of Hanukkah, the events of 1 Maccabees are human-led and revolve around individuals shaping their own fate with less divine intervention, whilst in 2 Maccabees reverence for God and divine intervention guide human action</w:t>
      </w:r>
      <w:r w:rsidR="00E3699B">
        <w:rPr>
          <w:rFonts w:ascii="Times New Roman" w:hAnsi="Times New Roman" w:cs="Times New Roman"/>
          <w:sz w:val="24"/>
          <w:szCs w:val="24"/>
        </w:rPr>
        <w:t>,</w:t>
      </w:r>
      <w:r w:rsidR="00636F6C">
        <w:rPr>
          <w:rFonts w:ascii="Times New Roman" w:hAnsi="Times New Roman" w:cs="Times New Roman"/>
          <w:sz w:val="24"/>
          <w:szCs w:val="24"/>
        </w:rPr>
        <w:t xml:space="preserve"> and </w:t>
      </w:r>
      <w:r w:rsidR="00E3699B">
        <w:rPr>
          <w:rFonts w:ascii="Times New Roman" w:hAnsi="Times New Roman" w:cs="Times New Roman"/>
          <w:sz w:val="24"/>
          <w:szCs w:val="24"/>
        </w:rPr>
        <w:t xml:space="preserve">so </w:t>
      </w:r>
      <w:r w:rsidR="00636F6C">
        <w:rPr>
          <w:rFonts w:ascii="Times New Roman" w:hAnsi="Times New Roman" w:cs="Times New Roman"/>
          <w:sz w:val="24"/>
          <w:szCs w:val="24"/>
        </w:rPr>
        <w:t>martyrdom</w:t>
      </w:r>
      <w:r w:rsidR="00951EAD">
        <w:rPr>
          <w:rFonts w:ascii="Times New Roman" w:hAnsi="Times New Roman" w:cs="Times New Roman"/>
          <w:sz w:val="24"/>
          <w:szCs w:val="24"/>
        </w:rPr>
        <w:t xml:space="preserve"> here</w:t>
      </w:r>
      <w:r w:rsidR="00636F6C">
        <w:rPr>
          <w:rFonts w:ascii="Times New Roman" w:hAnsi="Times New Roman" w:cs="Times New Roman"/>
          <w:sz w:val="24"/>
          <w:szCs w:val="24"/>
        </w:rPr>
        <w:t xml:space="preserve"> equates to heroism.</w:t>
      </w:r>
      <w:r w:rsidR="00A720AA">
        <w:rPr>
          <w:rFonts w:ascii="Times New Roman" w:hAnsi="Times New Roman" w:cs="Times New Roman"/>
          <w:sz w:val="24"/>
          <w:szCs w:val="24"/>
        </w:rPr>
        <w:t xml:space="preserve"> </w:t>
      </w:r>
      <w:r w:rsidR="00DF742E">
        <w:rPr>
          <w:rFonts w:ascii="Times New Roman" w:hAnsi="Times New Roman" w:cs="Times New Roman"/>
          <w:sz w:val="24"/>
          <w:szCs w:val="24"/>
        </w:rPr>
        <w:t xml:space="preserve">Similarly, heroism of the warrior in 2 Maccabees is often represented by the supernatural, again leading the narrative in relation to the divine </w:t>
      </w:r>
      <w:r w:rsidR="000905F9">
        <w:rPr>
          <w:rFonts w:ascii="Times New Roman" w:hAnsi="Times New Roman" w:cs="Times New Roman"/>
          <w:sz w:val="24"/>
          <w:szCs w:val="24"/>
        </w:rPr>
        <w:t>as can be observed</w:t>
      </w:r>
      <w:r w:rsidR="00C21852">
        <w:rPr>
          <w:rFonts w:ascii="Times New Roman" w:hAnsi="Times New Roman" w:cs="Times New Roman"/>
          <w:sz w:val="24"/>
          <w:szCs w:val="24"/>
        </w:rPr>
        <w:t>, for example,</w:t>
      </w:r>
      <w:r w:rsidR="000905F9">
        <w:rPr>
          <w:rFonts w:ascii="Times New Roman" w:hAnsi="Times New Roman" w:cs="Times New Roman"/>
          <w:sz w:val="24"/>
          <w:szCs w:val="24"/>
        </w:rPr>
        <w:t xml:space="preserve"> by the heaven-sent horseman </w:t>
      </w:r>
      <w:r w:rsidR="008569D1">
        <w:rPr>
          <w:rFonts w:ascii="Times New Roman" w:hAnsi="Times New Roman" w:cs="Times New Roman"/>
          <w:sz w:val="24"/>
          <w:szCs w:val="24"/>
        </w:rPr>
        <w:t xml:space="preserve">at Beth-zur </w:t>
      </w:r>
      <w:r w:rsidR="000905F9">
        <w:rPr>
          <w:rFonts w:ascii="Times New Roman" w:hAnsi="Times New Roman" w:cs="Times New Roman"/>
          <w:sz w:val="24"/>
          <w:szCs w:val="24"/>
        </w:rPr>
        <w:t>who ‘dressed in white and brandishing weapons of gold appears at the head of the Judean army, in response to the prayer that God would send a good angel to deliver them’.</w:t>
      </w:r>
      <w:r w:rsidR="00315404">
        <w:rPr>
          <w:rStyle w:val="FootnoteReference"/>
          <w:rFonts w:ascii="Times New Roman" w:hAnsi="Times New Roman" w:cs="Times New Roman"/>
          <w:sz w:val="24"/>
          <w:szCs w:val="24"/>
        </w:rPr>
        <w:footnoteReference w:id="16"/>
      </w:r>
      <w:r w:rsidR="000905F9">
        <w:rPr>
          <w:rFonts w:ascii="Times New Roman" w:hAnsi="Times New Roman" w:cs="Times New Roman"/>
          <w:sz w:val="24"/>
          <w:szCs w:val="24"/>
        </w:rPr>
        <w:t xml:space="preserve"> </w:t>
      </w:r>
      <w:r w:rsidR="005D734D">
        <w:rPr>
          <w:rFonts w:ascii="Times New Roman" w:hAnsi="Times New Roman" w:cs="Times New Roman"/>
          <w:sz w:val="24"/>
          <w:szCs w:val="24"/>
        </w:rPr>
        <w:t>This particular account of a God-led force is of course vastly different to Mattathias’ rebellion which takes matters into</w:t>
      </w:r>
      <w:r w:rsidR="008A488E">
        <w:rPr>
          <w:rFonts w:ascii="Times New Roman" w:hAnsi="Times New Roman" w:cs="Times New Roman"/>
          <w:sz w:val="24"/>
          <w:szCs w:val="24"/>
        </w:rPr>
        <w:t xml:space="preserve"> its</w:t>
      </w:r>
      <w:r w:rsidR="005D734D">
        <w:rPr>
          <w:rFonts w:ascii="Times New Roman" w:hAnsi="Times New Roman" w:cs="Times New Roman"/>
          <w:sz w:val="24"/>
          <w:szCs w:val="24"/>
        </w:rPr>
        <w:t xml:space="preserve"> own hands. </w:t>
      </w:r>
      <w:r w:rsidR="008A488E">
        <w:rPr>
          <w:rFonts w:ascii="Times New Roman" w:hAnsi="Times New Roman" w:cs="Times New Roman"/>
          <w:sz w:val="24"/>
          <w:szCs w:val="24"/>
        </w:rPr>
        <w:t xml:space="preserve">Similarly, as martyrdom is an intrinsically more peaceful act of heroism than war and rebellion, arguably 2 Maccabees is decidedly more peaceful in its overall teachings. </w:t>
      </w:r>
      <w:r w:rsidR="00A720AA">
        <w:rPr>
          <w:rFonts w:ascii="Times New Roman" w:hAnsi="Times New Roman" w:cs="Times New Roman"/>
          <w:sz w:val="24"/>
          <w:szCs w:val="24"/>
        </w:rPr>
        <w:t xml:space="preserve">Thus heroism, too, is a shared theme which is exercised in </w:t>
      </w:r>
      <w:r w:rsidR="0014586C">
        <w:rPr>
          <w:rFonts w:ascii="Times New Roman" w:hAnsi="Times New Roman" w:cs="Times New Roman"/>
          <w:sz w:val="24"/>
          <w:szCs w:val="24"/>
        </w:rPr>
        <w:t xml:space="preserve">very </w:t>
      </w:r>
      <w:r w:rsidR="00A720AA">
        <w:rPr>
          <w:rFonts w:ascii="Times New Roman" w:hAnsi="Times New Roman" w:cs="Times New Roman"/>
          <w:sz w:val="24"/>
          <w:szCs w:val="24"/>
        </w:rPr>
        <w:t>different ways.</w:t>
      </w:r>
    </w:p>
    <w:p w14:paraId="2F07D3A1" w14:textId="5A4E8814" w:rsidR="009E4E49" w:rsidRDefault="009E4E49" w:rsidP="00751B8D">
      <w:pPr>
        <w:rPr>
          <w:rFonts w:ascii="Times New Roman" w:hAnsi="Times New Roman" w:cs="Times New Roman"/>
          <w:sz w:val="24"/>
          <w:szCs w:val="24"/>
        </w:rPr>
      </w:pPr>
    </w:p>
    <w:p w14:paraId="7119AFD9" w14:textId="1D24109D" w:rsidR="00C1017E" w:rsidRDefault="009E4E49" w:rsidP="00751B8D">
      <w:pPr>
        <w:rPr>
          <w:rFonts w:ascii="Times New Roman" w:hAnsi="Times New Roman" w:cs="Times New Roman"/>
          <w:sz w:val="24"/>
          <w:szCs w:val="24"/>
        </w:rPr>
      </w:pPr>
      <w:r>
        <w:rPr>
          <w:rFonts w:ascii="Times New Roman" w:hAnsi="Times New Roman" w:cs="Times New Roman"/>
          <w:sz w:val="24"/>
          <w:szCs w:val="24"/>
        </w:rPr>
        <w:lastRenderedPageBreak/>
        <w:t>Peace and war do, of course, constitute themes within the books, though it is perhaps best to examine these themes in relation to</w:t>
      </w:r>
      <w:r w:rsidR="00D07EE7">
        <w:rPr>
          <w:rFonts w:ascii="Times New Roman" w:hAnsi="Times New Roman" w:cs="Times New Roman"/>
          <w:sz w:val="24"/>
          <w:szCs w:val="24"/>
        </w:rPr>
        <w:t xml:space="preserve"> the underlying cause of the conflict</w:t>
      </w:r>
      <w:r w:rsidR="008502A8">
        <w:rPr>
          <w:rFonts w:ascii="Times New Roman" w:hAnsi="Times New Roman" w:cs="Times New Roman"/>
          <w:sz w:val="24"/>
          <w:szCs w:val="24"/>
        </w:rPr>
        <w:t>:</w:t>
      </w:r>
      <w:r>
        <w:rPr>
          <w:rFonts w:ascii="Times New Roman" w:hAnsi="Times New Roman" w:cs="Times New Roman"/>
          <w:sz w:val="24"/>
          <w:szCs w:val="24"/>
        </w:rPr>
        <w:t xml:space="preserve"> Hellenization</w:t>
      </w:r>
      <w:r w:rsidR="00437B65">
        <w:rPr>
          <w:rFonts w:ascii="Times New Roman" w:hAnsi="Times New Roman" w:cs="Times New Roman"/>
          <w:sz w:val="24"/>
          <w:szCs w:val="24"/>
        </w:rPr>
        <w:t>.</w:t>
      </w:r>
      <w:r w:rsidR="00F67E3E">
        <w:rPr>
          <w:rFonts w:ascii="Times New Roman" w:hAnsi="Times New Roman" w:cs="Times New Roman"/>
          <w:sz w:val="24"/>
          <w:szCs w:val="24"/>
        </w:rPr>
        <w:t xml:space="preserve"> </w:t>
      </w:r>
      <w:r w:rsidR="00023F78">
        <w:rPr>
          <w:rFonts w:ascii="Times New Roman" w:hAnsi="Times New Roman" w:cs="Times New Roman"/>
          <w:sz w:val="24"/>
          <w:szCs w:val="24"/>
        </w:rPr>
        <w:t>A</w:t>
      </w:r>
      <w:r w:rsidR="00F67E3E">
        <w:rPr>
          <w:rFonts w:ascii="Times New Roman" w:hAnsi="Times New Roman" w:cs="Times New Roman"/>
          <w:sz w:val="24"/>
          <w:szCs w:val="24"/>
        </w:rPr>
        <w:t>s Law points out, ‘Jews had been dispersed all over the Mediterranean world since the Babylonian captivity of the sixth century B.C.E.’ and so many found themselves living within Hellenistic cities such as Alexandria during the Hellenistic period</w:t>
      </w:r>
      <w:r w:rsidR="000B7F3C">
        <w:rPr>
          <w:rFonts w:ascii="Times New Roman" w:hAnsi="Times New Roman" w:cs="Times New Roman"/>
          <w:sz w:val="24"/>
          <w:szCs w:val="24"/>
        </w:rPr>
        <w:t>, where they were able to ‘participate as fully in Greek culture’ whilst also preserving their religious traditions.</w:t>
      </w:r>
      <w:r w:rsidR="00D30DF2">
        <w:rPr>
          <w:rStyle w:val="FootnoteReference"/>
          <w:rFonts w:ascii="Times New Roman" w:hAnsi="Times New Roman" w:cs="Times New Roman"/>
          <w:sz w:val="24"/>
          <w:szCs w:val="24"/>
        </w:rPr>
        <w:footnoteReference w:id="17"/>
      </w:r>
      <w:r w:rsidR="003F5D9A">
        <w:rPr>
          <w:rFonts w:ascii="Times New Roman" w:hAnsi="Times New Roman" w:cs="Times New Roman"/>
          <w:sz w:val="24"/>
          <w:szCs w:val="24"/>
        </w:rPr>
        <w:t xml:space="preserve"> The world of the Maccabees is, of course, one which casts a more dour light </w:t>
      </w:r>
      <w:r w:rsidR="00D84A05">
        <w:rPr>
          <w:rFonts w:ascii="Times New Roman" w:hAnsi="Times New Roman" w:cs="Times New Roman"/>
          <w:sz w:val="24"/>
          <w:szCs w:val="24"/>
        </w:rPr>
        <w:t>on this situation, casting these Greek ways of life as unclean and corrupt</w:t>
      </w:r>
      <w:r w:rsidR="002D4F59">
        <w:rPr>
          <w:rFonts w:ascii="Times New Roman" w:hAnsi="Times New Roman" w:cs="Times New Roman"/>
          <w:sz w:val="24"/>
          <w:szCs w:val="24"/>
        </w:rPr>
        <w:t>ing</w:t>
      </w:r>
      <w:r w:rsidR="00D84A05">
        <w:rPr>
          <w:rFonts w:ascii="Times New Roman" w:hAnsi="Times New Roman" w:cs="Times New Roman"/>
          <w:sz w:val="24"/>
          <w:szCs w:val="24"/>
        </w:rPr>
        <w:t>, as is evident from a description in 1 Maccabees of the installation of Gentile cults within Judah</w:t>
      </w:r>
      <w:r w:rsidR="00C65F6C">
        <w:rPr>
          <w:rFonts w:ascii="Times New Roman" w:hAnsi="Times New Roman" w:cs="Times New Roman"/>
          <w:sz w:val="24"/>
          <w:szCs w:val="24"/>
        </w:rPr>
        <w:t xml:space="preserve"> in which even many Jews are said to gladly abandon their religious customs.</w:t>
      </w:r>
      <w:r w:rsidR="00C83DF6">
        <w:rPr>
          <w:rStyle w:val="FootnoteReference"/>
          <w:rFonts w:ascii="Times New Roman" w:hAnsi="Times New Roman" w:cs="Times New Roman"/>
          <w:sz w:val="24"/>
          <w:szCs w:val="24"/>
        </w:rPr>
        <w:footnoteReference w:id="18"/>
      </w:r>
      <w:r w:rsidR="00DB12A3">
        <w:rPr>
          <w:rFonts w:ascii="Times New Roman" w:hAnsi="Times New Roman" w:cs="Times New Roman"/>
          <w:sz w:val="24"/>
          <w:szCs w:val="24"/>
        </w:rPr>
        <w:t xml:space="preserve"> </w:t>
      </w:r>
      <w:r w:rsidR="006408E3">
        <w:rPr>
          <w:rFonts w:ascii="Times New Roman" w:hAnsi="Times New Roman" w:cs="Times New Roman"/>
          <w:sz w:val="24"/>
          <w:szCs w:val="24"/>
        </w:rPr>
        <w:t xml:space="preserve">If we return to the letters of 2 Maccabees which beseech God to ‘set free those who are slaves among the Gentiles’ and to ‘punish those who oppress and are insolent with pride’, </w:t>
      </w:r>
      <w:r w:rsidR="00767876">
        <w:rPr>
          <w:rFonts w:ascii="Times New Roman" w:hAnsi="Times New Roman" w:cs="Times New Roman"/>
          <w:sz w:val="24"/>
          <w:szCs w:val="24"/>
        </w:rPr>
        <w:t>we see again opposition to Hellenization.</w:t>
      </w:r>
      <w:r w:rsidR="0031450D">
        <w:rPr>
          <w:rStyle w:val="FootnoteReference"/>
          <w:rFonts w:ascii="Times New Roman" w:hAnsi="Times New Roman" w:cs="Times New Roman"/>
          <w:sz w:val="24"/>
          <w:szCs w:val="24"/>
        </w:rPr>
        <w:footnoteReference w:id="19"/>
      </w:r>
      <w:r w:rsidR="00767876">
        <w:rPr>
          <w:rFonts w:ascii="Times New Roman" w:hAnsi="Times New Roman" w:cs="Times New Roman"/>
          <w:sz w:val="24"/>
          <w:szCs w:val="24"/>
        </w:rPr>
        <w:t xml:space="preserve"> </w:t>
      </w:r>
    </w:p>
    <w:p w14:paraId="44E4636B" w14:textId="77777777" w:rsidR="00C52729" w:rsidRDefault="00C52729" w:rsidP="00751B8D">
      <w:pPr>
        <w:rPr>
          <w:rFonts w:ascii="Times New Roman" w:hAnsi="Times New Roman" w:cs="Times New Roman"/>
          <w:sz w:val="24"/>
          <w:szCs w:val="24"/>
        </w:rPr>
      </w:pPr>
    </w:p>
    <w:p w14:paraId="11C73E99" w14:textId="2D5A5B51" w:rsidR="009E4E49" w:rsidRDefault="002E1145" w:rsidP="00751B8D">
      <w:pPr>
        <w:rPr>
          <w:rFonts w:ascii="Times New Roman" w:hAnsi="Times New Roman" w:cs="Times New Roman"/>
          <w:sz w:val="24"/>
          <w:szCs w:val="24"/>
        </w:rPr>
      </w:pPr>
      <w:r>
        <w:rPr>
          <w:rFonts w:ascii="Times New Roman" w:hAnsi="Times New Roman" w:cs="Times New Roman"/>
          <w:sz w:val="24"/>
          <w:szCs w:val="24"/>
        </w:rPr>
        <w:t xml:space="preserve">Nevertheless, Wheaton reads the letters in a more restrained tone, suggesting that the </w:t>
      </w:r>
      <w:r w:rsidR="00AA768B">
        <w:rPr>
          <w:rFonts w:ascii="Times New Roman" w:hAnsi="Times New Roman" w:cs="Times New Roman"/>
          <w:sz w:val="24"/>
          <w:szCs w:val="24"/>
        </w:rPr>
        <w:t xml:space="preserve">passage </w:t>
      </w:r>
      <w:r>
        <w:rPr>
          <w:rFonts w:ascii="Times New Roman" w:hAnsi="Times New Roman" w:cs="Times New Roman"/>
          <w:sz w:val="24"/>
          <w:szCs w:val="24"/>
        </w:rPr>
        <w:t xml:space="preserve">is ‘motivated less by a desire to promote Jewish identity in a context of geographic dispersion than by the need to petition God </w:t>
      </w:r>
      <w:r>
        <w:rPr>
          <w:rFonts w:ascii="Times New Roman" w:hAnsi="Times New Roman" w:cs="Times New Roman"/>
          <w:i/>
          <w:iCs/>
          <w:sz w:val="24"/>
          <w:szCs w:val="24"/>
        </w:rPr>
        <w:t>as a whole people</w:t>
      </w:r>
      <w:r>
        <w:rPr>
          <w:rFonts w:ascii="Times New Roman" w:hAnsi="Times New Roman" w:cs="Times New Roman"/>
          <w:sz w:val="24"/>
          <w:szCs w:val="24"/>
        </w:rPr>
        <w:t>’, and therefore is not about ‘ethnic solidarity before a watching world but spiritual solidarity before God’.</w:t>
      </w:r>
      <w:r w:rsidR="0077658B">
        <w:rPr>
          <w:rStyle w:val="FootnoteReference"/>
          <w:rFonts w:ascii="Times New Roman" w:hAnsi="Times New Roman" w:cs="Times New Roman"/>
          <w:sz w:val="24"/>
          <w:szCs w:val="24"/>
        </w:rPr>
        <w:footnoteReference w:id="20"/>
      </w:r>
      <w:r w:rsidR="00C1017E">
        <w:rPr>
          <w:rFonts w:ascii="Times New Roman" w:hAnsi="Times New Roman" w:cs="Times New Roman"/>
          <w:sz w:val="24"/>
          <w:szCs w:val="24"/>
        </w:rPr>
        <w:t xml:space="preserve"> The language and authorship of 2 Maccabees is </w:t>
      </w:r>
      <w:r w:rsidR="00AF42E5">
        <w:rPr>
          <w:rFonts w:ascii="Times New Roman" w:hAnsi="Times New Roman" w:cs="Times New Roman"/>
          <w:sz w:val="24"/>
          <w:szCs w:val="24"/>
        </w:rPr>
        <w:t xml:space="preserve">also </w:t>
      </w:r>
      <w:r w:rsidR="00C1017E">
        <w:rPr>
          <w:rFonts w:ascii="Times New Roman" w:hAnsi="Times New Roman" w:cs="Times New Roman"/>
          <w:sz w:val="24"/>
          <w:szCs w:val="24"/>
        </w:rPr>
        <w:t>relevant here, given that the abridger was clearly fluent in Greek and part of the Diaspora, and likely would have included letters authored by someone of a similar disposition.</w:t>
      </w:r>
      <w:r w:rsidR="00C52729">
        <w:rPr>
          <w:rFonts w:ascii="Times New Roman" w:hAnsi="Times New Roman" w:cs="Times New Roman"/>
          <w:sz w:val="24"/>
          <w:szCs w:val="24"/>
        </w:rPr>
        <w:t xml:space="preserve"> As such, while 2 Maccabees clearly confirms support for the revolt and restoration of the Temple, it could be argued that there is a less strict approach to Hellenistic culture more broadly, which clearly benefitted many Jews and did not necessarily </w:t>
      </w:r>
      <w:r w:rsidR="00C52729">
        <w:rPr>
          <w:rFonts w:ascii="Times New Roman" w:hAnsi="Times New Roman" w:cs="Times New Roman"/>
          <w:sz w:val="24"/>
          <w:szCs w:val="24"/>
        </w:rPr>
        <w:lastRenderedPageBreak/>
        <w:t>encroach on their religious practice.</w:t>
      </w:r>
      <w:r w:rsidR="00B7169E">
        <w:rPr>
          <w:rFonts w:ascii="Times New Roman" w:hAnsi="Times New Roman" w:cs="Times New Roman"/>
          <w:sz w:val="24"/>
          <w:szCs w:val="24"/>
        </w:rPr>
        <w:t xml:space="preserve"> In this respect, the universal reuni</w:t>
      </w:r>
      <w:r w:rsidR="000E10C5">
        <w:rPr>
          <w:rFonts w:ascii="Times New Roman" w:hAnsi="Times New Roman" w:cs="Times New Roman"/>
          <w:sz w:val="24"/>
          <w:szCs w:val="24"/>
        </w:rPr>
        <w:t>fication</w:t>
      </w:r>
      <w:r w:rsidR="00B7169E">
        <w:rPr>
          <w:rFonts w:ascii="Times New Roman" w:hAnsi="Times New Roman" w:cs="Times New Roman"/>
          <w:sz w:val="24"/>
          <w:szCs w:val="24"/>
        </w:rPr>
        <w:t xml:space="preserve"> of the Jews, which as has been explored could be achieved through Hanukkah celebration, is perhaps the most prominent theme. Whilst both books have different notions of what exactly that entails</w:t>
      </w:r>
      <w:r w:rsidR="00E6025D">
        <w:rPr>
          <w:rFonts w:ascii="Times New Roman" w:hAnsi="Times New Roman" w:cs="Times New Roman"/>
          <w:sz w:val="24"/>
          <w:szCs w:val="24"/>
        </w:rPr>
        <w:t xml:space="preserve"> and how to bring it about</w:t>
      </w:r>
      <w:r w:rsidR="00B7169E">
        <w:rPr>
          <w:rFonts w:ascii="Times New Roman" w:hAnsi="Times New Roman" w:cs="Times New Roman"/>
          <w:sz w:val="24"/>
          <w:szCs w:val="24"/>
        </w:rPr>
        <w:t>, it is a common denominator regardless.</w:t>
      </w:r>
    </w:p>
    <w:p w14:paraId="7E6E07D7" w14:textId="1CB2FDCA" w:rsidR="005D255D" w:rsidRDefault="005D255D" w:rsidP="00751B8D">
      <w:pPr>
        <w:rPr>
          <w:rFonts w:ascii="Times New Roman" w:hAnsi="Times New Roman" w:cs="Times New Roman"/>
          <w:sz w:val="24"/>
          <w:szCs w:val="24"/>
        </w:rPr>
      </w:pPr>
    </w:p>
    <w:p w14:paraId="19BEFDE2" w14:textId="13941DEE" w:rsidR="009B66DB" w:rsidRDefault="009B66DB" w:rsidP="00751B8D">
      <w:pPr>
        <w:rPr>
          <w:rFonts w:ascii="Times New Roman" w:hAnsi="Times New Roman" w:cs="Times New Roman"/>
          <w:sz w:val="24"/>
          <w:szCs w:val="24"/>
        </w:rPr>
      </w:pPr>
      <w:r>
        <w:rPr>
          <w:rFonts w:ascii="Times New Roman" w:hAnsi="Times New Roman" w:cs="Times New Roman"/>
          <w:sz w:val="24"/>
          <w:szCs w:val="24"/>
        </w:rPr>
        <w:t>However, Jewish laws and traditions are equally prominent within both books and of course form an important theme on their own, one which forms a counterpoint to Hellenization and the related suppression of these traditions. These traditions form the contextual arena in which many of the events in both books take place</w:t>
      </w:r>
      <w:r w:rsidR="00E26F9E">
        <w:rPr>
          <w:rFonts w:ascii="Times New Roman" w:hAnsi="Times New Roman" w:cs="Times New Roman"/>
          <w:sz w:val="24"/>
          <w:szCs w:val="24"/>
        </w:rPr>
        <w:t>, some of which have been addressed already, particularly in the case of martyrdom in both books</w:t>
      </w:r>
      <w:r w:rsidR="00C223D3">
        <w:rPr>
          <w:rFonts w:ascii="Times New Roman" w:hAnsi="Times New Roman" w:cs="Times New Roman"/>
          <w:sz w:val="24"/>
          <w:szCs w:val="24"/>
        </w:rPr>
        <w:t xml:space="preserve"> where a choice between life and death is offered, and in order to live one must break tradition, as it was for the seven brothers who were compelled to ‘partake of unlawful swine’s flesh’.</w:t>
      </w:r>
      <w:r w:rsidR="00A15F41">
        <w:rPr>
          <w:rStyle w:val="FootnoteReference"/>
          <w:rFonts w:ascii="Times New Roman" w:hAnsi="Times New Roman" w:cs="Times New Roman"/>
          <w:sz w:val="24"/>
          <w:szCs w:val="24"/>
        </w:rPr>
        <w:footnoteReference w:id="21"/>
      </w:r>
      <w:r w:rsidR="00250846">
        <w:rPr>
          <w:rFonts w:ascii="Times New Roman" w:hAnsi="Times New Roman" w:cs="Times New Roman"/>
          <w:sz w:val="24"/>
          <w:szCs w:val="24"/>
        </w:rPr>
        <w:t xml:space="preserve"> </w:t>
      </w:r>
      <w:r w:rsidR="00B465DF">
        <w:rPr>
          <w:rFonts w:ascii="Times New Roman" w:hAnsi="Times New Roman" w:cs="Times New Roman"/>
          <w:sz w:val="24"/>
          <w:szCs w:val="24"/>
        </w:rPr>
        <w:t xml:space="preserve">Nevertheless, even the presentation of the absolute importance of </w:t>
      </w:r>
      <w:r w:rsidR="00CC24E5">
        <w:rPr>
          <w:rFonts w:ascii="Times New Roman" w:hAnsi="Times New Roman" w:cs="Times New Roman"/>
          <w:sz w:val="24"/>
          <w:szCs w:val="24"/>
        </w:rPr>
        <w:t xml:space="preserve">upholding Jewish law and tradition varies greatly between the books. </w:t>
      </w:r>
      <w:r w:rsidR="00F5503F">
        <w:rPr>
          <w:rFonts w:ascii="Times New Roman" w:hAnsi="Times New Roman" w:cs="Times New Roman"/>
          <w:sz w:val="24"/>
          <w:szCs w:val="24"/>
        </w:rPr>
        <w:t xml:space="preserve">In 1 Maccabees, we have already seen that tradition can be broken when Mattathias deems it acceptable to fight on the Sabbath day, </w:t>
      </w:r>
      <w:r w:rsidR="00C72E7A">
        <w:rPr>
          <w:rFonts w:ascii="Times New Roman" w:hAnsi="Times New Roman" w:cs="Times New Roman"/>
          <w:sz w:val="24"/>
          <w:szCs w:val="24"/>
        </w:rPr>
        <w:t>yet in a more troubling episode he ‘forcibly circumcised all the uncircumcised boys that they found within the borders of Israel’.</w:t>
      </w:r>
      <w:r w:rsidR="00FC5AC0">
        <w:rPr>
          <w:rStyle w:val="FootnoteReference"/>
          <w:rFonts w:ascii="Times New Roman" w:hAnsi="Times New Roman" w:cs="Times New Roman"/>
          <w:sz w:val="24"/>
          <w:szCs w:val="24"/>
        </w:rPr>
        <w:footnoteReference w:id="22"/>
      </w:r>
      <w:r w:rsidR="00C72E7A">
        <w:rPr>
          <w:rFonts w:ascii="Times New Roman" w:hAnsi="Times New Roman" w:cs="Times New Roman"/>
          <w:sz w:val="24"/>
          <w:szCs w:val="24"/>
        </w:rPr>
        <w:t xml:space="preserve"> </w:t>
      </w:r>
      <w:r w:rsidR="001766F9">
        <w:rPr>
          <w:rFonts w:ascii="Times New Roman" w:hAnsi="Times New Roman" w:cs="Times New Roman"/>
          <w:sz w:val="24"/>
          <w:szCs w:val="24"/>
        </w:rPr>
        <w:t>It has been argued that this episode refers only to Jews and not all boys, and similarly that it is in act of liberation for those Jews who had to avoid circumcision in order to avoid persecution</w:t>
      </w:r>
      <w:r w:rsidR="00AB3E9E">
        <w:rPr>
          <w:rFonts w:ascii="Times New Roman" w:hAnsi="Times New Roman" w:cs="Times New Roman"/>
          <w:sz w:val="24"/>
          <w:szCs w:val="24"/>
        </w:rPr>
        <w:t xml:space="preserve"> rather than a coercive act</w:t>
      </w:r>
      <w:r w:rsidR="001766F9">
        <w:rPr>
          <w:rFonts w:ascii="Times New Roman" w:hAnsi="Times New Roman" w:cs="Times New Roman"/>
          <w:sz w:val="24"/>
          <w:szCs w:val="24"/>
        </w:rPr>
        <w:t>.</w:t>
      </w:r>
      <w:r w:rsidR="00607203">
        <w:rPr>
          <w:rStyle w:val="FootnoteReference"/>
          <w:rFonts w:ascii="Times New Roman" w:hAnsi="Times New Roman" w:cs="Times New Roman"/>
          <w:sz w:val="24"/>
          <w:szCs w:val="24"/>
        </w:rPr>
        <w:footnoteReference w:id="23"/>
      </w:r>
      <w:r w:rsidR="00C72E7A">
        <w:rPr>
          <w:rFonts w:ascii="Times New Roman" w:hAnsi="Times New Roman" w:cs="Times New Roman"/>
          <w:sz w:val="24"/>
          <w:szCs w:val="24"/>
        </w:rPr>
        <w:t xml:space="preserve"> </w:t>
      </w:r>
      <w:r w:rsidR="00E240D3">
        <w:rPr>
          <w:rFonts w:ascii="Times New Roman" w:hAnsi="Times New Roman" w:cs="Times New Roman"/>
          <w:sz w:val="24"/>
          <w:szCs w:val="24"/>
        </w:rPr>
        <w:t xml:space="preserve">Even </w:t>
      </w:r>
      <w:r w:rsidR="00E37010">
        <w:rPr>
          <w:rFonts w:ascii="Times New Roman" w:hAnsi="Times New Roman" w:cs="Times New Roman"/>
          <w:sz w:val="24"/>
          <w:szCs w:val="24"/>
        </w:rPr>
        <w:t>taking</w:t>
      </w:r>
      <w:r w:rsidR="00E240D3">
        <w:rPr>
          <w:rFonts w:ascii="Times New Roman" w:hAnsi="Times New Roman" w:cs="Times New Roman"/>
          <w:sz w:val="24"/>
          <w:szCs w:val="24"/>
        </w:rPr>
        <w:t xml:space="preserve"> this more positive reading, the</w:t>
      </w:r>
      <w:r w:rsidR="001728FA">
        <w:rPr>
          <w:rFonts w:ascii="Times New Roman" w:hAnsi="Times New Roman" w:cs="Times New Roman"/>
          <w:sz w:val="24"/>
          <w:szCs w:val="24"/>
        </w:rPr>
        <w:t xml:space="preserve"> fact that emphasis is put on corrective circumcision highlights the more pragmatic nature of 1 Maccabees. </w:t>
      </w:r>
      <w:r w:rsidR="00E82A08">
        <w:rPr>
          <w:rFonts w:ascii="Times New Roman" w:hAnsi="Times New Roman" w:cs="Times New Roman"/>
          <w:sz w:val="24"/>
          <w:szCs w:val="24"/>
        </w:rPr>
        <w:t xml:space="preserve">Preserving tradition might be the ultimate goal, but it is more frequently forsaken either by those Jews trying to avoid persecution or Mattathias and his rebels trying to destroy </w:t>
      </w:r>
      <w:r w:rsidR="00E82A08">
        <w:rPr>
          <w:rFonts w:ascii="Times New Roman" w:hAnsi="Times New Roman" w:cs="Times New Roman"/>
          <w:sz w:val="24"/>
          <w:szCs w:val="24"/>
        </w:rPr>
        <w:lastRenderedPageBreak/>
        <w:t>those persecutors.</w:t>
      </w:r>
      <w:r w:rsidR="00723B2C">
        <w:rPr>
          <w:rFonts w:ascii="Times New Roman" w:hAnsi="Times New Roman" w:cs="Times New Roman"/>
          <w:sz w:val="24"/>
          <w:szCs w:val="24"/>
        </w:rPr>
        <w:t xml:space="preserve"> Troublingly, if we read the passage as referring to all boys including Gentiles, then the message is morally ambiguous and appears to be a symbolic act of violence.</w:t>
      </w:r>
      <w:r w:rsidR="00FD5E63">
        <w:rPr>
          <w:rFonts w:ascii="Times New Roman" w:hAnsi="Times New Roman" w:cs="Times New Roman"/>
          <w:sz w:val="24"/>
          <w:szCs w:val="24"/>
        </w:rPr>
        <w:t xml:space="preserve"> Whilst the importance of tradition is key within both texts, then, the methods by which tradition should be preserved are again presented in varied ways which can often be attributed to the prominence of human action in controlling the fate of the Jewish people.</w:t>
      </w:r>
    </w:p>
    <w:p w14:paraId="01A6C59F" w14:textId="75F80C65" w:rsidR="00EA2ECC" w:rsidRDefault="00EA2ECC" w:rsidP="00751B8D">
      <w:pPr>
        <w:rPr>
          <w:rFonts w:ascii="Times New Roman" w:hAnsi="Times New Roman" w:cs="Times New Roman"/>
          <w:sz w:val="24"/>
          <w:szCs w:val="24"/>
        </w:rPr>
      </w:pPr>
    </w:p>
    <w:p w14:paraId="48008244" w14:textId="28FCE49C" w:rsidR="00EA2ECC" w:rsidRDefault="00EA2ECC" w:rsidP="00751B8D">
      <w:pPr>
        <w:rPr>
          <w:rFonts w:ascii="Times New Roman" w:hAnsi="Times New Roman" w:cs="Times New Roman"/>
          <w:sz w:val="24"/>
          <w:szCs w:val="24"/>
        </w:rPr>
      </w:pPr>
      <w:r>
        <w:rPr>
          <w:rFonts w:ascii="Times New Roman" w:hAnsi="Times New Roman" w:cs="Times New Roman"/>
          <w:sz w:val="24"/>
          <w:szCs w:val="24"/>
        </w:rPr>
        <w:t>A number of themes have been observed throughout this essay, namely tradition; Hellenization; martyrdom; the re-unification of Jews (including Hanukkah); and heroism.</w:t>
      </w:r>
      <w:r w:rsidR="003429AE">
        <w:rPr>
          <w:rFonts w:ascii="Times New Roman" w:hAnsi="Times New Roman" w:cs="Times New Roman"/>
          <w:sz w:val="24"/>
          <w:szCs w:val="24"/>
        </w:rPr>
        <w:t xml:space="preserve"> </w:t>
      </w:r>
      <w:r w:rsidR="00C57806">
        <w:rPr>
          <w:rFonts w:ascii="Times New Roman" w:hAnsi="Times New Roman" w:cs="Times New Roman"/>
          <w:sz w:val="24"/>
          <w:szCs w:val="24"/>
        </w:rPr>
        <w:t>In conclusion, these themes are all largely identifiable</w:t>
      </w:r>
      <w:r w:rsidR="006A0703">
        <w:rPr>
          <w:rFonts w:ascii="Times New Roman" w:hAnsi="Times New Roman" w:cs="Times New Roman"/>
          <w:sz w:val="24"/>
          <w:szCs w:val="24"/>
        </w:rPr>
        <w:t xml:space="preserve"> (and indeed are all very much linked)</w:t>
      </w:r>
      <w:r w:rsidR="00C57806">
        <w:rPr>
          <w:rFonts w:ascii="Times New Roman" w:hAnsi="Times New Roman" w:cs="Times New Roman"/>
          <w:sz w:val="24"/>
          <w:szCs w:val="24"/>
        </w:rPr>
        <w:t xml:space="preserve"> within both books, although to varying degrees and often with their own particular emphasis. </w:t>
      </w:r>
      <w:r w:rsidR="00BA7CD3">
        <w:rPr>
          <w:rFonts w:ascii="Times New Roman" w:hAnsi="Times New Roman" w:cs="Times New Roman"/>
          <w:sz w:val="24"/>
          <w:szCs w:val="24"/>
        </w:rPr>
        <w:t>The most fundamental element of 1 and 2 Maccabees is of course preserving tradition by revolt, taking a stand against encroaching Hellenization and threats to specific ways of life.</w:t>
      </w:r>
      <w:r w:rsidR="00A75A10">
        <w:rPr>
          <w:rFonts w:ascii="Times New Roman" w:hAnsi="Times New Roman" w:cs="Times New Roman"/>
          <w:sz w:val="24"/>
          <w:szCs w:val="24"/>
        </w:rPr>
        <w:t xml:space="preserve"> There is perhaps a difference in the severity of the Hellenistic problem within the books, with 2 Maccabees being concerned with those immediate threats to tradition but taking a more measured approach to Hellenism as a whole</w:t>
      </w:r>
      <w:r w:rsidR="005D6368">
        <w:rPr>
          <w:rFonts w:ascii="Times New Roman" w:hAnsi="Times New Roman" w:cs="Times New Roman"/>
          <w:sz w:val="24"/>
          <w:szCs w:val="24"/>
        </w:rPr>
        <w:t>. This can be observed through the theme of re-unification and Hanukkah, in regard to the fact 2 Maccabees beseeches all Jews</w:t>
      </w:r>
      <w:r w:rsidR="005B785E">
        <w:rPr>
          <w:rFonts w:ascii="Times New Roman" w:hAnsi="Times New Roman" w:cs="Times New Roman"/>
          <w:sz w:val="24"/>
          <w:szCs w:val="24"/>
        </w:rPr>
        <w:t xml:space="preserve"> in the Diaspora</w:t>
      </w:r>
      <w:r w:rsidR="005D6368">
        <w:rPr>
          <w:rFonts w:ascii="Times New Roman" w:hAnsi="Times New Roman" w:cs="Times New Roman"/>
          <w:sz w:val="24"/>
          <w:szCs w:val="24"/>
        </w:rPr>
        <w:t xml:space="preserve"> to come together in solidarity</w:t>
      </w:r>
      <w:r w:rsidR="00AA4965">
        <w:rPr>
          <w:rFonts w:ascii="Times New Roman" w:hAnsi="Times New Roman" w:cs="Times New Roman"/>
          <w:sz w:val="24"/>
          <w:szCs w:val="24"/>
        </w:rPr>
        <w:t>, and indeed its authorship might also be relevant here.</w:t>
      </w:r>
      <w:r w:rsidR="00C776C6">
        <w:rPr>
          <w:rFonts w:ascii="Times New Roman" w:hAnsi="Times New Roman" w:cs="Times New Roman"/>
          <w:sz w:val="24"/>
          <w:szCs w:val="24"/>
        </w:rPr>
        <w:t xml:space="preserve"> Martyrdom is a vitally important theme, but one which is given more prominence in 2 Maccabees in which this more ‘peaceful’ act of defiance stans in contrast to the more direct military focused approach of 1 Maccabees, which of course, in terms of heroism, somewhat diminished the actions of martyrs.</w:t>
      </w:r>
      <w:r w:rsidR="008A2ABE">
        <w:rPr>
          <w:rFonts w:ascii="Times New Roman" w:hAnsi="Times New Roman" w:cs="Times New Roman"/>
          <w:sz w:val="24"/>
          <w:szCs w:val="24"/>
        </w:rPr>
        <w:t xml:space="preserve"> Overall however, the two books </w:t>
      </w:r>
      <w:r w:rsidR="00B75634">
        <w:rPr>
          <w:rFonts w:ascii="Times New Roman" w:hAnsi="Times New Roman" w:cs="Times New Roman"/>
          <w:sz w:val="24"/>
          <w:szCs w:val="24"/>
        </w:rPr>
        <w:t>complement</w:t>
      </w:r>
      <w:r w:rsidR="008A2ABE">
        <w:rPr>
          <w:rFonts w:ascii="Times New Roman" w:hAnsi="Times New Roman" w:cs="Times New Roman"/>
          <w:sz w:val="24"/>
          <w:szCs w:val="24"/>
        </w:rPr>
        <w:t xml:space="preserve"> each other, with the first providing a foundation of the history and the importance of human action, whilst the second perhaps offers a more theological perspective in which ‘God-led’ events reshape the message of the narrative. </w:t>
      </w:r>
    </w:p>
    <w:p w14:paraId="75A097D5" w14:textId="696A312E" w:rsidR="00185747" w:rsidRDefault="003C4924" w:rsidP="00751B8D">
      <w:pPr>
        <w:rPr>
          <w:rFonts w:ascii="Times New Roman" w:hAnsi="Times New Roman" w:cs="Times New Roman"/>
          <w:b/>
          <w:bCs/>
          <w:sz w:val="24"/>
          <w:szCs w:val="24"/>
        </w:rPr>
      </w:pPr>
      <w:r>
        <w:rPr>
          <w:rFonts w:ascii="Times New Roman" w:hAnsi="Times New Roman" w:cs="Times New Roman"/>
          <w:b/>
          <w:bCs/>
          <w:sz w:val="24"/>
          <w:szCs w:val="24"/>
        </w:rPr>
        <w:lastRenderedPageBreak/>
        <w:t>Bibliography</w:t>
      </w:r>
      <w:r w:rsidR="00AD5AA3">
        <w:rPr>
          <w:rFonts w:ascii="Times New Roman" w:hAnsi="Times New Roman" w:cs="Times New Roman"/>
          <w:b/>
          <w:bCs/>
          <w:sz w:val="24"/>
          <w:szCs w:val="24"/>
        </w:rPr>
        <w:t xml:space="preserve"> – Primary</w:t>
      </w:r>
    </w:p>
    <w:p w14:paraId="21018E9F" w14:textId="36E7591D" w:rsidR="00AD5AA3" w:rsidRDefault="004A1B62" w:rsidP="00751B8D">
      <w:pPr>
        <w:rPr>
          <w:rFonts w:ascii="Times New Roman" w:hAnsi="Times New Roman" w:cs="Times New Roman"/>
          <w:sz w:val="24"/>
          <w:szCs w:val="24"/>
        </w:rPr>
      </w:pPr>
      <w:r>
        <w:rPr>
          <w:rFonts w:ascii="Times New Roman" w:hAnsi="Times New Roman" w:cs="Times New Roman"/>
          <w:sz w:val="24"/>
          <w:szCs w:val="24"/>
        </w:rPr>
        <w:t xml:space="preserve">Coogan, M (ed.) (2018) </w:t>
      </w:r>
      <w:r w:rsidRPr="004A1B62">
        <w:rPr>
          <w:rFonts w:ascii="Times New Roman" w:hAnsi="Times New Roman" w:cs="Times New Roman"/>
          <w:i/>
          <w:iCs/>
          <w:sz w:val="24"/>
          <w:szCs w:val="24"/>
        </w:rPr>
        <w:t>T</w:t>
      </w:r>
      <w:r w:rsidRPr="004A1B62">
        <w:rPr>
          <w:rFonts w:ascii="Times New Roman" w:hAnsi="Times New Roman" w:cs="Times New Roman"/>
          <w:i/>
          <w:iCs/>
          <w:sz w:val="24"/>
          <w:szCs w:val="24"/>
        </w:rPr>
        <w:t>he New Oxford Annotated Bible with Apocrypha: New Revised Standard Version</w:t>
      </w:r>
      <w:r>
        <w:rPr>
          <w:rFonts w:ascii="Times New Roman" w:hAnsi="Times New Roman" w:cs="Times New Roman"/>
          <w:sz w:val="24"/>
          <w:szCs w:val="24"/>
        </w:rPr>
        <w:t>. Oxford: Oxford University Press.</w:t>
      </w:r>
    </w:p>
    <w:p w14:paraId="64528FFD" w14:textId="77777777" w:rsidR="004A1B62" w:rsidRPr="004A1B62" w:rsidRDefault="004A1B62" w:rsidP="00751B8D">
      <w:pPr>
        <w:rPr>
          <w:rFonts w:ascii="Times New Roman" w:hAnsi="Times New Roman" w:cs="Times New Roman"/>
          <w:sz w:val="24"/>
          <w:szCs w:val="24"/>
        </w:rPr>
      </w:pPr>
      <w:bookmarkStart w:id="0" w:name="_GoBack"/>
      <w:bookmarkEnd w:id="0"/>
    </w:p>
    <w:p w14:paraId="19740D5F" w14:textId="18F4D6B6" w:rsidR="00AD5AA3" w:rsidRPr="00AD5AA3" w:rsidRDefault="00AD5AA3" w:rsidP="00751B8D">
      <w:pPr>
        <w:rPr>
          <w:rFonts w:ascii="Times New Roman" w:hAnsi="Times New Roman" w:cs="Times New Roman"/>
          <w:sz w:val="24"/>
          <w:szCs w:val="24"/>
        </w:rPr>
      </w:pPr>
      <w:r>
        <w:rPr>
          <w:rFonts w:ascii="Times New Roman" w:hAnsi="Times New Roman" w:cs="Times New Roman"/>
          <w:b/>
          <w:bCs/>
          <w:sz w:val="24"/>
          <w:szCs w:val="24"/>
        </w:rPr>
        <w:t>Modern Scholarship</w:t>
      </w:r>
    </w:p>
    <w:p w14:paraId="42CA12EB" w14:textId="2938C7A3" w:rsidR="005D255D" w:rsidRDefault="005D255D" w:rsidP="00751B8D">
      <w:pPr>
        <w:rPr>
          <w:rFonts w:ascii="Times New Roman" w:hAnsi="Times New Roman" w:cs="Times New Roman"/>
          <w:sz w:val="24"/>
          <w:szCs w:val="24"/>
        </w:rPr>
      </w:pPr>
      <w:r>
        <w:rPr>
          <w:rFonts w:ascii="Times New Roman" w:hAnsi="Times New Roman" w:cs="Times New Roman"/>
          <w:sz w:val="24"/>
          <w:szCs w:val="24"/>
        </w:rPr>
        <w:t xml:space="preserve">Darshan, G (2019) </w:t>
      </w:r>
      <w:r w:rsidRPr="005D255D">
        <w:rPr>
          <w:rFonts w:ascii="Times New Roman" w:hAnsi="Times New Roman" w:cs="Times New Roman"/>
          <w:sz w:val="24"/>
          <w:szCs w:val="24"/>
        </w:rPr>
        <w:t xml:space="preserve">The Original Language of 1 Maccabees: A </w:t>
      </w:r>
      <w:proofErr w:type="spellStart"/>
      <w:r w:rsidRPr="005D255D">
        <w:rPr>
          <w:rFonts w:ascii="Times New Roman" w:hAnsi="Times New Roman" w:cs="Times New Roman"/>
          <w:sz w:val="24"/>
          <w:szCs w:val="24"/>
        </w:rPr>
        <w:t>Reexamination</w:t>
      </w:r>
      <w:proofErr w:type="spellEnd"/>
      <w:r>
        <w:rPr>
          <w:rFonts w:ascii="Times New Roman" w:hAnsi="Times New Roman" w:cs="Times New Roman"/>
          <w:sz w:val="24"/>
          <w:szCs w:val="24"/>
        </w:rPr>
        <w:t xml:space="preserve">, </w:t>
      </w:r>
      <w:proofErr w:type="spellStart"/>
      <w:r>
        <w:rPr>
          <w:rFonts w:ascii="Times New Roman" w:hAnsi="Times New Roman" w:cs="Times New Roman"/>
          <w:i/>
          <w:iCs/>
          <w:sz w:val="24"/>
          <w:szCs w:val="24"/>
        </w:rPr>
        <w:t>Biblische</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Notizen</w:t>
      </w:r>
      <w:proofErr w:type="spellEnd"/>
      <w:r>
        <w:rPr>
          <w:rFonts w:ascii="Times New Roman" w:hAnsi="Times New Roman" w:cs="Times New Roman"/>
          <w:i/>
          <w:iCs/>
          <w:sz w:val="24"/>
          <w:szCs w:val="24"/>
        </w:rPr>
        <w:t xml:space="preserve"> (Neue </w:t>
      </w:r>
      <w:proofErr w:type="spellStart"/>
      <w:r>
        <w:rPr>
          <w:rFonts w:ascii="Times New Roman" w:hAnsi="Times New Roman" w:cs="Times New Roman"/>
          <w:i/>
          <w:iCs/>
          <w:sz w:val="24"/>
          <w:szCs w:val="24"/>
        </w:rPr>
        <w:t>Folge</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182, pp.91-110.</w:t>
      </w:r>
    </w:p>
    <w:p w14:paraId="024F76EF" w14:textId="0A615766" w:rsidR="00D9602B" w:rsidRPr="00D9602B" w:rsidRDefault="00D9602B" w:rsidP="00D9602B">
      <w:pPr>
        <w:rPr>
          <w:rFonts w:ascii="Times New Roman" w:hAnsi="Times New Roman" w:cs="Times New Roman"/>
          <w:sz w:val="24"/>
          <w:szCs w:val="24"/>
        </w:rPr>
      </w:pPr>
      <w:r>
        <w:rPr>
          <w:rFonts w:ascii="Times New Roman" w:hAnsi="Times New Roman" w:cs="Times New Roman"/>
          <w:sz w:val="24"/>
          <w:szCs w:val="24"/>
        </w:rPr>
        <w:t xml:space="preserve">DeSilva, D.A (2012) </w:t>
      </w:r>
      <w:r w:rsidRPr="00D9602B">
        <w:rPr>
          <w:rFonts w:ascii="Times New Roman" w:hAnsi="Times New Roman" w:cs="Times New Roman"/>
          <w:i/>
          <w:iCs/>
          <w:sz w:val="24"/>
          <w:szCs w:val="24"/>
        </w:rPr>
        <w:t>The Jewish Teachers of Jesus, James, and Jude: What Earliest Christianity Learned from the Apocrypha and Pseudepigrapha</w:t>
      </w:r>
      <w:r>
        <w:rPr>
          <w:rFonts w:ascii="Times New Roman" w:hAnsi="Times New Roman" w:cs="Times New Roman"/>
          <w:sz w:val="24"/>
          <w:szCs w:val="24"/>
        </w:rPr>
        <w:t>. Oxford: Oxford University Press.</w:t>
      </w:r>
    </w:p>
    <w:p w14:paraId="5638A574" w14:textId="70EF6449" w:rsidR="00F916FE" w:rsidRDefault="00F916FE" w:rsidP="00751B8D">
      <w:pPr>
        <w:rPr>
          <w:rFonts w:ascii="Times New Roman" w:hAnsi="Times New Roman" w:cs="Times New Roman"/>
          <w:sz w:val="24"/>
          <w:szCs w:val="24"/>
        </w:rPr>
      </w:pPr>
      <w:r>
        <w:rPr>
          <w:rFonts w:ascii="Times New Roman" w:hAnsi="Times New Roman" w:cs="Times New Roman"/>
          <w:sz w:val="24"/>
          <w:szCs w:val="24"/>
        </w:rPr>
        <w:t xml:space="preserve">Law, T.M (2013) </w:t>
      </w:r>
      <w:r w:rsidRPr="00F916FE">
        <w:rPr>
          <w:rFonts w:ascii="Times New Roman" w:hAnsi="Times New Roman" w:cs="Times New Roman"/>
          <w:i/>
          <w:iCs/>
          <w:sz w:val="24"/>
          <w:szCs w:val="24"/>
        </w:rPr>
        <w:t>When God Spoke Greek: The Septuagint and the Making of the Christian Bible</w:t>
      </w:r>
      <w:r>
        <w:rPr>
          <w:rFonts w:ascii="Times New Roman" w:hAnsi="Times New Roman" w:cs="Times New Roman"/>
          <w:sz w:val="24"/>
          <w:szCs w:val="24"/>
        </w:rPr>
        <w:t>. Oxford: Oxford University Press.</w:t>
      </w:r>
    </w:p>
    <w:p w14:paraId="2AE72BD9" w14:textId="55B44A1F" w:rsidR="00D076B3" w:rsidRPr="00D076B3" w:rsidRDefault="00D076B3" w:rsidP="00D076B3">
      <w:pPr>
        <w:rPr>
          <w:rFonts w:ascii="Times New Roman" w:hAnsi="Times New Roman" w:cs="Times New Roman"/>
          <w:sz w:val="24"/>
          <w:szCs w:val="24"/>
        </w:rPr>
      </w:pPr>
      <w:r>
        <w:rPr>
          <w:rFonts w:ascii="Times New Roman" w:hAnsi="Times New Roman" w:cs="Times New Roman"/>
          <w:sz w:val="24"/>
          <w:szCs w:val="24"/>
        </w:rPr>
        <w:t xml:space="preserve">Soon, I.T (2020) </w:t>
      </w:r>
      <w:r w:rsidRPr="00D076B3">
        <w:rPr>
          <w:rFonts w:ascii="Times New Roman" w:hAnsi="Times New Roman" w:cs="Times New Roman"/>
          <w:sz w:val="24"/>
          <w:szCs w:val="24"/>
        </w:rPr>
        <w:t xml:space="preserve">“In strength” not “by force”: Re-reading the circumcision of the uncircumcised </w:t>
      </w:r>
      <w:proofErr w:type="spellStart"/>
      <w:r w:rsidRPr="00D076B3">
        <w:rPr>
          <w:rFonts w:ascii="Times New Roman" w:hAnsi="Times New Roman" w:cs="Times New Roman"/>
          <w:sz w:val="24"/>
          <w:szCs w:val="24"/>
        </w:rPr>
        <w:t>ἐν</w:t>
      </w:r>
      <w:proofErr w:type="spellEnd"/>
      <w:r w:rsidRPr="00D076B3">
        <w:rPr>
          <w:rFonts w:ascii="Times New Roman" w:hAnsi="Times New Roman" w:cs="Times New Roman"/>
          <w:sz w:val="24"/>
          <w:szCs w:val="24"/>
        </w:rPr>
        <w:t xml:space="preserve"> </w:t>
      </w:r>
      <w:proofErr w:type="spellStart"/>
      <w:r w:rsidRPr="00D076B3">
        <w:rPr>
          <w:rFonts w:ascii="Times New Roman" w:hAnsi="Times New Roman" w:cs="Times New Roman"/>
          <w:sz w:val="24"/>
          <w:szCs w:val="24"/>
        </w:rPr>
        <w:t>ἰσχύι</w:t>
      </w:r>
      <w:proofErr w:type="spellEnd"/>
      <w:r w:rsidRPr="00D076B3">
        <w:rPr>
          <w:rFonts w:ascii="Times New Roman" w:hAnsi="Times New Roman" w:cs="Times New Roman"/>
          <w:sz w:val="24"/>
          <w:szCs w:val="24"/>
        </w:rPr>
        <w:t xml:space="preserve"> in 1 </w:t>
      </w:r>
      <w:proofErr w:type="spellStart"/>
      <w:r w:rsidRPr="00D076B3">
        <w:rPr>
          <w:rFonts w:ascii="Times New Roman" w:hAnsi="Times New Roman" w:cs="Times New Roman"/>
          <w:sz w:val="24"/>
          <w:szCs w:val="24"/>
        </w:rPr>
        <w:t>Macc</w:t>
      </w:r>
      <w:proofErr w:type="spellEnd"/>
      <w:r w:rsidRPr="00D076B3">
        <w:rPr>
          <w:rFonts w:ascii="Times New Roman" w:hAnsi="Times New Roman" w:cs="Times New Roman"/>
          <w:sz w:val="24"/>
          <w:szCs w:val="24"/>
        </w:rPr>
        <w:t xml:space="preserve"> 2:46</w:t>
      </w:r>
      <w:r>
        <w:rPr>
          <w:rFonts w:ascii="Times New Roman" w:hAnsi="Times New Roman" w:cs="Times New Roman"/>
          <w:sz w:val="24"/>
          <w:szCs w:val="24"/>
        </w:rPr>
        <w:t xml:space="preserve">, </w:t>
      </w:r>
      <w:r w:rsidRPr="00D076B3">
        <w:rPr>
          <w:rFonts w:ascii="Times New Roman" w:hAnsi="Times New Roman" w:cs="Times New Roman"/>
          <w:i/>
          <w:iCs/>
          <w:sz w:val="24"/>
          <w:szCs w:val="24"/>
        </w:rPr>
        <w:t>Journal for the Study of the Pseudepigrapha</w:t>
      </w:r>
      <w:r>
        <w:rPr>
          <w:rFonts w:ascii="Times New Roman" w:hAnsi="Times New Roman" w:cs="Times New Roman"/>
          <w:sz w:val="24"/>
          <w:szCs w:val="24"/>
        </w:rPr>
        <w:t>, 29(3), pp.149-167.</w:t>
      </w:r>
    </w:p>
    <w:p w14:paraId="11B3521A" w14:textId="3E36B61E" w:rsidR="00665E4B" w:rsidRPr="00665E4B" w:rsidRDefault="00665E4B" w:rsidP="00751B8D">
      <w:pPr>
        <w:rPr>
          <w:rFonts w:ascii="Times New Roman" w:hAnsi="Times New Roman" w:cs="Times New Roman"/>
          <w:sz w:val="24"/>
          <w:szCs w:val="24"/>
        </w:rPr>
      </w:pPr>
      <w:r>
        <w:rPr>
          <w:rFonts w:ascii="Times New Roman" w:hAnsi="Times New Roman" w:cs="Times New Roman"/>
          <w:sz w:val="24"/>
          <w:szCs w:val="24"/>
        </w:rPr>
        <w:t xml:space="preserve">Tomes, R (2007) Heroism in 1 and 2 Maccabees, </w:t>
      </w:r>
      <w:r>
        <w:rPr>
          <w:rFonts w:ascii="Times New Roman" w:hAnsi="Times New Roman" w:cs="Times New Roman"/>
          <w:i/>
          <w:iCs/>
          <w:sz w:val="24"/>
          <w:szCs w:val="24"/>
        </w:rPr>
        <w:t>Biblical Interpretation</w:t>
      </w:r>
      <w:r>
        <w:rPr>
          <w:rFonts w:ascii="Times New Roman" w:hAnsi="Times New Roman" w:cs="Times New Roman"/>
          <w:sz w:val="24"/>
          <w:szCs w:val="24"/>
        </w:rPr>
        <w:t>, 15(2), pp.171-199.</w:t>
      </w:r>
    </w:p>
    <w:p w14:paraId="79BED8ED" w14:textId="5CD92FB9" w:rsidR="003C26C6" w:rsidRDefault="003C26C6" w:rsidP="00751B8D">
      <w:pPr>
        <w:rPr>
          <w:rFonts w:ascii="Times New Roman" w:hAnsi="Times New Roman" w:cs="Times New Roman"/>
          <w:sz w:val="24"/>
          <w:szCs w:val="24"/>
        </w:rPr>
      </w:pPr>
      <w:r>
        <w:rPr>
          <w:rFonts w:ascii="Times New Roman" w:hAnsi="Times New Roman" w:cs="Times New Roman"/>
          <w:sz w:val="24"/>
          <w:szCs w:val="24"/>
        </w:rPr>
        <w:t xml:space="preserve">Trotter, J.R (2017) </w:t>
      </w:r>
      <w:r w:rsidRPr="003C26C6">
        <w:rPr>
          <w:rFonts w:ascii="Times New Roman" w:hAnsi="Times New Roman" w:cs="Times New Roman"/>
          <w:sz w:val="24"/>
          <w:szCs w:val="24"/>
        </w:rPr>
        <w:t>2 Maccabees 10:1-8: Who Wrote It and Where Does It Belong?</w:t>
      </w:r>
      <w:r>
        <w:rPr>
          <w:rFonts w:ascii="Times New Roman" w:hAnsi="Times New Roman" w:cs="Times New Roman"/>
          <w:sz w:val="24"/>
          <w:szCs w:val="24"/>
        </w:rPr>
        <w:t xml:space="preserve">, </w:t>
      </w:r>
      <w:r>
        <w:rPr>
          <w:rFonts w:ascii="Times New Roman" w:hAnsi="Times New Roman" w:cs="Times New Roman"/>
          <w:i/>
          <w:iCs/>
          <w:sz w:val="24"/>
          <w:szCs w:val="24"/>
        </w:rPr>
        <w:t>Journal of Biblical Literature</w:t>
      </w:r>
      <w:r>
        <w:rPr>
          <w:rFonts w:ascii="Times New Roman" w:hAnsi="Times New Roman" w:cs="Times New Roman"/>
          <w:sz w:val="24"/>
          <w:szCs w:val="24"/>
        </w:rPr>
        <w:t>, 136(1), pp.117-130.</w:t>
      </w:r>
    </w:p>
    <w:p w14:paraId="1308C718" w14:textId="27CF5B6D" w:rsidR="00202C6F" w:rsidRPr="00202C6F" w:rsidRDefault="00202C6F" w:rsidP="00751B8D">
      <w:pPr>
        <w:rPr>
          <w:rFonts w:ascii="Times New Roman" w:hAnsi="Times New Roman" w:cs="Times New Roman"/>
          <w:sz w:val="24"/>
          <w:szCs w:val="24"/>
        </w:rPr>
      </w:pPr>
      <w:r>
        <w:rPr>
          <w:rFonts w:ascii="Times New Roman" w:hAnsi="Times New Roman" w:cs="Times New Roman"/>
          <w:sz w:val="24"/>
          <w:szCs w:val="24"/>
        </w:rPr>
        <w:t xml:space="preserve">Wheaton, G (2012) </w:t>
      </w:r>
      <w:r w:rsidRPr="00202C6F">
        <w:rPr>
          <w:rFonts w:ascii="Times New Roman" w:hAnsi="Times New Roman" w:cs="Times New Roman"/>
          <w:sz w:val="24"/>
          <w:szCs w:val="24"/>
        </w:rPr>
        <w:t>The Festival of Hanukkah in 2 Maccabees: Its Meaning and Function</w:t>
      </w:r>
      <w:r>
        <w:rPr>
          <w:rFonts w:ascii="Times New Roman" w:hAnsi="Times New Roman" w:cs="Times New Roman"/>
          <w:sz w:val="24"/>
          <w:szCs w:val="24"/>
        </w:rPr>
        <w:t xml:space="preserve">, </w:t>
      </w:r>
      <w:r w:rsidRPr="00202C6F">
        <w:rPr>
          <w:rFonts w:ascii="Times New Roman" w:hAnsi="Times New Roman" w:cs="Times New Roman"/>
          <w:i/>
          <w:iCs/>
          <w:sz w:val="24"/>
          <w:szCs w:val="24"/>
        </w:rPr>
        <w:t>The Catholic Biblical Quarterly</w:t>
      </w:r>
      <w:r>
        <w:rPr>
          <w:rFonts w:ascii="Times New Roman" w:hAnsi="Times New Roman" w:cs="Times New Roman"/>
          <w:sz w:val="24"/>
          <w:szCs w:val="24"/>
        </w:rPr>
        <w:t>, 74(2), pp.247-262.</w:t>
      </w:r>
    </w:p>
    <w:sectPr w:rsidR="00202C6F" w:rsidRPr="00202C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678A2" w14:textId="77777777" w:rsidR="00601358" w:rsidRDefault="00601358" w:rsidP="002D6038">
      <w:pPr>
        <w:spacing w:after="0" w:line="240" w:lineRule="auto"/>
      </w:pPr>
      <w:r>
        <w:separator/>
      </w:r>
    </w:p>
  </w:endnote>
  <w:endnote w:type="continuationSeparator" w:id="0">
    <w:p w14:paraId="499210EF" w14:textId="77777777" w:rsidR="00601358" w:rsidRDefault="00601358" w:rsidP="002D6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D2E6A4" w14:textId="77777777" w:rsidR="00601358" w:rsidRDefault="00601358" w:rsidP="002D6038">
      <w:pPr>
        <w:spacing w:after="0" w:line="240" w:lineRule="auto"/>
      </w:pPr>
      <w:r>
        <w:separator/>
      </w:r>
    </w:p>
  </w:footnote>
  <w:footnote w:type="continuationSeparator" w:id="0">
    <w:p w14:paraId="480E8C21" w14:textId="77777777" w:rsidR="00601358" w:rsidRDefault="00601358" w:rsidP="002D6038">
      <w:pPr>
        <w:spacing w:after="0" w:line="240" w:lineRule="auto"/>
      </w:pPr>
      <w:r>
        <w:continuationSeparator/>
      </w:r>
    </w:p>
  </w:footnote>
  <w:footnote w:id="1">
    <w:p w14:paraId="33AA1F48" w14:textId="4333B2BB" w:rsidR="002D6038" w:rsidRDefault="002D6038">
      <w:pPr>
        <w:pStyle w:val="FootnoteText"/>
      </w:pPr>
      <w:r>
        <w:rPr>
          <w:rStyle w:val="FootnoteReference"/>
        </w:rPr>
        <w:footnoteRef/>
      </w:r>
      <w:r>
        <w:t xml:space="preserve"> Darshan, </w:t>
      </w:r>
      <w:r w:rsidR="00666E2D">
        <w:t>2019, p.</w:t>
      </w:r>
      <w:r>
        <w:t>9</w:t>
      </w:r>
      <w:r w:rsidR="00C6587B">
        <w:t>2</w:t>
      </w:r>
      <w:r>
        <w:t>-</w:t>
      </w:r>
      <w:r w:rsidR="00C6587B">
        <w:t>102</w:t>
      </w:r>
      <w:r w:rsidR="00666E2D">
        <w:t>.</w:t>
      </w:r>
    </w:p>
  </w:footnote>
  <w:footnote w:id="2">
    <w:p w14:paraId="482E5A6C" w14:textId="66C3A3AE" w:rsidR="00B33833" w:rsidRDefault="00B33833">
      <w:pPr>
        <w:pStyle w:val="FootnoteText"/>
      </w:pPr>
      <w:r>
        <w:rPr>
          <w:rStyle w:val="FootnoteReference"/>
        </w:rPr>
        <w:footnoteRef/>
      </w:r>
      <w:r>
        <w:t xml:space="preserve"> deSilva, 2012, p.</w:t>
      </w:r>
      <w:r w:rsidR="003D4122">
        <w:t>163.</w:t>
      </w:r>
    </w:p>
  </w:footnote>
  <w:footnote w:id="3">
    <w:p w14:paraId="323B0976" w14:textId="42333358" w:rsidR="003838AE" w:rsidRDefault="003838AE">
      <w:pPr>
        <w:pStyle w:val="FootnoteText"/>
      </w:pPr>
      <w:r>
        <w:rPr>
          <w:rStyle w:val="FootnoteReference"/>
        </w:rPr>
        <w:footnoteRef/>
      </w:r>
      <w:r>
        <w:t xml:space="preserve"> 2 </w:t>
      </w:r>
      <w:proofErr w:type="spellStart"/>
      <w:r>
        <w:t>Macc</w:t>
      </w:r>
      <w:proofErr w:type="spellEnd"/>
      <w:r>
        <w:t>: 2:23.</w:t>
      </w:r>
      <w:r w:rsidR="00181B65">
        <w:t xml:space="preserve"> All translations are taken from the NRSV.</w:t>
      </w:r>
    </w:p>
  </w:footnote>
  <w:footnote w:id="4">
    <w:p w14:paraId="6181A671" w14:textId="699669B2" w:rsidR="00397429" w:rsidRDefault="00397429">
      <w:pPr>
        <w:pStyle w:val="FootnoteText"/>
      </w:pPr>
      <w:r>
        <w:rPr>
          <w:rStyle w:val="FootnoteReference"/>
        </w:rPr>
        <w:footnoteRef/>
      </w:r>
      <w:r>
        <w:t xml:space="preserve"> Trotter, 2017, p.117-8.</w:t>
      </w:r>
    </w:p>
  </w:footnote>
  <w:footnote w:id="5">
    <w:p w14:paraId="46C50332" w14:textId="7251A00F" w:rsidR="004E34C7" w:rsidRDefault="004E34C7">
      <w:pPr>
        <w:pStyle w:val="FootnoteText"/>
      </w:pPr>
      <w:r>
        <w:rPr>
          <w:rStyle w:val="FootnoteReference"/>
        </w:rPr>
        <w:footnoteRef/>
      </w:r>
      <w:r>
        <w:t xml:space="preserve"> Ibid.</w:t>
      </w:r>
      <w:r w:rsidR="00C51063">
        <w:t xml:space="preserve">; 2 </w:t>
      </w:r>
      <w:proofErr w:type="spellStart"/>
      <w:r w:rsidR="00C51063">
        <w:t>Macc</w:t>
      </w:r>
      <w:proofErr w:type="spellEnd"/>
      <w:r w:rsidR="00C51063">
        <w:t>: 1:1-2:18.</w:t>
      </w:r>
    </w:p>
  </w:footnote>
  <w:footnote w:id="6">
    <w:p w14:paraId="6A00B1B3" w14:textId="0F543B53" w:rsidR="001271BB" w:rsidRDefault="001271BB">
      <w:pPr>
        <w:pStyle w:val="FootnoteText"/>
      </w:pPr>
      <w:r>
        <w:rPr>
          <w:rStyle w:val="FootnoteReference"/>
        </w:rPr>
        <w:footnoteRef/>
      </w:r>
      <w:r>
        <w:t xml:space="preserve"> </w:t>
      </w:r>
      <w:r w:rsidR="006F7620">
        <w:t xml:space="preserve">1 </w:t>
      </w:r>
      <w:proofErr w:type="spellStart"/>
      <w:r>
        <w:t>Macc</w:t>
      </w:r>
      <w:proofErr w:type="spellEnd"/>
      <w:r>
        <w:t>: 2:29-60.</w:t>
      </w:r>
    </w:p>
  </w:footnote>
  <w:footnote w:id="7">
    <w:p w14:paraId="6E1769C7" w14:textId="0CDA8300" w:rsidR="002C5B97" w:rsidRDefault="002C5B97">
      <w:pPr>
        <w:pStyle w:val="FootnoteText"/>
      </w:pPr>
      <w:r>
        <w:rPr>
          <w:rStyle w:val="FootnoteReference"/>
        </w:rPr>
        <w:footnoteRef/>
      </w:r>
      <w:r>
        <w:t xml:space="preserve"> </w:t>
      </w:r>
      <w:r w:rsidR="006F7620">
        <w:t xml:space="preserve">2 </w:t>
      </w:r>
      <w:proofErr w:type="spellStart"/>
      <w:r>
        <w:t>Macc</w:t>
      </w:r>
      <w:proofErr w:type="spellEnd"/>
      <w:r>
        <w:t>: 7</w:t>
      </w:r>
      <w:r w:rsidR="00A65E49">
        <w:t>; 14:37-46.</w:t>
      </w:r>
    </w:p>
  </w:footnote>
  <w:footnote w:id="8">
    <w:p w14:paraId="1D997AC4" w14:textId="5872BC80" w:rsidR="00E40245" w:rsidRDefault="00E40245">
      <w:pPr>
        <w:pStyle w:val="FootnoteText"/>
      </w:pPr>
      <w:r>
        <w:rPr>
          <w:rStyle w:val="FootnoteReference"/>
        </w:rPr>
        <w:footnoteRef/>
      </w:r>
      <w:r>
        <w:t xml:space="preserve"> 1 </w:t>
      </w:r>
      <w:proofErr w:type="spellStart"/>
      <w:r>
        <w:t>Macc</w:t>
      </w:r>
      <w:proofErr w:type="spellEnd"/>
      <w:r>
        <w:t>: 4:36-59.</w:t>
      </w:r>
    </w:p>
  </w:footnote>
  <w:footnote w:id="9">
    <w:p w14:paraId="020141B3" w14:textId="383FEEDD" w:rsidR="00775826" w:rsidRDefault="00775826">
      <w:pPr>
        <w:pStyle w:val="FootnoteText"/>
      </w:pPr>
      <w:r>
        <w:rPr>
          <w:rStyle w:val="FootnoteReference"/>
        </w:rPr>
        <w:footnoteRef/>
      </w:r>
      <w:r>
        <w:t xml:space="preserve"> </w:t>
      </w:r>
      <w:r w:rsidR="006D1ABF">
        <w:t>Wheaton, 2012, p.248-9.</w:t>
      </w:r>
    </w:p>
  </w:footnote>
  <w:footnote w:id="10">
    <w:p w14:paraId="672C6624" w14:textId="5635737A" w:rsidR="00D2627D" w:rsidRDefault="00D2627D">
      <w:pPr>
        <w:pStyle w:val="FootnoteText"/>
      </w:pPr>
      <w:r>
        <w:rPr>
          <w:rStyle w:val="FootnoteReference"/>
        </w:rPr>
        <w:footnoteRef/>
      </w:r>
      <w:r>
        <w:t xml:space="preserve"> 2 </w:t>
      </w:r>
      <w:proofErr w:type="spellStart"/>
      <w:r>
        <w:t>Macc</w:t>
      </w:r>
      <w:proofErr w:type="spellEnd"/>
      <w:r>
        <w:t>: 1:10-2:18.</w:t>
      </w:r>
    </w:p>
  </w:footnote>
  <w:footnote w:id="11">
    <w:p w14:paraId="7267401C" w14:textId="1699F276" w:rsidR="000D0952" w:rsidRDefault="000D0952">
      <w:pPr>
        <w:pStyle w:val="FootnoteText"/>
      </w:pPr>
      <w:r>
        <w:rPr>
          <w:rStyle w:val="FootnoteReference"/>
        </w:rPr>
        <w:footnoteRef/>
      </w:r>
      <w:r>
        <w:t xml:space="preserve"> Wheaton, 2012, p.249-52.</w:t>
      </w:r>
    </w:p>
  </w:footnote>
  <w:footnote w:id="12">
    <w:p w14:paraId="71CE5AFD" w14:textId="455C307A" w:rsidR="004E5013" w:rsidRDefault="004E5013">
      <w:pPr>
        <w:pStyle w:val="FootnoteText"/>
      </w:pPr>
      <w:r>
        <w:rPr>
          <w:rStyle w:val="FootnoteReference"/>
        </w:rPr>
        <w:footnoteRef/>
      </w:r>
      <w:r>
        <w:t xml:space="preserve"> Tomes, 2007, p.172-3</w:t>
      </w:r>
      <w:r w:rsidR="00E35DA2">
        <w:t xml:space="preserve">; 1 </w:t>
      </w:r>
      <w:proofErr w:type="spellStart"/>
      <w:r w:rsidR="00E35DA2">
        <w:t>Macc</w:t>
      </w:r>
      <w:proofErr w:type="spellEnd"/>
      <w:r w:rsidR="00E35DA2">
        <w:t>: 6:43-46.</w:t>
      </w:r>
      <w:r>
        <w:tab/>
      </w:r>
    </w:p>
  </w:footnote>
  <w:footnote w:id="13">
    <w:p w14:paraId="6B6FE9D5" w14:textId="6CD4D065" w:rsidR="00A67B9B" w:rsidRDefault="00A67B9B">
      <w:pPr>
        <w:pStyle w:val="FootnoteText"/>
      </w:pPr>
      <w:r>
        <w:rPr>
          <w:rStyle w:val="FootnoteReference"/>
        </w:rPr>
        <w:footnoteRef/>
      </w:r>
      <w:r>
        <w:t xml:space="preserve"> Ibid. p.176.</w:t>
      </w:r>
    </w:p>
  </w:footnote>
  <w:footnote w:id="14">
    <w:p w14:paraId="4BEE27FC" w14:textId="27881A65" w:rsidR="00B925E0" w:rsidRDefault="00B925E0">
      <w:pPr>
        <w:pStyle w:val="FootnoteText"/>
      </w:pPr>
      <w:r>
        <w:rPr>
          <w:rStyle w:val="FootnoteReference"/>
        </w:rPr>
        <w:footnoteRef/>
      </w:r>
      <w:r>
        <w:t xml:space="preserve"> </w:t>
      </w:r>
      <w:r w:rsidR="008D768F">
        <w:t>Ibid. p.175;</w:t>
      </w:r>
      <w:r w:rsidR="000A167E">
        <w:t xml:space="preserve"> </w:t>
      </w:r>
      <w:r>
        <w:t xml:space="preserve">1 </w:t>
      </w:r>
      <w:proofErr w:type="spellStart"/>
      <w:r>
        <w:t>Macc</w:t>
      </w:r>
      <w:proofErr w:type="spellEnd"/>
      <w:r>
        <w:t>: 2:40-41.</w:t>
      </w:r>
    </w:p>
  </w:footnote>
  <w:footnote w:id="15">
    <w:p w14:paraId="73B1AA1D" w14:textId="22629217" w:rsidR="00801ECD" w:rsidRDefault="00801ECD">
      <w:pPr>
        <w:pStyle w:val="FootnoteText"/>
      </w:pPr>
      <w:r>
        <w:rPr>
          <w:rStyle w:val="FootnoteReference"/>
        </w:rPr>
        <w:footnoteRef/>
      </w:r>
      <w:r>
        <w:t xml:space="preserve"> Ibid.</w:t>
      </w:r>
    </w:p>
  </w:footnote>
  <w:footnote w:id="16">
    <w:p w14:paraId="6CE37A36" w14:textId="52509753" w:rsidR="00315404" w:rsidRDefault="00315404">
      <w:pPr>
        <w:pStyle w:val="FootnoteText"/>
      </w:pPr>
      <w:r>
        <w:rPr>
          <w:rStyle w:val="FootnoteReference"/>
        </w:rPr>
        <w:footnoteRef/>
      </w:r>
      <w:r>
        <w:t xml:space="preserve"> Ibid. p.183; 2 </w:t>
      </w:r>
      <w:proofErr w:type="spellStart"/>
      <w:r>
        <w:t>Macc</w:t>
      </w:r>
      <w:proofErr w:type="spellEnd"/>
      <w:r>
        <w:t>: 11:6</w:t>
      </w:r>
      <w:r w:rsidR="00B2252C">
        <w:t>-10.</w:t>
      </w:r>
    </w:p>
  </w:footnote>
  <w:footnote w:id="17">
    <w:p w14:paraId="1FB2F4D3" w14:textId="2BC7339E" w:rsidR="00D30DF2" w:rsidRDefault="00D30DF2">
      <w:pPr>
        <w:pStyle w:val="FootnoteText"/>
      </w:pPr>
      <w:r>
        <w:rPr>
          <w:rStyle w:val="FootnoteReference"/>
        </w:rPr>
        <w:footnoteRef/>
      </w:r>
      <w:r>
        <w:t xml:space="preserve"> Law, 2013, p.15-6.</w:t>
      </w:r>
    </w:p>
  </w:footnote>
  <w:footnote w:id="18">
    <w:p w14:paraId="37716EA4" w14:textId="6F8B677D" w:rsidR="00C83DF6" w:rsidRDefault="00C83DF6">
      <w:pPr>
        <w:pStyle w:val="FootnoteText"/>
      </w:pPr>
      <w:r>
        <w:rPr>
          <w:rStyle w:val="FootnoteReference"/>
        </w:rPr>
        <w:footnoteRef/>
      </w:r>
      <w:r>
        <w:t xml:space="preserve"> 1 </w:t>
      </w:r>
      <w:proofErr w:type="spellStart"/>
      <w:r>
        <w:t>Macc</w:t>
      </w:r>
      <w:proofErr w:type="spellEnd"/>
      <w:r>
        <w:t>: 1:41-64.</w:t>
      </w:r>
    </w:p>
  </w:footnote>
  <w:footnote w:id="19">
    <w:p w14:paraId="0AD73FC5" w14:textId="4F5609AE" w:rsidR="0031450D" w:rsidRDefault="0031450D">
      <w:pPr>
        <w:pStyle w:val="FootnoteText"/>
      </w:pPr>
      <w:r>
        <w:rPr>
          <w:rStyle w:val="FootnoteReference"/>
        </w:rPr>
        <w:footnoteRef/>
      </w:r>
      <w:r>
        <w:t xml:space="preserve"> 2 </w:t>
      </w:r>
      <w:proofErr w:type="spellStart"/>
      <w:r>
        <w:t>Macc</w:t>
      </w:r>
      <w:proofErr w:type="spellEnd"/>
      <w:r>
        <w:t>: 1:27-28.</w:t>
      </w:r>
    </w:p>
  </w:footnote>
  <w:footnote w:id="20">
    <w:p w14:paraId="6A3E3093" w14:textId="0D9BAE62" w:rsidR="0077658B" w:rsidRDefault="0077658B">
      <w:pPr>
        <w:pStyle w:val="FootnoteText"/>
      </w:pPr>
      <w:r>
        <w:rPr>
          <w:rStyle w:val="FootnoteReference"/>
        </w:rPr>
        <w:footnoteRef/>
      </w:r>
      <w:r>
        <w:t xml:space="preserve"> Wheaton, 2012, p.251.</w:t>
      </w:r>
    </w:p>
  </w:footnote>
  <w:footnote w:id="21">
    <w:p w14:paraId="0E2A2F6D" w14:textId="4BE40BD4" w:rsidR="00A15F41" w:rsidRDefault="00A15F41">
      <w:pPr>
        <w:pStyle w:val="FootnoteText"/>
      </w:pPr>
      <w:r>
        <w:rPr>
          <w:rStyle w:val="FootnoteReference"/>
        </w:rPr>
        <w:footnoteRef/>
      </w:r>
      <w:r>
        <w:t xml:space="preserve"> 2 </w:t>
      </w:r>
      <w:proofErr w:type="spellStart"/>
      <w:r>
        <w:t>Macc</w:t>
      </w:r>
      <w:proofErr w:type="spellEnd"/>
      <w:r>
        <w:t>: 7:1.</w:t>
      </w:r>
    </w:p>
  </w:footnote>
  <w:footnote w:id="22">
    <w:p w14:paraId="7948AF4C" w14:textId="34030198" w:rsidR="00FC5AC0" w:rsidRDefault="00FC5AC0">
      <w:pPr>
        <w:pStyle w:val="FootnoteText"/>
      </w:pPr>
      <w:r>
        <w:rPr>
          <w:rStyle w:val="FootnoteReference"/>
        </w:rPr>
        <w:footnoteRef/>
      </w:r>
      <w:r>
        <w:t xml:space="preserve"> 1 Macc. 2:46.</w:t>
      </w:r>
    </w:p>
  </w:footnote>
  <w:footnote w:id="23">
    <w:p w14:paraId="0ADBF733" w14:textId="46B92342" w:rsidR="00607203" w:rsidRDefault="00607203">
      <w:pPr>
        <w:pStyle w:val="FootnoteText"/>
      </w:pPr>
      <w:r>
        <w:rPr>
          <w:rStyle w:val="FootnoteReference"/>
        </w:rPr>
        <w:footnoteRef/>
      </w:r>
      <w:r>
        <w:t xml:space="preserve"> Soon, 2020, p.162-3.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7A71D7"/>
    <w:multiLevelType w:val="hybridMultilevel"/>
    <w:tmpl w:val="5FD2660E"/>
    <w:lvl w:ilvl="0" w:tplc="837A43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FE7"/>
    <w:rsid w:val="000148BA"/>
    <w:rsid w:val="00023F78"/>
    <w:rsid w:val="000627AD"/>
    <w:rsid w:val="00076C5A"/>
    <w:rsid w:val="000905F9"/>
    <w:rsid w:val="00093D1B"/>
    <w:rsid w:val="000A00DD"/>
    <w:rsid w:val="000A167E"/>
    <w:rsid w:val="000A686F"/>
    <w:rsid w:val="000B55E9"/>
    <w:rsid w:val="000B7F3C"/>
    <w:rsid w:val="000D0952"/>
    <w:rsid w:val="000D2B5A"/>
    <w:rsid w:val="000D591B"/>
    <w:rsid w:val="000E10C5"/>
    <w:rsid w:val="000E2049"/>
    <w:rsid w:val="000E72F4"/>
    <w:rsid w:val="0011370B"/>
    <w:rsid w:val="001271BB"/>
    <w:rsid w:val="001315ED"/>
    <w:rsid w:val="0014586C"/>
    <w:rsid w:val="00151FE7"/>
    <w:rsid w:val="00154131"/>
    <w:rsid w:val="00156A78"/>
    <w:rsid w:val="001728FA"/>
    <w:rsid w:val="001766F9"/>
    <w:rsid w:val="00181B65"/>
    <w:rsid w:val="001835F5"/>
    <w:rsid w:val="00185747"/>
    <w:rsid w:val="001B3FC7"/>
    <w:rsid w:val="001B7BEC"/>
    <w:rsid w:val="001E1018"/>
    <w:rsid w:val="001F3F89"/>
    <w:rsid w:val="001F53E0"/>
    <w:rsid w:val="00202C48"/>
    <w:rsid w:val="00202C6F"/>
    <w:rsid w:val="00242843"/>
    <w:rsid w:val="00250846"/>
    <w:rsid w:val="00251452"/>
    <w:rsid w:val="00254965"/>
    <w:rsid w:val="00270CF8"/>
    <w:rsid w:val="0027562D"/>
    <w:rsid w:val="00285720"/>
    <w:rsid w:val="00293AE9"/>
    <w:rsid w:val="002956A7"/>
    <w:rsid w:val="002A7BCD"/>
    <w:rsid w:val="002C3DC4"/>
    <w:rsid w:val="002C5B97"/>
    <w:rsid w:val="002D4F59"/>
    <w:rsid w:val="002D6038"/>
    <w:rsid w:val="002E0C9F"/>
    <w:rsid w:val="002E1145"/>
    <w:rsid w:val="002E1B2F"/>
    <w:rsid w:val="003011E0"/>
    <w:rsid w:val="003032D9"/>
    <w:rsid w:val="0031450D"/>
    <w:rsid w:val="00315404"/>
    <w:rsid w:val="00333486"/>
    <w:rsid w:val="003429AE"/>
    <w:rsid w:val="00342D28"/>
    <w:rsid w:val="00344861"/>
    <w:rsid w:val="0037478F"/>
    <w:rsid w:val="003838AE"/>
    <w:rsid w:val="00397429"/>
    <w:rsid w:val="003B13A5"/>
    <w:rsid w:val="003B2D50"/>
    <w:rsid w:val="003C0C29"/>
    <w:rsid w:val="003C26C6"/>
    <w:rsid w:val="003C4924"/>
    <w:rsid w:val="003C501D"/>
    <w:rsid w:val="003D4122"/>
    <w:rsid w:val="003E705A"/>
    <w:rsid w:val="003F465B"/>
    <w:rsid w:val="003F5D9A"/>
    <w:rsid w:val="004021DF"/>
    <w:rsid w:val="00402DE8"/>
    <w:rsid w:val="00415CEC"/>
    <w:rsid w:val="00416334"/>
    <w:rsid w:val="00422264"/>
    <w:rsid w:val="00437B65"/>
    <w:rsid w:val="004427ED"/>
    <w:rsid w:val="0045452D"/>
    <w:rsid w:val="00492DC6"/>
    <w:rsid w:val="004A1B62"/>
    <w:rsid w:val="004C307D"/>
    <w:rsid w:val="004D17D5"/>
    <w:rsid w:val="004E34C7"/>
    <w:rsid w:val="004E5013"/>
    <w:rsid w:val="00502A84"/>
    <w:rsid w:val="00515351"/>
    <w:rsid w:val="0051612A"/>
    <w:rsid w:val="00517390"/>
    <w:rsid w:val="00550A56"/>
    <w:rsid w:val="00553DF1"/>
    <w:rsid w:val="0056356D"/>
    <w:rsid w:val="00570B3E"/>
    <w:rsid w:val="00572103"/>
    <w:rsid w:val="00595700"/>
    <w:rsid w:val="005A2735"/>
    <w:rsid w:val="005B785E"/>
    <w:rsid w:val="005D163C"/>
    <w:rsid w:val="005D255D"/>
    <w:rsid w:val="005D6368"/>
    <w:rsid w:val="005D734D"/>
    <w:rsid w:val="005E060C"/>
    <w:rsid w:val="005E6169"/>
    <w:rsid w:val="00600272"/>
    <w:rsid w:val="00601358"/>
    <w:rsid w:val="00607203"/>
    <w:rsid w:val="006126CF"/>
    <w:rsid w:val="00627A87"/>
    <w:rsid w:val="00634919"/>
    <w:rsid w:val="00635906"/>
    <w:rsid w:val="00636F6C"/>
    <w:rsid w:val="006408E3"/>
    <w:rsid w:val="006452E3"/>
    <w:rsid w:val="006469EC"/>
    <w:rsid w:val="00665492"/>
    <w:rsid w:val="00665E4B"/>
    <w:rsid w:val="00666E2D"/>
    <w:rsid w:val="00675F30"/>
    <w:rsid w:val="006A0703"/>
    <w:rsid w:val="006A3F61"/>
    <w:rsid w:val="006A6B44"/>
    <w:rsid w:val="006A7C7A"/>
    <w:rsid w:val="006C2E67"/>
    <w:rsid w:val="006D1ABF"/>
    <w:rsid w:val="006D5E08"/>
    <w:rsid w:val="006F7620"/>
    <w:rsid w:val="00714662"/>
    <w:rsid w:val="00715193"/>
    <w:rsid w:val="00715432"/>
    <w:rsid w:val="00723884"/>
    <w:rsid w:val="00723B2C"/>
    <w:rsid w:val="00733D4F"/>
    <w:rsid w:val="00746814"/>
    <w:rsid w:val="00751B8D"/>
    <w:rsid w:val="0076352F"/>
    <w:rsid w:val="00766936"/>
    <w:rsid w:val="00767876"/>
    <w:rsid w:val="00775826"/>
    <w:rsid w:val="0077658B"/>
    <w:rsid w:val="0079655E"/>
    <w:rsid w:val="007D62DA"/>
    <w:rsid w:val="007E02ED"/>
    <w:rsid w:val="007E5750"/>
    <w:rsid w:val="007F30C0"/>
    <w:rsid w:val="00801ECD"/>
    <w:rsid w:val="00804D29"/>
    <w:rsid w:val="00806266"/>
    <w:rsid w:val="00820627"/>
    <w:rsid w:val="00825C9E"/>
    <w:rsid w:val="00834F75"/>
    <w:rsid w:val="008502A8"/>
    <w:rsid w:val="00856025"/>
    <w:rsid w:val="008569D1"/>
    <w:rsid w:val="0086289A"/>
    <w:rsid w:val="00864720"/>
    <w:rsid w:val="00867AF1"/>
    <w:rsid w:val="008975FC"/>
    <w:rsid w:val="008A2ABE"/>
    <w:rsid w:val="008A488E"/>
    <w:rsid w:val="008A55E2"/>
    <w:rsid w:val="008A681E"/>
    <w:rsid w:val="008B3D45"/>
    <w:rsid w:val="008B4F94"/>
    <w:rsid w:val="008B538F"/>
    <w:rsid w:val="008D6AB6"/>
    <w:rsid w:val="008D768F"/>
    <w:rsid w:val="008E3EAF"/>
    <w:rsid w:val="008E4076"/>
    <w:rsid w:val="008E537D"/>
    <w:rsid w:val="00902C10"/>
    <w:rsid w:val="0091340B"/>
    <w:rsid w:val="0091742B"/>
    <w:rsid w:val="00921503"/>
    <w:rsid w:val="00925C99"/>
    <w:rsid w:val="0093581F"/>
    <w:rsid w:val="00945D9F"/>
    <w:rsid w:val="00951EAD"/>
    <w:rsid w:val="009524A4"/>
    <w:rsid w:val="009721F9"/>
    <w:rsid w:val="00975F30"/>
    <w:rsid w:val="00980B28"/>
    <w:rsid w:val="00983198"/>
    <w:rsid w:val="009B13DD"/>
    <w:rsid w:val="009B66DB"/>
    <w:rsid w:val="009C0AAB"/>
    <w:rsid w:val="009E1C7A"/>
    <w:rsid w:val="009E4E49"/>
    <w:rsid w:val="009F0AF8"/>
    <w:rsid w:val="009F52D7"/>
    <w:rsid w:val="00A03E58"/>
    <w:rsid w:val="00A06E42"/>
    <w:rsid w:val="00A15F41"/>
    <w:rsid w:val="00A37CB5"/>
    <w:rsid w:val="00A628D9"/>
    <w:rsid w:val="00A65E49"/>
    <w:rsid w:val="00A670D9"/>
    <w:rsid w:val="00A67B9B"/>
    <w:rsid w:val="00A720AA"/>
    <w:rsid w:val="00A75A10"/>
    <w:rsid w:val="00A96A21"/>
    <w:rsid w:val="00AA4965"/>
    <w:rsid w:val="00AA768B"/>
    <w:rsid w:val="00AB3E9E"/>
    <w:rsid w:val="00AD5AA3"/>
    <w:rsid w:val="00AF42E5"/>
    <w:rsid w:val="00B034BE"/>
    <w:rsid w:val="00B2212A"/>
    <w:rsid w:val="00B2252C"/>
    <w:rsid w:val="00B33833"/>
    <w:rsid w:val="00B35A20"/>
    <w:rsid w:val="00B35D36"/>
    <w:rsid w:val="00B465DF"/>
    <w:rsid w:val="00B51ED8"/>
    <w:rsid w:val="00B7169E"/>
    <w:rsid w:val="00B75634"/>
    <w:rsid w:val="00B822E0"/>
    <w:rsid w:val="00B925E0"/>
    <w:rsid w:val="00B92E00"/>
    <w:rsid w:val="00B93007"/>
    <w:rsid w:val="00B94ED4"/>
    <w:rsid w:val="00B96E69"/>
    <w:rsid w:val="00BA1F4F"/>
    <w:rsid w:val="00BA7CD3"/>
    <w:rsid w:val="00BB59F1"/>
    <w:rsid w:val="00BD629C"/>
    <w:rsid w:val="00BD6EC3"/>
    <w:rsid w:val="00BE6A01"/>
    <w:rsid w:val="00BE6DC3"/>
    <w:rsid w:val="00C1017E"/>
    <w:rsid w:val="00C112A8"/>
    <w:rsid w:val="00C21852"/>
    <w:rsid w:val="00C223D3"/>
    <w:rsid w:val="00C2540C"/>
    <w:rsid w:val="00C50F56"/>
    <w:rsid w:val="00C51063"/>
    <w:rsid w:val="00C52729"/>
    <w:rsid w:val="00C56202"/>
    <w:rsid w:val="00C57806"/>
    <w:rsid w:val="00C6587B"/>
    <w:rsid w:val="00C65F6C"/>
    <w:rsid w:val="00C72E7A"/>
    <w:rsid w:val="00C776C6"/>
    <w:rsid w:val="00C80AD2"/>
    <w:rsid w:val="00C83DF6"/>
    <w:rsid w:val="00C9639F"/>
    <w:rsid w:val="00C96B06"/>
    <w:rsid w:val="00CA2CE3"/>
    <w:rsid w:val="00CA74A2"/>
    <w:rsid w:val="00CB30CF"/>
    <w:rsid w:val="00CC24E5"/>
    <w:rsid w:val="00CD68B0"/>
    <w:rsid w:val="00CD6ECD"/>
    <w:rsid w:val="00CE0242"/>
    <w:rsid w:val="00CE25FB"/>
    <w:rsid w:val="00CE734C"/>
    <w:rsid w:val="00D076B3"/>
    <w:rsid w:val="00D07EE7"/>
    <w:rsid w:val="00D24A8F"/>
    <w:rsid w:val="00D2627D"/>
    <w:rsid w:val="00D26AD6"/>
    <w:rsid w:val="00D278D9"/>
    <w:rsid w:val="00D30DF2"/>
    <w:rsid w:val="00D34F67"/>
    <w:rsid w:val="00D67D69"/>
    <w:rsid w:val="00D84A05"/>
    <w:rsid w:val="00D8563D"/>
    <w:rsid w:val="00D9602B"/>
    <w:rsid w:val="00D96822"/>
    <w:rsid w:val="00DA5B48"/>
    <w:rsid w:val="00DB086B"/>
    <w:rsid w:val="00DB12A3"/>
    <w:rsid w:val="00DB5836"/>
    <w:rsid w:val="00DC2863"/>
    <w:rsid w:val="00DE282E"/>
    <w:rsid w:val="00DF742E"/>
    <w:rsid w:val="00E1679E"/>
    <w:rsid w:val="00E240D3"/>
    <w:rsid w:val="00E26F9E"/>
    <w:rsid w:val="00E35DA2"/>
    <w:rsid w:val="00E3699B"/>
    <w:rsid w:val="00E37010"/>
    <w:rsid w:val="00E40245"/>
    <w:rsid w:val="00E45567"/>
    <w:rsid w:val="00E50724"/>
    <w:rsid w:val="00E554B7"/>
    <w:rsid w:val="00E6025D"/>
    <w:rsid w:val="00E61266"/>
    <w:rsid w:val="00E646CB"/>
    <w:rsid w:val="00E67481"/>
    <w:rsid w:val="00E71BDA"/>
    <w:rsid w:val="00E82A08"/>
    <w:rsid w:val="00E82CF2"/>
    <w:rsid w:val="00EA2ECC"/>
    <w:rsid w:val="00ED09A2"/>
    <w:rsid w:val="00EE5297"/>
    <w:rsid w:val="00EF0D79"/>
    <w:rsid w:val="00EF5B15"/>
    <w:rsid w:val="00F27691"/>
    <w:rsid w:val="00F37A7A"/>
    <w:rsid w:val="00F45BEC"/>
    <w:rsid w:val="00F50DE8"/>
    <w:rsid w:val="00F5503F"/>
    <w:rsid w:val="00F61F79"/>
    <w:rsid w:val="00F67E3E"/>
    <w:rsid w:val="00F915D3"/>
    <w:rsid w:val="00F916FE"/>
    <w:rsid w:val="00F943B1"/>
    <w:rsid w:val="00FA7C69"/>
    <w:rsid w:val="00FC5AC0"/>
    <w:rsid w:val="00FD5E63"/>
    <w:rsid w:val="00FE2189"/>
    <w:rsid w:val="00FE4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1DCB4"/>
  <w15:chartTrackingRefBased/>
  <w15:docId w15:val="{71EA9D5E-3EC8-40AF-AC7C-DA34A6752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538F"/>
    <w:pPr>
      <w:ind w:left="720"/>
      <w:contextualSpacing/>
    </w:pPr>
  </w:style>
  <w:style w:type="paragraph" w:styleId="FootnoteText">
    <w:name w:val="footnote text"/>
    <w:basedOn w:val="Normal"/>
    <w:link w:val="FootnoteTextChar"/>
    <w:uiPriority w:val="99"/>
    <w:semiHidden/>
    <w:unhideWhenUsed/>
    <w:rsid w:val="002D60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6038"/>
    <w:rPr>
      <w:sz w:val="20"/>
      <w:szCs w:val="20"/>
    </w:rPr>
  </w:style>
  <w:style w:type="character" w:styleId="FootnoteReference">
    <w:name w:val="footnote reference"/>
    <w:basedOn w:val="DefaultParagraphFont"/>
    <w:uiPriority w:val="99"/>
    <w:semiHidden/>
    <w:unhideWhenUsed/>
    <w:rsid w:val="002D60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0998544">
      <w:bodyDiv w:val="1"/>
      <w:marLeft w:val="0"/>
      <w:marRight w:val="0"/>
      <w:marTop w:val="0"/>
      <w:marBottom w:val="0"/>
      <w:divBdr>
        <w:top w:val="none" w:sz="0" w:space="0" w:color="auto"/>
        <w:left w:val="none" w:sz="0" w:space="0" w:color="auto"/>
        <w:bottom w:val="none" w:sz="0" w:space="0" w:color="auto"/>
        <w:right w:val="none" w:sz="0" w:space="0" w:color="auto"/>
      </w:divBdr>
    </w:div>
    <w:div w:id="1314721183">
      <w:bodyDiv w:val="1"/>
      <w:marLeft w:val="0"/>
      <w:marRight w:val="0"/>
      <w:marTop w:val="0"/>
      <w:marBottom w:val="0"/>
      <w:divBdr>
        <w:top w:val="none" w:sz="0" w:space="0" w:color="auto"/>
        <w:left w:val="none" w:sz="0" w:space="0" w:color="auto"/>
        <w:bottom w:val="none" w:sz="0" w:space="0" w:color="auto"/>
        <w:right w:val="none" w:sz="0" w:space="0" w:color="auto"/>
      </w:divBdr>
      <w:divsChild>
        <w:div w:id="2068262473">
          <w:marLeft w:val="3750"/>
          <w:marRight w:val="3750"/>
          <w:marTop w:val="0"/>
          <w:marBottom w:val="0"/>
          <w:divBdr>
            <w:top w:val="none" w:sz="0" w:space="0" w:color="auto"/>
            <w:left w:val="none" w:sz="0" w:space="0" w:color="auto"/>
            <w:bottom w:val="none" w:sz="0" w:space="0" w:color="auto"/>
            <w:right w:val="none" w:sz="0" w:space="0" w:color="auto"/>
          </w:divBdr>
          <w:divsChild>
            <w:div w:id="899632680">
              <w:marLeft w:val="0"/>
              <w:marRight w:val="0"/>
              <w:marTop w:val="0"/>
              <w:marBottom w:val="0"/>
              <w:divBdr>
                <w:top w:val="none" w:sz="0" w:space="0" w:color="auto"/>
                <w:left w:val="none" w:sz="0" w:space="0" w:color="auto"/>
                <w:bottom w:val="none" w:sz="0" w:space="0" w:color="auto"/>
                <w:right w:val="none" w:sz="0" w:space="0" w:color="auto"/>
              </w:divBdr>
              <w:divsChild>
                <w:div w:id="2090878979">
                  <w:marLeft w:val="0"/>
                  <w:marRight w:val="0"/>
                  <w:marTop w:val="0"/>
                  <w:marBottom w:val="0"/>
                  <w:divBdr>
                    <w:top w:val="none" w:sz="0" w:space="0" w:color="auto"/>
                    <w:left w:val="none" w:sz="0" w:space="0" w:color="auto"/>
                    <w:bottom w:val="none" w:sz="0" w:space="0" w:color="auto"/>
                    <w:right w:val="none" w:sz="0" w:space="0" w:color="auto"/>
                  </w:divBdr>
                  <w:divsChild>
                    <w:div w:id="147148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217168">
      <w:bodyDiv w:val="1"/>
      <w:marLeft w:val="0"/>
      <w:marRight w:val="0"/>
      <w:marTop w:val="0"/>
      <w:marBottom w:val="0"/>
      <w:divBdr>
        <w:top w:val="none" w:sz="0" w:space="0" w:color="auto"/>
        <w:left w:val="none" w:sz="0" w:space="0" w:color="auto"/>
        <w:bottom w:val="none" w:sz="0" w:space="0" w:color="auto"/>
        <w:right w:val="none" w:sz="0" w:space="0" w:color="auto"/>
      </w:divBdr>
    </w:div>
    <w:div w:id="1679893346">
      <w:bodyDiv w:val="1"/>
      <w:marLeft w:val="0"/>
      <w:marRight w:val="0"/>
      <w:marTop w:val="0"/>
      <w:marBottom w:val="0"/>
      <w:divBdr>
        <w:top w:val="none" w:sz="0" w:space="0" w:color="auto"/>
        <w:left w:val="none" w:sz="0" w:space="0" w:color="auto"/>
        <w:bottom w:val="none" w:sz="0" w:space="0" w:color="auto"/>
        <w:right w:val="none" w:sz="0" w:space="0" w:color="auto"/>
      </w:divBdr>
      <w:divsChild>
        <w:div w:id="1620334726">
          <w:marLeft w:val="0"/>
          <w:marRight w:val="0"/>
          <w:marTop w:val="0"/>
          <w:marBottom w:val="225"/>
          <w:divBdr>
            <w:top w:val="none" w:sz="0" w:space="0" w:color="auto"/>
            <w:left w:val="none" w:sz="0" w:space="0" w:color="auto"/>
            <w:bottom w:val="none" w:sz="0" w:space="0" w:color="auto"/>
            <w:right w:val="none" w:sz="0" w:space="0" w:color="auto"/>
          </w:divBdr>
          <w:divsChild>
            <w:div w:id="1826896169">
              <w:marLeft w:val="0"/>
              <w:marRight w:val="0"/>
              <w:marTop w:val="0"/>
              <w:marBottom w:val="0"/>
              <w:divBdr>
                <w:top w:val="single" w:sz="6" w:space="0" w:color="999999"/>
                <w:left w:val="single" w:sz="6" w:space="0" w:color="999999"/>
                <w:bottom w:val="single" w:sz="6" w:space="0" w:color="999999"/>
                <w:right w:val="single" w:sz="6" w:space="0" w:color="999999"/>
              </w:divBdr>
              <w:divsChild>
                <w:div w:id="145748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636438">
          <w:marLeft w:val="210"/>
          <w:marRight w:val="0"/>
          <w:marTop w:val="0"/>
          <w:marBottom w:val="225"/>
          <w:divBdr>
            <w:top w:val="none" w:sz="0" w:space="0" w:color="auto"/>
            <w:left w:val="none" w:sz="0" w:space="0" w:color="auto"/>
            <w:bottom w:val="none" w:sz="0" w:space="0" w:color="auto"/>
            <w:right w:val="none" w:sz="0" w:space="0" w:color="auto"/>
          </w:divBdr>
          <w:divsChild>
            <w:div w:id="86351610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5FBDF-8EAC-4DD3-B87D-744CD8583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4</cp:revision>
  <dcterms:created xsi:type="dcterms:W3CDTF">2020-06-12T17:16:00Z</dcterms:created>
  <dcterms:modified xsi:type="dcterms:W3CDTF">2020-06-12T17:32:00Z</dcterms:modified>
</cp:coreProperties>
</file>