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E6C67" w14:textId="77777777" w:rsidR="00FA15CF" w:rsidRPr="009C64EE" w:rsidRDefault="00FA15CF">
      <w:pPr>
        <w:rPr>
          <w:rFonts w:ascii="Arial" w:hAnsi="Arial" w:cs="Arial"/>
          <w:sz w:val="24"/>
          <w:szCs w:val="24"/>
        </w:rPr>
      </w:pPr>
    </w:p>
    <w:p w14:paraId="15DC8A27" w14:textId="77777777" w:rsidR="00901A80" w:rsidRPr="009C64EE" w:rsidRDefault="00901A80">
      <w:pPr>
        <w:rPr>
          <w:rFonts w:ascii="Arial" w:hAnsi="Arial" w:cs="Arial"/>
          <w:sz w:val="24"/>
          <w:szCs w:val="24"/>
        </w:rPr>
      </w:pPr>
    </w:p>
    <w:p w14:paraId="4D44EEAB" w14:textId="77777777" w:rsidR="00901A80" w:rsidRPr="009C64EE" w:rsidRDefault="00901A80">
      <w:pPr>
        <w:rPr>
          <w:rFonts w:ascii="Arial" w:hAnsi="Arial" w:cs="Arial"/>
          <w:sz w:val="24"/>
          <w:szCs w:val="24"/>
        </w:rPr>
      </w:pPr>
    </w:p>
    <w:p w14:paraId="4F07C143" w14:textId="77777777" w:rsidR="00901A80" w:rsidRPr="009C64EE" w:rsidRDefault="00901A80">
      <w:pPr>
        <w:rPr>
          <w:rFonts w:ascii="Arial" w:hAnsi="Arial" w:cs="Arial"/>
          <w:sz w:val="24"/>
          <w:szCs w:val="24"/>
        </w:rPr>
      </w:pPr>
    </w:p>
    <w:p w14:paraId="1FC9FCA0" w14:textId="77777777" w:rsidR="00901A80" w:rsidRPr="009C64EE" w:rsidRDefault="00901A80">
      <w:pPr>
        <w:rPr>
          <w:rFonts w:ascii="Arial" w:hAnsi="Arial" w:cs="Arial"/>
          <w:sz w:val="24"/>
          <w:szCs w:val="24"/>
        </w:rPr>
      </w:pPr>
    </w:p>
    <w:p w14:paraId="024614EE" w14:textId="77777777" w:rsidR="00901A80" w:rsidRPr="009C64EE" w:rsidRDefault="00901A80" w:rsidP="00ED4C6A">
      <w:pPr>
        <w:jc w:val="center"/>
        <w:rPr>
          <w:rFonts w:ascii="Arial" w:hAnsi="Arial" w:cs="Arial"/>
          <w:sz w:val="24"/>
          <w:szCs w:val="24"/>
        </w:rPr>
      </w:pPr>
    </w:p>
    <w:p w14:paraId="6CBCE0ED" w14:textId="77777777" w:rsidR="00ED4C6A" w:rsidRPr="009C64EE" w:rsidRDefault="00ED4C6A" w:rsidP="00ED4C6A">
      <w:pPr>
        <w:spacing w:before="100" w:beforeAutospacing="1" w:after="100" w:afterAutospacing="1" w:line="276" w:lineRule="auto"/>
        <w:jc w:val="center"/>
        <w:rPr>
          <w:rFonts w:ascii="Arial" w:hAnsi="Arial" w:cs="Arial"/>
          <w:sz w:val="24"/>
          <w:szCs w:val="24"/>
        </w:rPr>
      </w:pPr>
      <w:r w:rsidRPr="009C64EE">
        <w:rPr>
          <w:rFonts w:ascii="Arial" w:hAnsi="Arial" w:cs="Arial"/>
          <w:sz w:val="24"/>
          <w:szCs w:val="24"/>
        </w:rPr>
        <w:t>Understanding the Business Context</w:t>
      </w:r>
    </w:p>
    <w:p w14:paraId="1C05A8E2" w14:textId="77777777" w:rsidR="00ED4C6A" w:rsidRPr="009C64EE" w:rsidRDefault="00ED4C6A" w:rsidP="00ED4C6A">
      <w:pPr>
        <w:spacing w:before="100" w:beforeAutospacing="1" w:after="100" w:afterAutospacing="1" w:line="276" w:lineRule="auto"/>
        <w:jc w:val="center"/>
        <w:rPr>
          <w:rFonts w:ascii="Arial" w:hAnsi="Arial" w:cs="Arial"/>
          <w:sz w:val="24"/>
          <w:szCs w:val="24"/>
        </w:rPr>
      </w:pPr>
      <w:r w:rsidRPr="009C64EE">
        <w:rPr>
          <w:rFonts w:ascii="Arial" w:hAnsi="Arial" w:cs="Arial"/>
          <w:sz w:val="24"/>
          <w:szCs w:val="24"/>
        </w:rPr>
        <w:t>Module Course: BMHR7012</w:t>
      </w:r>
    </w:p>
    <w:p w14:paraId="72C663F0" w14:textId="22E7AAF4" w:rsidR="00ED4C6A" w:rsidRPr="009C64EE" w:rsidRDefault="00ED4C6A" w:rsidP="00ED4C6A">
      <w:pPr>
        <w:spacing w:before="100" w:beforeAutospacing="1" w:after="100" w:afterAutospacing="1" w:line="276" w:lineRule="auto"/>
        <w:jc w:val="center"/>
        <w:rPr>
          <w:rFonts w:ascii="Arial" w:hAnsi="Arial" w:cs="Arial"/>
          <w:sz w:val="24"/>
          <w:szCs w:val="24"/>
        </w:rPr>
      </w:pPr>
      <w:r w:rsidRPr="009C64EE">
        <w:rPr>
          <w:rFonts w:ascii="Arial" w:hAnsi="Arial" w:cs="Arial"/>
          <w:sz w:val="24"/>
          <w:szCs w:val="24"/>
        </w:rPr>
        <w:t xml:space="preserve">Task 2 </w:t>
      </w:r>
    </w:p>
    <w:p w14:paraId="3FF4D18B" w14:textId="77777777" w:rsidR="00ED4C6A" w:rsidRPr="009C64EE" w:rsidRDefault="00ED4C6A" w:rsidP="00ED4C6A">
      <w:pPr>
        <w:spacing w:before="100" w:beforeAutospacing="1" w:after="100" w:afterAutospacing="1" w:line="276" w:lineRule="auto"/>
        <w:jc w:val="center"/>
        <w:rPr>
          <w:rFonts w:ascii="Arial" w:hAnsi="Arial" w:cs="Arial"/>
          <w:sz w:val="24"/>
          <w:szCs w:val="24"/>
        </w:rPr>
      </w:pPr>
      <w:r w:rsidRPr="009C64EE">
        <w:rPr>
          <w:rFonts w:ascii="Arial" w:hAnsi="Arial" w:cs="Arial"/>
          <w:sz w:val="24"/>
          <w:szCs w:val="24"/>
        </w:rPr>
        <w:t>Nia Milcoy</w:t>
      </w:r>
    </w:p>
    <w:p w14:paraId="2E1795F1" w14:textId="1209338D" w:rsidR="00ED4C6A" w:rsidRPr="009C64EE" w:rsidRDefault="00ED4C6A" w:rsidP="00ED4C6A">
      <w:pPr>
        <w:tabs>
          <w:tab w:val="center" w:pos="4513"/>
          <w:tab w:val="left" w:pos="5500"/>
        </w:tabs>
        <w:spacing w:before="100" w:beforeAutospacing="1" w:after="100" w:afterAutospacing="1" w:line="276" w:lineRule="auto"/>
        <w:jc w:val="center"/>
        <w:rPr>
          <w:rFonts w:ascii="Arial" w:hAnsi="Arial" w:cs="Arial"/>
          <w:sz w:val="24"/>
          <w:szCs w:val="24"/>
        </w:rPr>
      </w:pPr>
      <w:r w:rsidRPr="009C64EE">
        <w:rPr>
          <w:rFonts w:ascii="Arial" w:hAnsi="Arial" w:cs="Arial"/>
          <w:sz w:val="24"/>
          <w:szCs w:val="24"/>
        </w:rPr>
        <w:t>0600733</w:t>
      </w:r>
    </w:p>
    <w:p w14:paraId="59E00D39" w14:textId="77777777" w:rsidR="00ED4C6A" w:rsidRPr="009C64EE" w:rsidRDefault="00ED4C6A" w:rsidP="00ED4C6A">
      <w:pPr>
        <w:tabs>
          <w:tab w:val="center" w:pos="4513"/>
          <w:tab w:val="left" w:pos="5500"/>
        </w:tabs>
        <w:spacing w:before="100" w:beforeAutospacing="1" w:after="100" w:afterAutospacing="1" w:line="276" w:lineRule="auto"/>
        <w:jc w:val="center"/>
        <w:rPr>
          <w:rFonts w:ascii="Arial" w:hAnsi="Arial" w:cs="Arial"/>
          <w:sz w:val="24"/>
          <w:szCs w:val="24"/>
        </w:rPr>
      </w:pPr>
    </w:p>
    <w:p w14:paraId="03683946" w14:textId="77777777" w:rsidR="00ED4C6A" w:rsidRPr="009C64EE" w:rsidRDefault="00ED4C6A" w:rsidP="00ED4C6A">
      <w:pPr>
        <w:tabs>
          <w:tab w:val="center" w:pos="4513"/>
          <w:tab w:val="left" w:pos="5500"/>
        </w:tabs>
        <w:spacing w:before="100" w:beforeAutospacing="1" w:after="100" w:afterAutospacing="1" w:line="276" w:lineRule="auto"/>
        <w:jc w:val="center"/>
        <w:rPr>
          <w:rFonts w:ascii="Arial" w:hAnsi="Arial" w:cs="Arial"/>
          <w:sz w:val="24"/>
          <w:szCs w:val="24"/>
        </w:rPr>
      </w:pPr>
    </w:p>
    <w:p w14:paraId="5069E5AE" w14:textId="77777777" w:rsidR="00ED4C6A" w:rsidRPr="009C64EE" w:rsidRDefault="00ED4C6A" w:rsidP="00ED4C6A">
      <w:pPr>
        <w:tabs>
          <w:tab w:val="center" w:pos="4513"/>
          <w:tab w:val="left" w:pos="5500"/>
        </w:tabs>
        <w:spacing w:before="100" w:beforeAutospacing="1" w:after="100" w:afterAutospacing="1" w:line="276" w:lineRule="auto"/>
        <w:jc w:val="center"/>
        <w:rPr>
          <w:rFonts w:ascii="Arial" w:hAnsi="Arial" w:cs="Arial"/>
          <w:sz w:val="24"/>
          <w:szCs w:val="24"/>
        </w:rPr>
      </w:pPr>
    </w:p>
    <w:p w14:paraId="099D2758" w14:textId="77777777" w:rsidR="00ED4C6A" w:rsidRPr="009C64EE" w:rsidRDefault="00ED4C6A" w:rsidP="00ED4C6A">
      <w:pPr>
        <w:tabs>
          <w:tab w:val="center" w:pos="4513"/>
          <w:tab w:val="left" w:pos="5500"/>
        </w:tabs>
        <w:spacing w:before="100" w:beforeAutospacing="1" w:after="100" w:afterAutospacing="1" w:line="276" w:lineRule="auto"/>
        <w:jc w:val="center"/>
        <w:rPr>
          <w:rFonts w:ascii="Arial" w:hAnsi="Arial" w:cs="Arial"/>
          <w:sz w:val="24"/>
          <w:szCs w:val="24"/>
        </w:rPr>
      </w:pPr>
    </w:p>
    <w:p w14:paraId="6CFB1A5B" w14:textId="77777777" w:rsidR="00ED4C6A" w:rsidRPr="009C64EE" w:rsidRDefault="00ED4C6A" w:rsidP="00ED4C6A">
      <w:pPr>
        <w:spacing w:before="100" w:beforeAutospacing="1" w:after="100" w:afterAutospacing="1" w:line="276" w:lineRule="auto"/>
        <w:jc w:val="center"/>
        <w:rPr>
          <w:rFonts w:ascii="Arial" w:hAnsi="Arial" w:cs="Arial"/>
          <w:sz w:val="24"/>
          <w:szCs w:val="24"/>
        </w:rPr>
      </w:pPr>
    </w:p>
    <w:p w14:paraId="782F0885" w14:textId="77777777" w:rsidR="00ED4C6A" w:rsidRPr="009C64EE" w:rsidRDefault="00ED4C6A" w:rsidP="00ED4C6A">
      <w:pPr>
        <w:spacing w:before="100" w:beforeAutospacing="1" w:after="100" w:afterAutospacing="1" w:line="276" w:lineRule="auto"/>
        <w:jc w:val="center"/>
        <w:rPr>
          <w:rFonts w:ascii="Arial" w:hAnsi="Arial" w:cs="Arial"/>
          <w:sz w:val="24"/>
          <w:szCs w:val="24"/>
        </w:rPr>
      </w:pPr>
      <w:r w:rsidRPr="009C64EE">
        <w:rPr>
          <w:rFonts w:ascii="Arial" w:hAnsi="Arial" w:cs="Arial"/>
          <w:sz w:val="24"/>
          <w:szCs w:val="24"/>
        </w:rPr>
        <w:t>*I confirm that this is my own work</w:t>
      </w:r>
    </w:p>
    <w:p w14:paraId="1CDB7489" w14:textId="3F66D313" w:rsidR="00901A80" w:rsidRPr="009C64EE" w:rsidRDefault="00901A80" w:rsidP="00ED4C6A">
      <w:pPr>
        <w:tabs>
          <w:tab w:val="left" w:pos="5625"/>
        </w:tabs>
        <w:jc w:val="center"/>
        <w:rPr>
          <w:rFonts w:ascii="Arial" w:hAnsi="Arial" w:cs="Arial"/>
          <w:sz w:val="24"/>
          <w:szCs w:val="24"/>
        </w:rPr>
      </w:pPr>
    </w:p>
    <w:p w14:paraId="1EF958C2" w14:textId="77777777" w:rsidR="00901A80" w:rsidRPr="009C64EE" w:rsidRDefault="00901A80" w:rsidP="00ED4C6A">
      <w:pPr>
        <w:jc w:val="center"/>
        <w:rPr>
          <w:rFonts w:ascii="Arial" w:hAnsi="Arial" w:cs="Arial"/>
          <w:sz w:val="24"/>
          <w:szCs w:val="24"/>
        </w:rPr>
      </w:pPr>
    </w:p>
    <w:p w14:paraId="3E6253E8" w14:textId="77777777" w:rsidR="00901A80" w:rsidRPr="009C64EE" w:rsidRDefault="00901A80">
      <w:pPr>
        <w:rPr>
          <w:rFonts w:ascii="Arial" w:hAnsi="Arial" w:cs="Arial"/>
          <w:sz w:val="24"/>
          <w:szCs w:val="24"/>
        </w:rPr>
      </w:pPr>
    </w:p>
    <w:p w14:paraId="09AE4612" w14:textId="77777777" w:rsidR="00901A80" w:rsidRPr="009C64EE" w:rsidRDefault="00901A80">
      <w:pPr>
        <w:rPr>
          <w:rFonts w:ascii="Arial" w:hAnsi="Arial" w:cs="Arial"/>
          <w:sz w:val="24"/>
          <w:szCs w:val="24"/>
        </w:rPr>
      </w:pPr>
    </w:p>
    <w:p w14:paraId="36664DF6" w14:textId="77777777" w:rsidR="00901A80" w:rsidRPr="009C64EE" w:rsidRDefault="00901A80">
      <w:pPr>
        <w:rPr>
          <w:rFonts w:ascii="Arial" w:hAnsi="Arial" w:cs="Arial"/>
          <w:sz w:val="24"/>
          <w:szCs w:val="24"/>
        </w:rPr>
      </w:pPr>
    </w:p>
    <w:p w14:paraId="0D9C3161" w14:textId="77777777" w:rsidR="00901A80" w:rsidRPr="009C64EE" w:rsidRDefault="00901A80">
      <w:pPr>
        <w:rPr>
          <w:rFonts w:ascii="Arial" w:hAnsi="Arial" w:cs="Arial"/>
          <w:sz w:val="24"/>
          <w:szCs w:val="24"/>
        </w:rPr>
      </w:pPr>
    </w:p>
    <w:p w14:paraId="0C09D712" w14:textId="77777777" w:rsidR="00901A80" w:rsidRPr="009C64EE" w:rsidRDefault="00901A80">
      <w:pPr>
        <w:rPr>
          <w:rFonts w:ascii="Arial" w:hAnsi="Arial" w:cs="Arial"/>
          <w:sz w:val="24"/>
          <w:szCs w:val="24"/>
        </w:rPr>
      </w:pPr>
    </w:p>
    <w:p w14:paraId="5C4C24F2" w14:textId="77777777" w:rsidR="00901A80" w:rsidRPr="009C64EE" w:rsidRDefault="00901A80">
      <w:pPr>
        <w:rPr>
          <w:rFonts w:ascii="Arial" w:hAnsi="Arial" w:cs="Arial"/>
          <w:sz w:val="24"/>
          <w:szCs w:val="24"/>
        </w:rPr>
      </w:pPr>
    </w:p>
    <w:p w14:paraId="551DD792" w14:textId="77777777" w:rsidR="00901A80" w:rsidRPr="009C64EE" w:rsidRDefault="00901A80">
      <w:pPr>
        <w:rPr>
          <w:rFonts w:ascii="Arial" w:hAnsi="Arial" w:cs="Arial"/>
          <w:sz w:val="24"/>
          <w:szCs w:val="24"/>
        </w:rPr>
      </w:pPr>
    </w:p>
    <w:p w14:paraId="662BCC68" w14:textId="7CB3AC2B" w:rsidR="00901A80" w:rsidRPr="009C64EE" w:rsidRDefault="004E222E">
      <w:pPr>
        <w:rPr>
          <w:rFonts w:ascii="Arial" w:hAnsi="Arial" w:cs="Arial"/>
          <w:sz w:val="24"/>
          <w:szCs w:val="24"/>
        </w:rPr>
      </w:pPr>
      <w:r w:rsidRPr="004E222E">
        <w:rPr>
          <w:rFonts w:ascii="Arial" w:hAnsi="Arial" w:cs="Arial"/>
          <w:sz w:val="24"/>
          <w:szCs w:val="24"/>
        </w:rPr>
        <w:lastRenderedPageBreak/>
        <w:drawing>
          <wp:inline distT="0" distB="0" distL="0" distR="0" wp14:anchorId="13E0F937" wp14:editId="6D5D0C3C">
            <wp:extent cx="5731510" cy="8104505"/>
            <wp:effectExtent l="0" t="0" r="2540" b="0"/>
            <wp:docPr id="1658139881" name="Picture 1" descr="A green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139881" name="Picture 1" descr="A green screen with white text&#10;&#10;AI-generated content may be incorrect."/>
                    <pic:cNvPicPr/>
                  </pic:nvPicPr>
                  <pic:blipFill>
                    <a:blip r:embed="rId8"/>
                    <a:stretch>
                      <a:fillRect/>
                    </a:stretch>
                  </pic:blipFill>
                  <pic:spPr>
                    <a:xfrm>
                      <a:off x="0" y="0"/>
                      <a:ext cx="5731510" cy="8104505"/>
                    </a:xfrm>
                    <a:prstGeom prst="rect">
                      <a:avLst/>
                    </a:prstGeom>
                  </pic:spPr>
                </pic:pic>
              </a:graphicData>
            </a:graphic>
          </wp:inline>
        </w:drawing>
      </w:r>
    </w:p>
    <w:p w14:paraId="5F03332F" w14:textId="77777777" w:rsidR="00262229" w:rsidRDefault="00262229" w:rsidP="009C64EE">
      <w:pPr>
        <w:jc w:val="both"/>
        <w:rPr>
          <w:rFonts w:ascii="Arial" w:hAnsi="Arial" w:cs="Arial"/>
          <w:b/>
          <w:bCs/>
          <w:sz w:val="24"/>
          <w:szCs w:val="24"/>
        </w:rPr>
      </w:pPr>
    </w:p>
    <w:p w14:paraId="24C5E17F" w14:textId="77777777" w:rsidR="00262229" w:rsidRDefault="00262229" w:rsidP="009C64EE">
      <w:pPr>
        <w:jc w:val="both"/>
        <w:rPr>
          <w:rFonts w:ascii="Arial" w:hAnsi="Arial" w:cs="Arial"/>
          <w:b/>
          <w:bCs/>
          <w:sz w:val="24"/>
          <w:szCs w:val="24"/>
        </w:rPr>
      </w:pPr>
    </w:p>
    <w:p w14:paraId="3A520D38" w14:textId="2C01E036" w:rsidR="00F1503C" w:rsidRPr="00F1503C" w:rsidRDefault="00F1503C" w:rsidP="009C64EE">
      <w:pPr>
        <w:jc w:val="both"/>
        <w:rPr>
          <w:rFonts w:ascii="Arial" w:hAnsi="Arial" w:cs="Arial"/>
          <w:b/>
          <w:bCs/>
          <w:sz w:val="24"/>
          <w:szCs w:val="24"/>
        </w:rPr>
      </w:pPr>
      <w:r w:rsidRPr="00F1503C">
        <w:rPr>
          <w:rFonts w:ascii="Arial" w:hAnsi="Arial" w:cs="Arial"/>
          <w:b/>
          <w:bCs/>
          <w:sz w:val="24"/>
          <w:szCs w:val="24"/>
        </w:rPr>
        <w:lastRenderedPageBreak/>
        <w:t>PESTLE Analysis and Its Impact on People Management</w:t>
      </w:r>
    </w:p>
    <w:p w14:paraId="78D1DFE0"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PESTLE is a strategic framework used by organisations to evaluate the external macro-environmental factors that influence their operations. The acronym stands for Political, Economic, Social, Technological, Legal, and Environmental factors. By understanding these external influences, organisations can make informed strategic decisions and better navigate challenges in the market (Marmol, et al., 2015). For HR professionals, applying PESTLE provides valuable insights into the factors influencing business strategy and people management, helping HR teams align practices with organisational goals and respond effectively to external challenges. This document focuses on the Environmental and Technological factors, two key external forces that significantly impact both business operations and people management practices (Amega et al., 2024; CIPD, 2024).</w:t>
      </w:r>
    </w:p>
    <w:p w14:paraId="26869FF8" w14:textId="77777777" w:rsidR="00F1503C" w:rsidRPr="00F1503C" w:rsidRDefault="00F1503C" w:rsidP="009C64EE">
      <w:pPr>
        <w:jc w:val="both"/>
        <w:rPr>
          <w:rFonts w:ascii="Arial" w:hAnsi="Arial" w:cs="Arial"/>
          <w:b/>
          <w:bCs/>
          <w:sz w:val="24"/>
          <w:szCs w:val="24"/>
        </w:rPr>
      </w:pPr>
      <w:r w:rsidRPr="00F1503C">
        <w:rPr>
          <w:rFonts w:ascii="Arial" w:hAnsi="Arial" w:cs="Arial"/>
          <w:b/>
          <w:bCs/>
          <w:sz w:val="24"/>
          <w:szCs w:val="24"/>
        </w:rPr>
        <w:t>Environmental Factors and Their Impact on People Management</w:t>
      </w:r>
    </w:p>
    <w:p w14:paraId="15B3AFDC"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Environmental concerns, such as sustainability, climate change, and resource depletion, are becoming integral to business strategy. Governments worldwide have imposed stricter regulations to mitigate climate change, reduce waste, and promote responsible resource use. Organisations that fail to comply with these regulations risk fines, legal challenges, and reputational damage, whereas those that embrace sustainability benefit from enhanced brand image, customer loyalty, and new business opportunities (Indianapolis Food News, 2020).</w:t>
      </w:r>
    </w:p>
    <w:p w14:paraId="296E3855"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HR plays a critical role in aligning business operations with sustainability objectives. Employee training is essential in ensuring regulatory compliance and instilling an environmentally responsible corporate culture. For instance, if an organisation operates in the manufacturing sector, HR must ensure that workers understand waste management protocols and adhere to energy efficiency guidelines (Nikolaou &amp; Evangelinos, 2010). Likewise, HR can collaborate with procurement teams in consumer goods industries to enforce ethical sourcing of raw materials. Without these initiatives, VWNL risks non-compliance with environmental laws, which could lead to financial penalties and reputational damage, potentially alienating environmentally conscious consumers and investors.</w:t>
      </w:r>
    </w:p>
    <w:p w14:paraId="0473CB35"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Training programs should be introduced during employee onboarding and continuously updated to reflect evolving regulations (Reiser &amp; Dempsey, 2012). Organisations can integrate sustainability into performance metrics by evaluating employees based on their commitment to environmental goals. For instance, retail companies may introduce initiatives where employees track and reduce their energy consumption, rewarding them for meeting sustainability targets. If VWNL does not prioritise these efforts, employees may lack the knowledge needed to implement sustainable practices, leading to inefficient resource use, increased operational costs, and a failure to meet industry standards.</w:t>
      </w:r>
    </w:p>
    <w:p w14:paraId="694757D0"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 xml:space="preserve">A practical example of sustainability success is Wales' leadership in recycling. In 2020, Wales achieved a 56.5% household recycling rate, exceeding the UK average of 44.4% (BBC News, 2022). The Welsh Government’s commitment to sustainability, through policies reducing waste and encouraging responsible consumption, played a </w:t>
      </w:r>
      <w:r w:rsidRPr="00F1503C">
        <w:rPr>
          <w:rFonts w:ascii="Arial" w:hAnsi="Arial" w:cs="Arial"/>
          <w:sz w:val="24"/>
          <w:szCs w:val="24"/>
        </w:rPr>
        <w:lastRenderedPageBreak/>
        <w:t>crucial role in this achievement. If VWNL operates in regions with strong environmental policies, aligning with these initiatives is not only beneficial but often a legal requirement. Failure to do so could result in non-compliance, financial penalties, and missed opportunities for cost savings through efficient waste management (Welsh Government, 2023).</w:t>
      </w:r>
    </w:p>
    <w:p w14:paraId="7100C32A" w14:textId="77777777" w:rsidR="00F1503C" w:rsidRPr="00F1503C" w:rsidRDefault="00F1503C" w:rsidP="009C64EE">
      <w:pPr>
        <w:jc w:val="both"/>
        <w:rPr>
          <w:rFonts w:ascii="Arial" w:hAnsi="Arial" w:cs="Arial"/>
          <w:b/>
          <w:bCs/>
          <w:sz w:val="24"/>
          <w:szCs w:val="24"/>
        </w:rPr>
      </w:pPr>
      <w:r w:rsidRPr="00F1503C">
        <w:rPr>
          <w:rFonts w:ascii="Arial" w:hAnsi="Arial" w:cs="Arial"/>
          <w:b/>
          <w:bCs/>
          <w:sz w:val="24"/>
          <w:szCs w:val="24"/>
        </w:rPr>
        <w:t>Technological Factors and Their Impact on People Management</w:t>
      </w:r>
    </w:p>
    <w:p w14:paraId="454C2515"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Technological advancements, particularly in Artificial Intelligence (AI), are transforming business operations, workforce management, and people strategies. AI has revolutionised recruitment, training, and performance assessment, offering organisations the ability to streamline operations, improve decision-making, and enhance employee development. However, failing to integrate technology effectively can lead to skill gaps, workforce inefficiencies, and resistance to change.</w:t>
      </w:r>
    </w:p>
    <w:p w14:paraId="1537762A"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AI-driven training systems personalise learning experiences, enabling employees to acquire relevant skills at their own pace. Traditional training methods often struggle to keep up with rapid technological advancements, but AI-powered platforms can tailor content to employees’ specific needs, ensuring workforce adaptability in an evolving digital landscape (Ramachandran et al., 2024). AI-based simulations in finance and software development sectors, for example, help employees understand complex cybersecurity protocols, improving compliance with industry regulations. If VWNL does not implement AI-enhanced training, employees may fall behind in crucial technological competencies, reducing the company’s competitiveness in a rapidly evolving market.</w:t>
      </w:r>
    </w:p>
    <w:p w14:paraId="0BBCF371"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AI also plays a significant role in recruitment by identifying skills gaps, streamlining hiring processes, and assessing candidates. Advanced AI tools scan resumes, match candidates to job descriptions, and even conduct preliminary interviews via chatbots, reducing hiring time and administrative burdens (Ðukié, Mladenović &amp; Jocić, 2024). Without AI-driven recruitment, VWNL may struggle with prolonged hiring processes and potential skill mismatches, limiting the organisation’s ability to attract and retain top talent efficiently.</w:t>
      </w:r>
    </w:p>
    <w:p w14:paraId="6AD3E2C8"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Despite its advantages, AI integration presents challenges. Research indicates that when employees are aware their actions are used to train AI systems, it can alter their behaviour and introduce biases into AI models, affecting decision-making processes (Treiman &amp; Kool, 2024). HR professionals must ensure that AI systems are developed with fairness, transparency, and diversity in mind. Additionally, organisations must manage AI adoption carefully, addressing employees’ concerns about job displacement while providing necessary reskilling programs. If VWNL fails to establish ethical AI practices, it may encounter issues of bias, loss of employee trust, and resistance to AI-driven changes, ultimately diminishing operational effectiveness.</w:t>
      </w:r>
    </w:p>
    <w:p w14:paraId="5DAFFD5A"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 xml:space="preserve">To mitigate risks associated with AI, HR professionals should develop strategies that blend technological advancements with human oversight. While AI-driven chatbots can enhance customer service efficiency, employees must be trained to handle complex customer interactions that require human empathy and problem-solving </w:t>
      </w:r>
      <w:r w:rsidRPr="00F1503C">
        <w:rPr>
          <w:rFonts w:ascii="Arial" w:hAnsi="Arial" w:cs="Arial"/>
          <w:sz w:val="24"/>
          <w:szCs w:val="24"/>
        </w:rPr>
        <w:lastRenderedPageBreak/>
        <w:t>skills. By ensuring a balanced approach to AI adoption, VWNL can drive innovation while maintaining an engaged and adaptable workforce.</w:t>
      </w:r>
    </w:p>
    <w:p w14:paraId="439758B6" w14:textId="3B88E83F" w:rsidR="00F1503C" w:rsidRPr="00F1503C" w:rsidRDefault="009C64EE" w:rsidP="009C64EE">
      <w:pPr>
        <w:jc w:val="both"/>
        <w:rPr>
          <w:rFonts w:ascii="Arial" w:hAnsi="Arial" w:cs="Arial"/>
          <w:b/>
          <w:bCs/>
          <w:sz w:val="24"/>
          <w:szCs w:val="24"/>
        </w:rPr>
      </w:pPr>
      <w:r>
        <w:rPr>
          <w:rFonts w:ascii="Arial" w:hAnsi="Arial" w:cs="Arial"/>
          <w:b/>
          <w:bCs/>
          <w:sz w:val="24"/>
          <w:szCs w:val="24"/>
        </w:rPr>
        <w:t xml:space="preserve">Note to Managers: </w:t>
      </w:r>
    </w:p>
    <w:p w14:paraId="203310FD"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Integrating PESTLE analysis into strategic planning allows organisations to proactively address external environmental and technological factors affecting their workforce. HR professionals play a pivotal role in ensuring that sustainability regulations and technological advancements are seamlessly incorporated into people management strategies. If VWNL fails to align with environmental regulations, it risks financial penalties, reputational damage, and missed opportunities for growth. Similarly, neglecting AI-driven workforce strategies could result in skill gaps, inefficient recruitment, and ethical concerns in decision-making processes.</w:t>
      </w:r>
    </w:p>
    <w:p w14:paraId="621F8FB4" w14:textId="77777777" w:rsidR="00F1503C" w:rsidRPr="00F1503C" w:rsidRDefault="00F1503C" w:rsidP="009C64EE">
      <w:pPr>
        <w:jc w:val="both"/>
        <w:rPr>
          <w:rFonts w:ascii="Arial" w:hAnsi="Arial" w:cs="Arial"/>
          <w:sz w:val="24"/>
          <w:szCs w:val="24"/>
        </w:rPr>
      </w:pPr>
      <w:r w:rsidRPr="00F1503C">
        <w:rPr>
          <w:rFonts w:ascii="Arial" w:hAnsi="Arial" w:cs="Arial"/>
          <w:sz w:val="24"/>
          <w:szCs w:val="24"/>
        </w:rPr>
        <w:t>By embracing sustainability initiatives, regulatory compliance, and AI-driven efficiencies, VWNL can build a resilient workforce prepared to navigate modern business challenges. Investing in employee training, ethical AI governance, and sustainable operational practices will not only drive competitive advantage but also reinforce VWNL’s commitment to corporate responsibility and long-term success in an evolving global market.</w:t>
      </w:r>
    </w:p>
    <w:p w14:paraId="28771F7A" w14:textId="77777777" w:rsidR="00F93F63" w:rsidRPr="009C64EE" w:rsidRDefault="00F93F63" w:rsidP="009C64EE">
      <w:pPr>
        <w:jc w:val="both"/>
        <w:rPr>
          <w:rFonts w:ascii="Arial" w:hAnsi="Arial" w:cs="Arial"/>
          <w:b/>
          <w:bCs/>
          <w:sz w:val="24"/>
          <w:szCs w:val="24"/>
        </w:rPr>
      </w:pPr>
      <w:r w:rsidRPr="009C64EE">
        <w:rPr>
          <w:rFonts w:ascii="Arial" w:hAnsi="Arial" w:cs="Arial"/>
          <w:b/>
          <w:bCs/>
          <w:sz w:val="24"/>
          <w:szCs w:val="24"/>
        </w:rPr>
        <w:t>Reference:</w:t>
      </w:r>
    </w:p>
    <w:p w14:paraId="2272A0BB" w14:textId="77777777" w:rsidR="001F6D58" w:rsidRPr="009C64EE" w:rsidRDefault="001F6D58" w:rsidP="009C64EE">
      <w:pPr>
        <w:spacing w:before="100" w:beforeAutospacing="1" w:after="100" w:afterAutospacing="1" w:line="240" w:lineRule="auto"/>
        <w:jc w:val="both"/>
        <w:rPr>
          <w:rFonts w:ascii="Arial" w:eastAsia="Calibri" w:hAnsi="Arial" w:cs="Arial"/>
          <w:sz w:val="24"/>
          <w:szCs w:val="24"/>
        </w:rPr>
      </w:pPr>
      <w:r w:rsidRPr="009C64EE">
        <w:rPr>
          <w:rFonts w:ascii="Arial" w:eastAsia="Calibri" w:hAnsi="Arial" w:cs="Arial"/>
          <w:sz w:val="24"/>
          <w:szCs w:val="24"/>
        </w:rPr>
        <w:t>Amega, K., Moumouni, Y., Laré, Y., Bhandari, R., Takouda, P., &amp; Madougou, S. (2024) Power system transformation in emerging countries: A SWOT/PESTLE analysis approach towards resiliency and reliability. </w:t>
      </w:r>
      <w:r w:rsidRPr="009C64EE">
        <w:rPr>
          <w:rFonts w:ascii="Arial" w:eastAsia="Calibri" w:hAnsi="Arial" w:cs="Arial"/>
          <w:i/>
          <w:iCs/>
          <w:sz w:val="24"/>
          <w:szCs w:val="24"/>
        </w:rPr>
        <w:t>Heliyon</w:t>
      </w:r>
      <w:r w:rsidRPr="009C64EE">
        <w:rPr>
          <w:rFonts w:ascii="Arial" w:eastAsia="Calibri" w:hAnsi="Arial" w:cs="Arial"/>
          <w:sz w:val="24"/>
          <w:szCs w:val="24"/>
        </w:rPr>
        <w:t>, </w:t>
      </w:r>
      <w:r w:rsidRPr="009C64EE">
        <w:rPr>
          <w:rFonts w:ascii="Arial" w:eastAsia="Calibri" w:hAnsi="Arial" w:cs="Arial"/>
          <w:i/>
          <w:iCs/>
          <w:sz w:val="24"/>
          <w:szCs w:val="24"/>
        </w:rPr>
        <w:t>10</w:t>
      </w:r>
      <w:r w:rsidRPr="009C64EE">
        <w:rPr>
          <w:rFonts w:ascii="Arial" w:eastAsia="Calibri" w:hAnsi="Arial" w:cs="Arial"/>
          <w:sz w:val="24"/>
          <w:szCs w:val="24"/>
        </w:rPr>
        <w:t xml:space="preserve">(12), e33018. </w:t>
      </w:r>
      <w:hyperlink r:id="rId9" w:history="1">
        <w:r w:rsidRPr="009C64EE">
          <w:rPr>
            <w:rFonts w:ascii="Arial" w:eastAsia="Calibri" w:hAnsi="Arial" w:cs="Arial"/>
            <w:color w:val="0563C1" w:themeColor="hyperlink"/>
            <w:sz w:val="24"/>
            <w:szCs w:val="24"/>
            <w:u w:val="single"/>
          </w:rPr>
          <w:t>https://doi.org/10.1016/j.heliyon.2024.e33018</w:t>
        </w:r>
      </w:hyperlink>
      <w:r w:rsidRPr="009C64EE">
        <w:rPr>
          <w:rFonts w:ascii="Arial" w:eastAsia="Calibri" w:hAnsi="Arial" w:cs="Arial"/>
          <w:sz w:val="24"/>
          <w:szCs w:val="24"/>
        </w:rPr>
        <w:t xml:space="preserve"> </w:t>
      </w:r>
    </w:p>
    <w:p w14:paraId="7CFF51E6"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 xml:space="preserve">Baker, S. (2006) Sustainable development. London ; Routledge. </w:t>
      </w:r>
      <w:hyperlink r:id="rId10" w:history="1">
        <w:r w:rsidRPr="001F65CE">
          <w:rPr>
            <w:rStyle w:val="Hyperlink"/>
            <w:rFonts w:ascii="Arial" w:hAnsi="Arial" w:cs="Arial"/>
            <w:sz w:val="24"/>
            <w:szCs w:val="24"/>
          </w:rPr>
          <w:t>https://doi.org/10.4324/9780203495933</w:t>
        </w:r>
      </w:hyperlink>
      <w:r w:rsidRPr="001F65CE">
        <w:rPr>
          <w:rFonts w:ascii="Arial" w:hAnsi="Arial" w:cs="Arial"/>
          <w:sz w:val="24"/>
          <w:szCs w:val="24"/>
        </w:rPr>
        <w:t>.</w:t>
      </w:r>
    </w:p>
    <w:p w14:paraId="69F5E8CD"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 xml:space="preserve">BBC News (2022) Recycling: Wales is top UK performer for over 10 years. Available at: </w:t>
      </w:r>
      <w:hyperlink r:id="rId11" w:history="1">
        <w:r w:rsidRPr="001F65CE">
          <w:rPr>
            <w:rStyle w:val="Hyperlink"/>
            <w:rFonts w:ascii="Arial" w:hAnsi="Arial" w:cs="Arial"/>
            <w:sz w:val="24"/>
            <w:szCs w:val="24"/>
          </w:rPr>
          <w:t>https://www.bbc.co.uk/news/uk-wales-61408063</w:t>
        </w:r>
      </w:hyperlink>
      <w:r w:rsidRPr="001F65CE">
        <w:rPr>
          <w:rFonts w:ascii="Arial" w:hAnsi="Arial" w:cs="Arial"/>
          <w:sz w:val="24"/>
          <w:szCs w:val="24"/>
        </w:rPr>
        <w:t xml:space="preserve"> (Accessed 13 Dec 2024)</w:t>
      </w:r>
    </w:p>
    <w:p w14:paraId="19F0F13E" w14:textId="77777777" w:rsidR="00F93F63" w:rsidRPr="009C64EE" w:rsidRDefault="00F93F63" w:rsidP="009C64EE">
      <w:pPr>
        <w:jc w:val="both"/>
        <w:rPr>
          <w:rFonts w:ascii="Arial" w:hAnsi="Arial" w:cs="Arial"/>
          <w:sz w:val="24"/>
          <w:szCs w:val="24"/>
        </w:rPr>
      </w:pPr>
      <w:r w:rsidRPr="001F65CE">
        <w:rPr>
          <w:rFonts w:ascii="Arial" w:hAnsi="Arial" w:cs="Arial"/>
          <w:sz w:val="24"/>
          <w:szCs w:val="24"/>
        </w:rPr>
        <w:t>Carroll, B. et al. (2020) Environmental impact assessment handbook : a practical guide for planners, developers and communities. Third edition. London: ICE Publishing.</w:t>
      </w:r>
    </w:p>
    <w:p w14:paraId="44230DFE" w14:textId="77777777" w:rsidR="002A238B" w:rsidRPr="009C64EE" w:rsidRDefault="002A238B" w:rsidP="009C64EE">
      <w:pPr>
        <w:spacing w:before="100" w:beforeAutospacing="1" w:after="100" w:afterAutospacing="1" w:line="240" w:lineRule="auto"/>
        <w:jc w:val="both"/>
        <w:rPr>
          <w:rFonts w:ascii="Arial" w:eastAsia="Calibri" w:hAnsi="Arial" w:cs="Arial"/>
          <w:sz w:val="24"/>
          <w:szCs w:val="24"/>
        </w:rPr>
      </w:pPr>
      <w:r w:rsidRPr="009C64EE">
        <w:rPr>
          <w:rFonts w:ascii="Arial" w:eastAsia="Calibri" w:hAnsi="Arial" w:cs="Arial"/>
          <w:sz w:val="24"/>
          <w:szCs w:val="24"/>
        </w:rPr>
        <w:t xml:space="preserve">CIPD (2024) </w:t>
      </w:r>
      <w:r w:rsidRPr="009C64EE">
        <w:rPr>
          <w:rFonts w:ascii="Arial" w:eastAsia="Calibri" w:hAnsi="Arial" w:cs="Arial"/>
          <w:i/>
          <w:iCs/>
          <w:sz w:val="24"/>
          <w:szCs w:val="24"/>
        </w:rPr>
        <w:t xml:space="preserve">Skilling up your organisation now and for the future. </w:t>
      </w:r>
      <w:r w:rsidRPr="009C64EE">
        <w:rPr>
          <w:rFonts w:ascii="Arial" w:eastAsia="Calibri" w:hAnsi="Arial" w:cs="Arial"/>
          <w:sz w:val="24"/>
          <w:szCs w:val="24"/>
        </w:rPr>
        <w:t xml:space="preserve">Available at: </w:t>
      </w:r>
      <w:hyperlink r:id="rId12" w:history="1">
        <w:r w:rsidRPr="009C64EE">
          <w:rPr>
            <w:rFonts w:ascii="Arial" w:eastAsia="Calibri" w:hAnsi="Arial" w:cs="Arial"/>
            <w:color w:val="0563C1" w:themeColor="hyperlink"/>
            <w:sz w:val="24"/>
            <w:szCs w:val="24"/>
            <w:u w:val="single"/>
          </w:rPr>
          <w:t>https://www.cipd.org/uk/knowledge/podcasts/skilling-up-now-and-for-the-future/</w:t>
        </w:r>
      </w:hyperlink>
      <w:r w:rsidRPr="009C64EE">
        <w:rPr>
          <w:rFonts w:ascii="Arial" w:eastAsia="Calibri" w:hAnsi="Arial" w:cs="Arial"/>
          <w:sz w:val="24"/>
          <w:szCs w:val="24"/>
        </w:rPr>
        <w:t xml:space="preserve"> (Accessed Dec 13 2024).</w:t>
      </w:r>
    </w:p>
    <w:p w14:paraId="4B639929"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Ðukié, T., Mladenović, M. and Jocić, K.J. (2024) ‘ARTIFICIAL INTELLIGENCE’S EFFECTS ON HUMAN RESOURCES EMPLOYER BRANDING’, Quaestus (Timio̦ara), (24), pp. 177–187 Available at: Tijana-DUKIC-2.pdf (Accessed Dec 13 2024)</w:t>
      </w:r>
    </w:p>
    <w:p w14:paraId="46F7983B"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Evans, K., Schoon, I. and Weale, M., (2013b) CAN LIFELONG LEARNING RESHAPE LIFE CHANCES? British Journal of Educational Studies, 61(1), pp. 25–47. Doi: 10.1080/00071005.2012.756163</w:t>
      </w:r>
    </w:p>
    <w:p w14:paraId="2397DD36"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lastRenderedPageBreak/>
        <w:t>Indianapolis Food News (2020) Advantages of Waste Management. Available at: Advantages Of Waste Management – Indianapolis Food News (Accessed 21 Nov 2024)</w:t>
      </w:r>
    </w:p>
    <w:p w14:paraId="140E28ED"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 xml:space="preserve">Madden, B. and Florin, N., (2024) Characterisation of household single-use packaging flows through a municipal waste system: a material flow analysis for New South Wales, Australia. Heliyon Volume 10, Issue 12, e32878 </w:t>
      </w:r>
      <w:hyperlink r:id="rId13" w:history="1">
        <w:r w:rsidRPr="001F65CE">
          <w:rPr>
            <w:rStyle w:val="Hyperlink"/>
            <w:rFonts w:ascii="Arial" w:hAnsi="Arial" w:cs="Arial"/>
            <w:sz w:val="24"/>
            <w:szCs w:val="24"/>
          </w:rPr>
          <w:t>https://doi.org/10.1016/j.heliyon.2024.e32878</w:t>
        </w:r>
      </w:hyperlink>
    </w:p>
    <w:p w14:paraId="7E44CA6F"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Mamula Nikolić, Tatjana. (2024) Business Reintegration Living with the Tsunami How to Thrive on the Waves of Change 2. Publisher: Hera Edu &amp; Metropolitan University</w:t>
      </w:r>
    </w:p>
    <w:p w14:paraId="30170953"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Mamula Nikolić, Tatjana. (2024) Business Reintegration Living with the Tsunami How to Thrive on the Waves of Change 2. Publisher: Hera Edu &amp; Metropolitan University</w:t>
      </w:r>
    </w:p>
    <w:p w14:paraId="7ECD7882"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Marmol, T. del et al. (2015) PESTLE analysis. Translated by C. Probert. Namur: Lemaitre Publishing.</w:t>
      </w:r>
    </w:p>
    <w:p w14:paraId="2B951EBF"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Martin, M., Whiting, F., and Jackson T., (2010) Human Resource Practice 5th Edition. London: Chartered Institute of Personnel and Development</w:t>
      </w:r>
    </w:p>
    <w:p w14:paraId="12C94142"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 xml:space="preserve">Morandini, S., Fraboni, F., De Angelis, M., Puzzo, G., Giusino, D., &amp; Pietrantoni, L. (2023) The impact of artificial intelligence on workers’ skills: Upskilling and reskilling in organisations. Informing Science: The International Journal of an Emerging Transdiscipline, 26, 39-68. </w:t>
      </w:r>
      <w:hyperlink r:id="rId14" w:history="1">
        <w:r w:rsidRPr="001F65CE">
          <w:rPr>
            <w:rStyle w:val="Hyperlink"/>
            <w:rFonts w:ascii="Arial" w:hAnsi="Arial" w:cs="Arial"/>
            <w:sz w:val="24"/>
            <w:szCs w:val="24"/>
          </w:rPr>
          <w:t>https://doi.org/10.28945/5078</w:t>
        </w:r>
      </w:hyperlink>
    </w:p>
    <w:p w14:paraId="4DD93979"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 xml:space="preserve">Nikolaou, I.E. and Evangelinos, K.I., (2010) A SWOT analysis of environmental management practices in Greek Mining and Mineral Industry. Resources Policy, 35(3), pp.226-234. </w:t>
      </w:r>
      <w:hyperlink r:id="rId15" w:history="1">
        <w:r w:rsidRPr="001F65CE">
          <w:rPr>
            <w:rStyle w:val="Hyperlink"/>
            <w:rFonts w:ascii="Arial" w:hAnsi="Arial" w:cs="Arial"/>
            <w:sz w:val="24"/>
            <w:szCs w:val="24"/>
          </w:rPr>
          <w:t>https://doi.org/10.1016/j.resourpol.2010.02.002</w:t>
        </w:r>
      </w:hyperlink>
    </w:p>
    <w:p w14:paraId="217EAF26"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Picardi, C.A. (2020) Recruitment and selection : strategies for workforce planning and assessment. Los Angeles, California: SAGE.</w:t>
      </w:r>
    </w:p>
    <w:p w14:paraId="141216A1"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 xml:space="preserve">Ramachandran, K.K., Srivastava, A., Panjwani, V., Kumar, D., Cheepurupalli, N.R. and Mohan, C.R., (2024). Developing AI-powered Training Programs for Employee Upskilling and Reskilling. Journal of Informatics Education and Research, 4(2). </w:t>
      </w:r>
      <w:hyperlink r:id="rId16" w:history="1">
        <w:r w:rsidRPr="001F65CE">
          <w:rPr>
            <w:rStyle w:val="Hyperlink"/>
            <w:rFonts w:ascii="Arial" w:hAnsi="Arial" w:cs="Arial"/>
            <w:sz w:val="24"/>
            <w:szCs w:val="24"/>
          </w:rPr>
          <w:t>https://doi.org/10.52783/jier.v4i2.903</w:t>
        </w:r>
      </w:hyperlink>
    </w:p>
    <w:p w14:paraId="14FADF74"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Reiser, R.A. and Dempsey, J.V. eds., 2012. Trends and issues in instructional design and technology (p. 408). Boston: Pearson Education, Inc., publishing as Allyn &amp; Bacon, 501 Boylston Street, Boston, MA</w:t>
      </w:r>
    </w:p>
    <w:p w14:paraId="775B2B1F"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Roy, S. et al. (2023) New opportunities and advances in quercetin-added functional packaging films for sustainable packaging applications: a mini-review, Critical Reviews in Food Science and Nutrition, 64(23), pp. 8464–8479. doi: 10.1080/10408398.2023.2200553</w:t>
      </w:r>
    </w:p>
    <w:p w14:paraId="7F923720"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Taylor, S. and Perkins, G. Graham M. (2021) Work and employment in a changing business environment. London ; Kogan Page.</w:t>
      </w:r>
    </w:p>
    <w:p w14:paraId="2759B200"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 xml:space="preserve">Thakkar, D., Kumar, N., &amp; Sambasivan, N. (2020) Towards an AI-powered future that works for vocational workers. In proceedings of the 2020 CHI Conference on Human </w:t>
      </w:r>
      <w:r w:rsidRPr="001F65CE">
        <w:rPr>
          <w:rFonts w:ascii="Arial" w:hAnsi="Arial" w:cs="Arial"/>
          <w:sz w:val="24"/>
          <w:szCs w:val="24"/>
        </w:rPr>
        <w:lastRenderedPageBreak/>
        <w:t xml:space="preserve">Factors in Computing Systems(pp. 1-13). </w:t>
      </w:r>
      <w:hyperlink r:id="rId17" w:history="1">
        <w:r w:rsidRPr="001F65CE">
          <w:rPr>
            <w:rStyle w:val="Hyperlink"/>
            <w:rFonts w:ascii="Arial" w:hAnsi="Arial" w:cs="Arial"/>
            <w:sz w:val="24"/>
            <w:szCs w:val="24"/>
          </w:rPr>
          <w:t>https://dl.acm.org/doi/pdf/10.1145/3313831.3376674</w:t>
        </w:r>
      </w:hyperlink>
    </w:p>
    <w:p w14:paraId="370E68B7" w14:textId="77777777" w:rsidR="00F93F63" w:rsidRPr="001F65CE" w:rsidRDefault="00F93F63" w:rsidP="009C64EE">
      <w:pPr>
        <w:jc w:val="both"/>
        <w:rPr>
          <w:rFonts w:ascii="Arial" w:hAnsi="Arial" w:cs="Arial"/>
          <w:sz w:val="24"/>
          <w:szCs w:val="24"/>
        </w:rPr>
      </w:pPr>
      <w:r w:rsidRPr="001F65CE">
        <w:rPr>
          <w:rFonts w:ascii="Arial" w:hAnsi="Arial" w:cs="Arial"/>
          <w:sz w:val="24"/>
          <w:szCs w:val="24"/>
        </w:rPr>
        <w:t>Treiman, L.S., Ho, C.J. and Kool, W., (2024) The consequences of AI training on human decision-making. Proceedings of the National Academy of Sciences, 121(33), p.e2408731121.</w:t>
      </w:r>
    </w:p>
    <w:p w14:paraId="3ED40F98" w14:textId="77777777" w:rsidR="00F93F63" w:rsidRPr="001F65CE" w:rsidRDefault="00F93F63" w:rsidP="009C64EE">
      <w:pPr>
        <w:jc w:val="both"/>
        <w:rPr>
          <w:rFonts w:ascii="Arial" w:hAnsi="Arial" w:cs="Arial"/>
          <w:b/>
          <w:bCs/>
          <w:sz w:val="24"/>
          <w:szCs w:val="24"/>
        </w:rPr>
      </w:pPr>
      <w:r w:rsidRPr="001F65CE">
        <w:rPr>
          <w:rFonts w:ascii="Arial" w:hAnsi="Arial" w:cs="Arial"/>
          <w:sz w:val="24"/>
          <w:szCs w:val="24"/>
        </w:rPr>
        <w:t xml:space="preserve">Welsh Government (2023) Changes to workplace recycling: guidance for workplaces. Available at: </w:t>
      </w:r>
      <w:hyperlink r:id="rId18" w:history="1">
        <w:r w:rsidRPr="001F65CE">
          <w:rPr>
            <w:rStyle w:val="Hyperlink"/>
            <w:rFonts w:ascii="Arial" w:hAnsi="Arial" w:cs="Arial"/>
            <w:sz w:val="24"/>
            <w:szCs w:val="24"/>
          </w:rPr>
          <w:t>https://www.gov.wales/changes-workplace-recycling-guidance-workplaces</w:t>
        </w:r>
      </w:hyperlink>
      <w:r w:rsidRPr="001F65CE">
        <w:rPr>
          <w:rStyle w:val="Hyperlink"/>
          <w:rFonts w:ascii="Arial" w:hAnsi="Arial" w:cs="Arial"/>
          <w:sz w:val="24"/>
          <w:szCs w:val="24"/>
        </w:rPr>
        <w:t xml:space="preserve"> (Accessed Dec 13 2024)</w:t>
      </w:r>
    </w:p>
    <w:p w14:paraId="2A8BBB21" w14:textId="567A37CC" w:rsidR="004B72D1" w:rsidRPr="009C64EE" w:rsidRDefault="004B72D1" w:rsidP="009C64EE">
      <w:pPr>
        <w:jc w:val="both"/>
        <w:rPr>
          <w:rFonts w:ascii="Arial" w:hAnsi="Arial" w:cs="Arial"/>
          <w:sz w:val="24"/>
          <w:szCs w:val="24"/>
        </w:rPr>
      </w:pPr>
    </w:p>
    <w:sectPr w:rsidR="004B72D1" w:rsidRPr="009C64E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2830C" w14:textId="77777777" w:rsidR="009F7CB1" w:rsidRDefault="009F7CB1" w:rsidP="00ED4C6A">
      <w:pPr>
        <w:spacing w:after="0" w:line="240" w:lineRule="auto"/>
      </w:pPr>
      <w:r>
        <w:separator/>
      </w:r>
    </w:p>
  </w:endnote>
  <w:endnote w:type="continuationSeparator" w:id="0">
    <w:p w14:paraId="71DED93F" w14:textId="77777777" w:rsidR="009F7CB1" w:rsidRDefault="009F7CB1" w:rsidP="00ED4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5DE21" w14:textId="60D32E86" w:rsidR="00ED4C6A" w:rsidRPr="009C64EE" w:rsidRDefault="00ED4C6A">
    <w:pPr>
      <w:pStyle w:val="Footer"/>
      <w:rPr>
        <w:rFonts w:ascii="Arial" w:hAnsi="Arial" w:cs="Arial"/>
        <w:sz w:val="24"/>
        <w:szCs w:val="24"/>
      </w:rPr>
    </w:pPr>
    <w:r w:rsidRPr="009C64EE">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20ACB1A2" wp14:editId="1C275D5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0885436"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sidRPr="009C64EE">
      <w:rPr>
        <w:rFonts w:ascii="Arial" w:hAnsi="Arial" w:cs="Arial"/>
        <w:color w:val="4472C4" w:themeColor="accent1"/>
        <w:sz w:val="24"/>
        <w:szCs w:val="24"/>
      </w:rPr>
      <w:t xml:space="preserve"> </w:t>
    </w:r>
    <w:r w:rsidRPr="009C64EE">
      <w:rPr>
        <w:rFonts w:ascii="Arial" w:eastAsiaTheme="majorEastAsia" w:hAnsi="Arial" w:cs="Arial"/>
        <w:color w:val="4472C4" w:themeColor="accent1"/>
        <w:sz w:val="24"/>
        <w:szCs w:val="24"/>
      </w:rPr>
      <w:t xml:space="preserve">pg. </w:t>
    </w:r>
    <w:r w:rsidRPr="009C64EE">
      <w:rPr>
        <w:rFonts w:ascii="Arial" w:eastAsiaTheme="minorEastAsia" w:hAnsi="Arial" w:cs="Arial"/>
        <w:color w:val="4472C4" w:themeColor="accent1"/>
        <w:sz w:val="24"/>
        <w:szCs w:val="24"/>
      </w:rPr>
      <w:fldChar w:fldCharType="begin"/>
    </w:r>
    <w:r w:rsidRPr="009C64EE">
      <w:rPr>
        <w:rFonts w:ascii="Arial" w:hAnsi="Arial" w:cs="Arial"/>
        <w:color w:val="4472C4" w:themeColor="accent1"/>
        <w:sz w:val="24"/>
        <w:szCs w:val="24"/>
      </w:rPr>
      <w:instrText>PAGE    \* MERGEFORMAT</w:instrText>
    </w:r>
    <w:r w:rsidRPr="009C64EE">
      <w:rPr>
        <w:rFonts w:ascii="Arial" w:eastAsiaTheme="minorEastAsia" w:hAnsi="Arial" w:cs="Arial"/>
        <w:color w:val="4472C4" w:themeColor="accent1"/>
        <w:sz w:val="24"/>
        <w:szCs w:val="24"/>
      </w:rPr>
      <w:fldChar w:fldCharType="separate"/>
    </w:r>
    <w:r w:rsidRPr="009C64EE">
      <w:rPr>
        <w:rFonts w:ascii="Arial" w:eastAsiaTheme="majorEastAsia" w:hAnsi="Arial" w:cs="Arial"/>
        <w:color w:val="4472C4" w:themeColor="accent1"/>
        <w:sz w:val="24"/>
        <w:szCs w:val="24"/>
      </w:rPr>
      <w:t>2</w:t>
    </w:r>
    <w:r w:rsidRPr="009C64EE">
      <w:rPr>
        <w:rFonts w:ascii="Arial" w:eastAsiaTheme="majorEastAsia" w:hAnsi="Arial" w:cs="Arial"/>
        <w:color w:val="4472C4" w:themeColor="accen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82D2A" w14:textId="77777777" w:rsidR="009F7CB1" w:rsidRDefault="009F7CB1" w:rsidP="00ED4C6A">
      <w:pPr>
        <w:spacing w:after="0" w:line="240" w:lineRule="auto"/>
      </w:pPr>
      <w:r>
        <w:separator/>
      </w:r>
    </w:p>
  </w:footnote>
  <w:footnote w:type="continuationSeparator" w:id="0">
    <w:p w14:paraId="32EBFCA2" w14:textId="77777777" w:rsidR="009F7CB1" w:rsidRDefault="009F7CB1" w:rsidP="00ED4C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1D961" w14:textId="06750F3E" w:rsidR="00ED4C6A" w:rsidRPr="009C64EE" w:rsidRDefault="00ED4C6A" w:rsidP="00ED4C6A">
    <w:pPr>
      <w:spacing w:before="100" w:beforeAutospacing="1" w:after="100" w:afterAutospacing="1" w:line="276" w:lineRule="auto"/>
      <w:rPr>
        <w:rFonts w:ascii="Arial" w:hAnsi="Arial" w:cs="Arial"/>
        <w:sz w:val="24"/>
        <w:szCs w:val="24"/>
      </w:rPr>
    </w:pPr>
    <w:r w:rsidRPr="009C64EE">
      <w:rPr>
        <w:rFonts w:ascii="Arial" w:hAnsi="Arial" w:cs="Arial"/>
        <w:sz w:val="24"/>
        <w:szCs w:val="24"/>
      </w:rPr>
      <w:t>Understanding the Business Context: BMHR7012</w:t>
    </w:r>
  </w:p>
  <w:p w14:paraId="12353D73" w14:textId="77777777" w:rsidR="00ED4C6A" w:rsidRDefault="00ED4C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BF0EDC"/>
    <w:multiLevelType w:val="multilevel"/>
    <w:tmpl w:val="7DEA1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992C87"/>
    <w:multiLevelType w:val="multilevel"/>
    <w:tmpl w:val="F92CC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B1131C"/>
    <w:multiLevelType w:val="multilevel"/>
    <w:tmpl w:val="932EC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980019">
    <w:abstractNumId w:val="1"/>
  </w:num>
  <w:num w:numId="2" w16cid:durableId="1922986805">
    <w:abstractNumId w:val="2"/>
  </w:num>
  <w:num w:numId="3" w16cid:durableId="1164129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A80"/>
    <w:rsid w:val="0000759F"/>
    <w:rsid w:val="000832D1"/>
    <w:rsid w:val="00084C54"/>
    <w:rsid w:val="000914EE"/>
    <w:rsid w:val="00095867"/>
    <w:rsid w:val="000D007F"/>
    <w:rsid w:val="00107F47"/>
    <w:rsid w:val="001328B6"/>
    <w:rsid w:val="00133760"/>
    <w:rsid w:val="00161CC9"/>
    <w:rsid w:val="00163FF7"/>
    <w:rsid w:val="00193B37"/>
    <w:rsid w:val="001B0794"/>
    <w:rsid w:val="001F6D58"/>
    <w:rsid w:val="002206F4"/>
    <w:rsid w:val="00262229"/>
    <w:rsid w:val="002A238B"/>
    <w:rsid w:val="002B4DDA"/>
    <w:rsid w:val="002D2BB3"/>
    <w:rsid w:val="002F415B"/>
    <w:rsid w:val="003A5391"/>
    <w:rsid w:val="003C1723"/>
    <w:rsid w:val="003D73D3"/>
    <w:rsid w:val="0044613B"/>
    <w:rsid w:val="00453A0D"/>
    <w:rsid w:val="004B72D1"/>
    <w:rsid w:val="004E222E"/>
    <w:rsid w:val="00511AEC"/>
    <w:rsid w:val="0057129F"/>
    <w:rsid w:val="00591CF0"/>
    <w:rsid w:val="005A6274"/>
    <w:rsid w:val="005D6A58"/>
    <w:rsid w:val="00691D98"/>
    <w:rsid w:val="006F4061"/>
    <w:rsid w:val="00713912"/>
    <w:rsid w:val="00755C1A"/>
    <w:rsid w:val="00760A23"/>
    <w:rsid w:val="007715B4"/>
    <w:rsid w:val="00780F80"/>
    <w:rsid w:val="00857444"/>
    <w:rsid w:val="00901A80"/>
    <w:rsid w:val="00901C8D"/>
    <w:rsid w:val="00932ABC"/>
    <w:rsid w:val="009610BE"/>
    <w:rsid w:val="009671B6"/>
    <w:rsid w:val="009B4435"/>
    <w:rsid w:val="009C64EE"/>
    <w:rsid w:val="009F7CB1"/>
    <w:rsid w:val="00B56A4C"/>
    <w:rsid w:val="00BF2E26"/>
    <w:rsid w:val="00BF75C6"/>
    <w:rsid w:val="00C301FD"/>
    <w:rsid w:val="00C83778"/>
    <w:rsid w:val="00D032EA"/>
    <w:rsid w:val="00D725F6"/>
    <w:rsid w:val="00DC3C5A"/>
    <w:rsid w:val="00E27F6F"/>
    <w:rsid w:val="00E36457"/>
    <w:rsid w:val="00E467C9"/>
    <w:rsid w:val="00E526A6"/>
    <w:rsid w:val="00E54735"/>
    <w:rsid w:val="00ED4165"/>
    <w:rsid w:val="00ED4C6A"/>
    <w:rsid w:val="00F005BB"/>
    <w:rsid w:val="00F1503C"/>
    <w:rsid w:val="00F55148"/>
    <w:rsid w:val="00F93F63"/>
    <w:rsid w:val="00F9555A"/>
    <w:rsid w:val="00FA15CF"/>
    <w:rsid w:val="00FB74FB"/>
    <w:rsid w:val="00FD4F54"/>
    <w:rsid w:val="00FE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16FDD"/>
  <w15:chartTrackingRefBased/>
  <w15:docId w15:val="{4BD8824A-516C-45A1-A0FC-D3B7E0E93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A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01A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1A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1A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1A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1A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1A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1A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1A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A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01A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1A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1A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1A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1A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1A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1A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1A80"/>
    <w:rPr>
      <w:rFonts w:eastAsiaTheme="majorEastAsia" w:cstheme="majorBidi"/>
      <w:color w:val="272727" w:themeColor="text1" w:themeTint="D8"/>
    </w:rPr>
  </w:style>
  <w:style w:type="paragraph" w:styleId="Title">
    <w:name w:val="Title"/>
    <w:basedOn w:val="Normal"/>
    <w:next w:val="Normal"/>
    <w:link w:val="TitleChar"/>
    <w:uiPriority w:val="10"/>
    <w:qFormat/>
    <w:rsid w:val="00901A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A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1A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1A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1A80"/>
    <w:pPr>
      <w:spacing w:before="160"/>
      <w:jc w:val="center"/>
    </w:pPr>
    <w:rPr>
      <w:i/>
      <w:iCs/>
      <w:color w:val="404040" w:themeColor="text1" w:themeTint="BF"/>
    </w:rPr>
  </w:style>
  <w:style w:type="character" w:customStyle="1" w:styleId="QuoteChar">
    <w:name w:val="Quote Char"/>
    <w:basedOn w:val="DefaultParagraphFont"/>
    <w:link w:val="Quote"/>
    <w:uiPriority w:val="29"/>
    <w:rsid w:val="00901A80"/>
    <w:rPr>
      <w:i/>
      <w:iCs/>
      <w:color w:val="404040" w:themeColor="text1" w:themeTint="BF"/>
    </w:rPr>
  </w:style>
  <w:style w:type="paragraph" w:styleId="ListParagraph">
    <w:name w:val="List Paragraph"/>
    <w:basedOn w:val="Normal"/>
    <w:uiPriority w:val="34"/>
    <w:qFormat/>
    <w:rsid w:val="00901A80"/>
    <w:pPr>
      <w:ind w:left="720"/>
      <w:contextualSpacing/>
    </w:pPr>
  </w:style>
  <w:style w:type="character" w:styleId="IntenseEmphasis">
    <w:name w:val="Intense Emphasis"/>
    <w:basedOn w:val="DefaultParagraphFont"/>
    <w:uiPriority w:val="21"/>
    <w:qFormat/>
    <w:rsid w:val="00901A80"/>
    <w:rPr>
      <w:i/>
      <w:iCs/>
      <w:color w:val="2F5496" w:themeColor="accent1" w:themeShade="BF"/>
    </w:rPr>
  </w:style>
  <w:style w:type="paragraph" w:styleId="IntenseQuote">
    <w:name w:val="Intense Quote"/>
    <w:basedOn w:val="Normal"/>
    <w:next w:val="Normal"/>
    <w:link w:val="IntenseQuoteChar"/>
    <w:uiPriority w:val="30"/>
    <w:qFormat/>
    <w:rsid w:val="00901A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1A80"/>
    <w:rPr>
      <w:i/>
      <w:iCs/>
      <w:color w:val="2F5496" w:themeColor="accent1" w:themeShade="BF"/>
    </w:rPr>
  </w:style>
  <w:style w:type="character" w:styleId="IntenseReference">
    <w:name w:val="Intense Reference"/>
    <w:basedOn w:val="DefaultParagraphFont"/>
    <w:uiPriority w:val="32"/>
    <w:qFormat/>
    <w:rsid w:val="00901A80"/>
    <w:rPr>
      <w:b/>
      <w:bCs/>
      <w:smallCaps/>
      <w:color w:val="2F5496" w:themeColor="accent1" w:themeShade="BF"/>
      <w:spacing w:val="5"/>
    </w:rPr>
  </w:style>
  <w:style w:type="paragraph" w:styleId="Header">
    <w:name w:val="header"/>
    <w:basedOn w:val="Normal"/>
    <w:link w:val="HeaderChar"/>
    <w:uiPriority w:val="99"/>
    <w:unhideWhenUsed/>
    <w:rsid w:val="00ED4C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C6A"/>
  </w:style>
  <w:style w:type="paragraph" w:styleId="Footer">
    <w:name w:val="footer"/>
    <w:basedOn w:val="Normal"/>
    <w:link w:val="FooterChar"/>
    <w:uiPriority w:val="99"/>
    <w:unhideWhenUsed/>
    <w:rsid w:val="00ED4C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C6A"/>
  </w:style>
  <w:style w:type="character" w:styleId="Hyperlink">
    <w:name w:val="Hyperlink"/>
    <w:basedOn w:val="DefaultParagraphFont"/>
    <w:uiPriority w:val="99"/>
    <w:unhideWhenUsed/>
    <w:rsid w:val="000D007F"/>
    <w:rPr>
      <w:color w:val="0563C1" w:themeColor="hyperlink"/>
      <w:u w:val="single"/>
    </w:rPr>
  </w:style>
  <w:style w:type="character" w:styleId="UnresolvedMention">
    <w:name w:val="Unresolved Mention"/>
    <w:basedOn w:val="DefaultParagraphFont"/>
    <w:uiPriority w:val="99"/>
    <w:semiHidden/>
    <w:unhideWhenUsed/>
    <w:rsid w:val="000D007F"/>
    <w:rPr>
      <w:color w:val="605E5C"/>
      <w:shd w:val="clear" w:color="auto" w:fill="E1DFDD"/>
    </w:rPr>
  </w:style>
  <w:style w:type="character" w:styleId="FollowedHyperlink">
    <w:name w:val="FollowedHyperlink"/>
    <w:basedOn w:val="DefaultParagraphFont"/>
    <w:uiPriority w:val="99"/>
    <w:semiHidden/>
    <w:unhideWhenUsed/>
    <w:rsid w:val="00FB74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521010">
      <w:bodyDiv w:val="1"/>
      <w:marLeft w:val="0"/>
      <w:marRight w:val="0"/>
      <w:marTop w:val="0"/>
      <w:marBottom w:val="0"/>
      <w:divBdr>
        <w:top w:val="none" w:sz="0" w:space="0" w:color="auto"/>
        <w:left w:val="none" w:sz="0" w:space="0" w:color="auto"/>
        <w:bottom w:val="none" w:sz="0" w:space="0" w:color="auto"/>
        <w:right w:val="none" w:sz="0" w:space="0" w:color="auto"/>
      </w:divBdr>
      <w:divsChild>
        <w:div w:id="825822609">
          <w:marLeft w:val="0"/>
          <w:marRight w:val="0"/>
          <w:marTop w:val="0"/>
          <w:marBottom w:val="0"/>
          <w:divBdr>
            <w:top w:val="none" w:sz="0" w:space="0" w:color="auto"/>
            <w:left w:val="none" w:sz="0" w:space="0" w:color="auto"/>
            <w:bottom w:val="none" w:sz="0" w:space="0" w:color="auto"/>
            <w:right w:val="none" w:sz="0" w:space="0" w:color="auto"/>
          </w:divBdr>
          <w:divsChild>
            <w:div w:id="37030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949587">
      <w:bodyDiv w:val="1"/>
      <w:marLeft w:val="0"/>
      <w:marRight w:val="0"/>
      <w:marTop w:val="0"/>
      <w:marBottom w:val="0"/>
      <w:divBdr>
        <w:top w:val="none" w:sz="0" w:space="0" w:color="auto"/>
        <w:left w:val="none" w:sz="0" w:space="0" w:color="auto"/>
        <w:bottom w:val="none" w:sz="0" w:space="0" w:color="auto"/>
        <w:right w:val="none" w:sz="0" w:space="0" w:color="auto"/>
      </w:divBdr>
    </w:div>
    <w:div w:id="381632624">
      <w:bodyDiv w:val="1"/>
      <w:marLeft w:val="0"/>
      <w:marRight w:val="0"/>
      <w:marTop w:val="0"/>
      <w:marBottom w:val="0"/>
      <w:divBdr>
        <w:top w:val="none" w:sz="0" w:space="0" w:color="auto"/>
        <w:left w:val="none" w:sz="0" w:space="0" w:color="auto"/>
        <w:bottom w:val="none" w:sz="0" w:space="0" w:color="auto"/>
        <w:right w:val="none" w:sz="0" w:space="0" w:color="auto"/>
      </w:divBdr>
    </w:div>
    <w:div w:id="425078180">
      <w:bodyDiv w:val="1"/>
      <w:marLeft w:val="0"/>
      <w:marRight w:val="0"/>
      <w:marTop w:val="0"/>
      <w:marBottom w:val="0"/>
      <w:divBdr>
        <w:top w:val="none" w:sz="0" w:space="0" w:color="auto"/>
        <w:left w:val="none" w:sz="0" w:space="0" w:color="auto"/>
        <w:bottom w:val="none" w:sz="0" w:space="0" w:color="auto"/>
        <w:right w:val="none" w:sz="0" w:space="0" w:color="auto"/>
      </w:divBdr>
    </w:div>
    <w:div w:id="465973027">
      <w:bodyDiv w:val="1"/>
      <w:marLeft w:val="0"/>
      <w:marRight w:val="0"/>
      <w:marTop w:val="0"/>
      <w:marBottom w:val="0"/>
      <w:divBdr>
        <w:top w:val="none" w:sz="0" w:space="0" w:color="auto"/>
        <w:left w:val="none" w:sz="0" w:space="0" w:color="auto"/>
        <w:bottom w:val="none" w:sz="0" w:space="0" w:color="auto"/>
        <w:right w:val="none" w:sz="0" w:space="0" w:color="auto"/>
      </w:divBdr>
      <w:divsChild>
        <w:div w:id="196741672">
          <w:marLeft w:val="0"/>
          <w:marRight w:val="0"/>
          <w:marTop w:val="0"/>
          <w:marBottom w:val="0"/>
          <w:divBdr>
            <w:top w:val="none" w:sz="0" w:space="0" w:color="auto"/>
            <w:left w:val="none" w:sz="0" w:space="0" w:color="auto"/>
            <w:bottom w:val="none" w:sz="0" w:space="0" w:color="auto"/>
            <w:right w:val="none" w:sz="0" w:space="0" w:color="auto"/>
          </w:divBdr>
          <w:divsChild>
            <w:div w:id="99734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473467">
      <w:bodyDiv w:val="1"/>
      <w:marLeft w:val="0"/>
      <w:marRight w:val="0"/>
      <w:marTop w:val="0"/>
      <w:marBottom w:val="0"/>
      <w:divBdr>
        <w:top w:val="none" w:sz="0" w:space="0" w:color="auto"/>
        <w:left w:val="none" w:sz="0" w:space="0" w:color="auto"/>
        <w:bottom w:val="none" w:sz="0" w:space="0" w:color="auto"/>
        <w:right w:val="none" w:sz="0" w:space="0" w:color="auto"/>
      </w:divBdr>
      <w:divsChild>
        <w:div w:id="1242763040">
          <w:marLeft w:val="0"/>
          <w:marRight w:val="0"/>
          <w:marTop w:val="0"/>
          <w:marBottom w:val="0"/>
          <w:divBdr>
            <w:top w:val="none" w:sz="0" w:space="0" w:color="auto"/>
            <w:left w:val="none" w:sz="0" w:space="0" w:color="auto"/>
            <w:bottom w:val="none" w:sz="0" w:space="0" w:color="auto"/>
            <w:right w:val="none" w:sz="0" w:space="0" w:color="auto"/>
          </w:divBdr>
        </w:div>
      </w:divsChild>
    </w:div>
    <w:div w:id="528756777">
      <w:bodyDiv w:val="1"/>
      <w:marLeft w:val="0"/>
      <w:marRight w:val="0"/>
      <w:marTop w:val="0"/>
      <w:marBottom w:val="0"/>
      <w:divBdr>
        <w:top w:val="none" w:sz="0" w:space="0" w:color="auto"/>
        <w:left w:val="none" w:sz="0" w:space="0" w:color="auto"/>
        <w:bottom w:val="none" w:sz="0" w:space="0" w:color="auto"/>
        <w:right w:val="none" w:sz="0" w:space="0" w:color="auto"/>
      </w:divBdr>
    </w:div>
    <w:div w:id="600258726">
      <w:bodyDiv w:val="1"/>
      <w:marLeft w:val="0"/>
      <w:marRight w:val="0"/>
      <w:marTop w:val="0"/>
      <w:marBottom w:val="0"/>
      <w:divBdr>
        <w:top w:val="none" w:sz="0" w:space="0" w:color="auto"/>
        <w:left w:val="none" w:sz="0" w:space="0" w:color="auto"/>
        <w:bottom w:val="none" w:sz="0" w:space="0" w:color="auto"/>
        <w:right w:val="none" w:sz="0" w:space="0" w:color="auto"/>
      </w:divBdr>
    </w:div>
    <w:div w:id="610288217">
      <w:bodyDiv w:val="1"/>
      <w:marLeft w:val="0"/>
      <w:marRight w:val="0"/>
      <w:marTop w:val="0"/>
      <w:marBottom w:val="0"/>
      <w:divBdr>
        <w:top w:val="none" w:sz="0" w:space="0" w:color="auto"/>
        <w:left w:val="none" w:sz="0" w:space="0" w:color="auto"/>
        <w:bottom w:val="none" w:sz="0" w:space="0" w:color="auto"/>
        <w:right w:val="none" w:sz="0" w:space="0" w:color="auto"/>
      </w:divBdr>
    </w:div>
    <w:div w:id="622464366">
      <w:bodyDiv w:val="1"/>
      <w:marLeft w:val="0"/>
      <w:marRight w:val="0"/>
      <w:marTop w:val="0"/>
      <w:marBottom w:val="0"/>
      <w:divBdr>
        <w:top w:val="none" w:sz="0" w:space="0" w:color="auto"/>
        <w:left w:val="none" w:sz="0" w:space="0" w:color="auto"/>
        <w:bottom w:val="none" w:sz="0" w:space="0" w:color="auto"/>
        <w:right w:val="none" w:sz="0" w:space="0" w:color="auto"/>
      </w:divBdr>
    </w:div>
    <w:div w:id="626736864">
      <w:bodyDiv w:val="1"/>
      <w:marLeft w:val="0"/>
      <w:marRight w:val="0"/>
      <w:marTop w:val="0"/>
      <w:marBottom w:val="0"/>
      <w:divBdr>
        <w:top w:val="none" w:sz="0" w:space="0" w:color="auto"/>
        <w:left w:val="none" w:sz="0" w:space="0" w:color="auto"/>
        <w:bottom w:val="none" w:sz="0" w:space="0" w:color="auto"/>
        <w:right w:val="none" w:sz="0" w:space="0" w:color="auto"/>
      </w:divBdr>
    </w:div>
    <w:div w:id="713383198">
      <w:bodyDiv w:val="1"/>
      <w:marLeft w:val="0"/>
      <w:marRight w:val="0"/>
      <w:marTop w:val="0"/>
      <w:marBottom w:val="0"/>
      <w:divBdr>
        <w:top w:val="none" w:sz="0" w:space="0" w:color="auto"/>
        <w:left w:val="none" w:sz="0" w:space="0" w:color="auto"/>
        <w:bottom w:val="none" w:sz="0" w:space="0" w:color="auto"/>
        <w:right w:val="none" w:sz="0" w:space="0" w:color="auto"/>
      </w:divBdr>
    </w:div>
    <w:div w:id="797264213">
      <w:bodyDiv w:val="1"/>
      <w:marLeft w:val="0"/>
      <w:marRight w:val="0"/>
      <w:marTop w:val="0"/>
      <w:marBottom w:val="0"/>
      <w:divBdr>
        <w:top w:val="none" w:sz="0" w:space="0" w:color="auto"/>
        <w:left w:val="none" w:sz="0" w:space="0" w:color="auto"/>
        <w:bottom w:val="none" w:sz="0" w:space="0" w:color="auto"/>
        <w:right w:val="none" w:sz="0" w:space="0" w:color="auto"/>
      </w:divBdr>
    </w:div>
    <w:div w:id="934749264">
      <w:bodyDiv w:val="1"/>
      <w:marLeft w:val="0"/>
      <w:marRight w:val="0"/>
      <w:marTop w:val="0"/>
      <w:marBottom w:val="0"/>
      <w:divBdr>
        <w:top w:val="none" w:sz="0" w:space="0" w:color="auto"/>
        <w:left w:val="none" w:sz="0" w:space="0" w:color="auto"/>
        <w:bottom w:val="none" w:sz="0" w:space="0" w:color="auto"/>
        <w:right w:val="none" w:sz="0" w:space="0" w:color="auto"/>
      </w:divBdr>
    </w:div>
    <w:div w:id="970600582">
      <w:bodyDiv w:val="1"/>
      <w:marLeft w:val="0"/>
      <w:marRight w:val="0"/>
      <w:marTop w:val="0"/>
      <w:marBottom w:val="0"/>
      <w:divBdr>
        <w:top w:val="none" w:sz="0" w:space="0" w:color="auto"/>
        <w:left w:val="none" w:sz="0" w:space="0" w:color="auto"/>
        <w:bottom w:val="none" w:sz="0" w:space="0" w:color="auto"/>
        <w:right w:val="none" w:sz="0" w:space="0" w:color="auto"/>
      </w:divBdr>
    </w:div>
    <w:div w:id="986083373">
      <w:bodyDiv w:val="1"/>
      <w:marLeft w:val="0"/>
      <w:marRight w:val="0"/>
      <w:marTop w:val="0"/>
      <w:marBottom w:val="0"/>
      <w:divBdr>
        <w:top w:val="none" w:sz="0" w:space="0" w:color="auto"/>
        <w:left w:val="none" w:sz="0" w:space="0" w:color="auto"/>
        <w:bottom w:val="none" w:sz="0" w:space="0" w:color="auto"/>
        <w:right w:val="none" w:sz="0" w:space="0" w:color="auto"/>
      </w:divBdr>
    </w:div>
    <w:div w:id="990519758">
      <w:bodyDiv w:val="1"/>
      <w:marLeft w:val="0"/>
      <w:marRight w:val="0"/>
      <w:marTop w:val="0"/>
      <w:marBottom w:val="0"/>
      <w:divBdr>
        <w:top w:val="none" w:sz="0" w:space="0" w:color="auto"/>
        <w:left w:val="none" w:sz="0" w:space="0" w:color="auto"/>
        <w:bottom w:val="none" w:sz="0" w:space="0" w:color="auto"/>
        <w:right w:val="none" w:sz="0" w:space="0" w:color="auto"/>
      </w:divBdr>
    </w:div>
    <w:div w:id="994839010">
      <w:bodyDiv w:val="1"/>
      <w:marLeft w:val="0"/>
      <w:marRight w:val="0"/>
      <w:marTop w:val="0"/>
      <w:marBottom w:val="0"/>
      <w:divBdr>
        <w:top w:val="none" w:sz="0" w:space="0" w:color="auto"/>
        <w:left w:val="none" w:sz="0" w:space="0" w:color="auto"/>
        <w:bottom w:val="none" w:sz="0" w:space="0" w:color="auto"/>
        <w:right w:val="none" w:sz="0" w:space="0" w:color="auto"/>
      </w:divBdr>
    </w:div>
    <w:div w:id="1096051777">
      <w:bodyDiv w:val="1"/>
      <w:marLeft w:val="0"/>
      <w:marRight w:val="0"/>
      <w:marTop w:val="0"/>
      <w:marBottom w:val="0"/>
      <w:divBdr>
        <w:top w:val="none" w:sz="0" w:space="0" w:color="auto"/>
        <w:left w:val="none" w:sz="0" w:space="0" w:color="auto"/>
        <w:bottom w:val="none" w:sz="0" w:space="0" w:color="auto"/>
        <w:right w:val="none" w:sz="0" w:space="0" w:color="auto"/>
      </w:divBdr>
    </w:div>
    <w:div w:id="1127898330">
      <w:bodyDiv w:val="1"/>
      <w:marLeft w:val="0"/>
      <w:marRight w:val="0"/>
      <w:marTop w:val="0"/>
      <w:marBottom w:val="0"/>
      <w:divBdr>
        <w:top w:val="none" w:sz="0" w:space="0" w:color="auto"/>
        <w:left w:val="none" w:sz="0" w:space="0" w:color="auto"/>
        <w:bottom w:val="none" w:sz="0" w:space="0" w:color="auto"/>
        <w:right w:val="none" w:sz="0" w:space="0" w:color="auto"/>
      </w:divBdr>
    </w:div>
    <w:div w:id="1154488624">
      <w:bodyDiv w:val="1"/>
      <w:marLeft w:val="0"/>
      <w:marRight w:val="0"/>
      <w:marTop w:val="0"/>
      <w:marBottom w:val="0"/>
      <w:divBdr>
        <w:top w:val="none" w:sz="0" w:space="0" w:color="auto"/>
        <w:left w:val="none" w:sz="0" w:space="0" w:color="auto"/>
        <w:bottom w:val="none" w:sz="0" w:space="0" w:color="auto"/>
        <w:right w:val="none" w:sz="0" w:space="0" w:color="auto"/>
      </w:divBdr>
    </w:div>
    <w:div w:id="1355957970">
      <w:bodyDiv w:val="1"/>
      <w:marLeft w:val="0"/>
      <w:marRight w:val="0"/>
      <w:marTop w:val="0"/>
      <w:marBottom w:val="0"/>
      <w:divBdr>
        <w:top w:val="none" w:sz="0" w:space="0" w:color="auto"/>
        <w:left w:val="none" w:sz="0" w:space="0" w:color="auto"/>
        <w:bottom w:val="none" w:sz="0" w:space="0" w:color="auto"/>
        <w:right w:val="none" w:sz="0" w:space="0" w:color="auto"/>
      </w:divBdr>
    </w:div>
    <w:div w:id="1387989889">
      <w:bodyDiv w:val="1"/>
      <w:marLeft w:val="0"/>
      <w:marRight w:val="0"/>
      <w:marTop w:val="0"/>
      <w:marBottom w:val="0"/>
      <w:divBdr>
        <w:top w:val="none" w:sz="0" w:space="0" w:color="auto"/>
        <w:left w:val="none" w:sz="0" w:space="0" w:color="auto"/>
        <w:bottom w:val="none" w:sz="0" w:space="0" w:color="auto"/>
        <w:right w:val="none" w:sz="0" w:space="0" w:color="auto"/>
      </w:divBdr>
      <w:divsChild>
        <w:div w:id="2037386443">
          <w:marLeft w:val="0"/>
          <w:marRight w:val="0"/>
          <w:marTop w:val="0"/>
          <w:marBottom w:val="0"/>
          <w:divBdr>
            <w:top w:val="none" w:sz="0" w:space="0" w:color="auto"/>
            <w:left w:val="none" w:sz="0" w:space="0" w:color="auto"/>
            <w:bottom w:val="none" w:sz="0" w:space="0" w:color="auto"/>
            <w:right w:val="none" w:sz="0" w:space="0" w:color="auto"/>
          </w:divBdr>
          <w:divsChild>
            <w:div w:id="188475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804301">
      <w:bodyDiv w:val="1"/>
      <w:marLeft w:val="0"/>
      <w:marRight w:val="0"/>
      <w:marTop w:val="0"/>
      <w:marBottom w:val="0"/>
      <w:divBdr>
        <w:top w:val="none" w:sz="0" w:space="0" w:color="auto"/>
        <w:left w:val="none" w:sz="0" w:space="0" w:color="auto"/>
        <w:bottom w:val="none" w:sz="0" w:space="0" w:color="auto"/>
        <w:right w:val="none" w:sz="0" w:space="0" w:color="auto"/>
      </w:divBdr>
      <w:divsChild>
        <w:div w:id="2000769981">
          <w:marLeft w:val="0"/>
          <w:marRight w:val="0"/>
          <w:marTop w:val="0"/>
          <w:marBottom w:val="0"/>
          <w:divBdr>
            <w:top w:val="none" w:sz="0" w:space="0" w:color="auto"/>
            <w:left w:val="none" w:sz="0" w:space="0" w:color="auto"/>
            <w:bottom w:val="none" w:sz="0" w:space="0" w:color="auto"/>
            <w:right w:val="none" w:sz="0" w:space="0" w:color="auto"/>
          </w:divBdr>
        </w:div>
        <w:div w:id="405080071">
          <w:marLeft w:val="0"/>
          <w:marRight w:val="0"/>
          <w:marTop w:val="0"/>
          <w:marBottom w:val="0"/>
          <w:divBdr>
            <w:top w:val="none" w:sz="0" w:space="0" w:color="auto"/>
            <w:left w:val="none" w:sz="0" w:space="0" w:color="auto"/>
            <w:bottom w:val="none" w:sz="0" w:space="0" w:color="auto"/>
            <w:right w:val="none" w:sz="0" w:space="0" w:color="auto"/>
          </w:divBdr>
        </w:div>
        <w:div w:id="548466">
          <w:marLeft w:val="0"/>
          <w:marRight w:val="0"/>
          <w:marTop w:val="0"/>
          <w:marBottom w:val="0"/>
          <w:divBdr>
            <w:top w:val="none" w:sz="0" w:space="0" w:color="auto"/>
            <w:left w:val="none" w:sz="0" w:space="0" w:color="auto"/>
            <w:bottom w:val="none" w:sz="0" w:space="0" w:color="auto"/>
            <w:right w:val="none" w:sz="0" w:space="0" w:color="auto"/>
          </w:divBdr>
        </w:div>
      </w:divsChild>
    </w:div>
    <w:div w:id="1527014286">
      <w:bodyDiv w:val="1"/>
      <w:marLeft w:val="0"/>
      <w:marRight w:val="0"/>
      <w:marTop w:val="0"/>
      <w:marBottom w:val="0"/>
      <w:divBdr>
        <w:top w:val="none" w:sz="0" w:space="0" w:color="auto"/>
        <w:left w:val="none" w:sz="0" w:space="0" w:color="auto"/>
        <w:bottom w:val="none" w:sz="0" w:space="0" w:color="auto"/>
        <w:right w:val="none" w:sz="0" w:space="0" w:color="auto"/>
      </w:divBdr>
    </w:div>
    <w:div w:id="1568304603">
      <w:bodyDiv w:val="1"/>
      <w:marLeft w:val="0"/>
      <w:marRight w:val="0"/>
      <w:marTop w:val="0"/>
      <w:marBottom w:val="0"/>
      <w:divBdr>
        <w:top w:val="none" w:sz="0" w:space="0" w:color="auto"/>
        <w:left w:val="none" w:sz="0" w:space="0" w:color="auto"/>
        <w:bottom w:val="none" w:sz="0" w:space="0" w:color="auto"/>
        <w:right w:val="none" w:sz="0" w:space="0" w:color="auto"/>
      </w:divBdr>
    </w:div>
    <w:div w:id="1582568177">
      <w:bodyDiv w:val="1"/>
      <w:marLeft w:val="0"/>
      <w:marRight w:val="0"/>
      <w:marTop w:val="0"/>
      <w:marBottom w:val="0"/>
      <w:divBdr>
        <w:top w:val="none" w:sz="0" w:space="0" w:color="auto"/>
        <w:left w:val="none" w:sz="0" w:space="0" w:color="auto"/>
        <w:bottom w:val="none" w:sz="0" w:space="0" w:color="auto"/>
        <w:right w:val="none" w:sz="0" w:space="0" w:color="auto"/>
      </w:divBdr>
    </w:div>
    <w:div w:id="1720863607">
      <w:bodyDiv w:val="1"/>
      <w:marLeft w:val="0"/>
      <w:marRight w:val="0"/>
      <w:marTop w:val="0"/>
      <w:marBottom w:val="0"/>
      <w:divBdr>
        <w:top w:val="none" w:sz="0" w:space="0" w:color="auto"/>
        <w:left w:val="none" w:sz="0" w:space="0" w:color="auto"/>
        <w:bottom w:val="none" w:sz="0" w:space="0" w:color="auto"/>
        <w:right w:val="none" w:sz="0" w:space="0" w:color="auto"/>
      </w:divBdr>
    </w:div>
    <w:div w:id="1751854871">
      <w:bodyDiv w:val="1"/>
      <w:marLeft w:val="0"/>
      <w:marRight w:val="0"/>
      <w:marTop w:val="0"/>
      <w:marBottom w:val="0"/>
      <w:divBdr>
        <w:top w:val="none" w:sz="0" w:space="0" w:color="auto"/>
        <w:left w:val="none" w:sz="0" w:space="0" w:color="auto"/>
        <w:bottom w:val="none" w:sz="0" w:space="0" w:color="auto"/>
        <w:right w:val="none" w:sz="0" w:space="0" w:color="auto"/>
      </w:divBdr>
    </w:div>
    <w:div w:id="1761172846">
      <w:bodyDiv w:val="1"/>
      <w:marLeft w:val="0"/>
      <w:marRight w:val="0"/>
      <w:marTop w:val="0"/>
      <w:marBottom w:val="0"/>
      <w:divBdr>
        <w:top w:val="none" w:sz="0" w:space="0" w:color="auto"/>
        <w:left w:val="none" w:sz="0" w:space="0" w:color="auto"/>
        <w:bottom w:val="none" w:sz="0" w:space="0" w:color="auto"/>
        <w:right w:val="none" w:sz="0" w:space="0" w:color="auto"/>
      </w:divBdr>
    </w:div>
    <w:div w:id="1837114809">
      <w:bodyDiv w:val="1"/>
      <w:marLeft w:val="0"/>
      <w:marRight w:val="0"/>
      <w:marTop w:val="0"/>
      <w:marBottom w:val="0"/>
      <w:divBdr>
        <w:top w:val="none" w:sz="0" w:space="0" w:color="auto"/>
        <w:left w:val="none" w:sz="0" w:space="0" w:color="auto"/>
        <w:bottom w:val="none" w:sz="0" w:space="0" w:color="auto"/>
        <w:right w:val="none" w:sz="0" w:space="0" w:color="auto"/>
      </w:divBdr>
      <w:divsChild>
        <w:div w:id="1741828144">
          <w:marLeft w:val="0"/>
          <w:marRight w:val="0"/>
          <w:marTop w:val="0"/>
          <w:marBottom w:val="0"/>
          <w:divBdr>
            <w:top w:val="none" w:sz="0" w:space="0" w:color="auto"/>
            <w:left w:val="none" w:sz="0" w:space="0" w:color="auto"/>
            <w:bottom w:val="none" w:sz="0" w:space="0" w:color="auto"/>
            <w:right w:val="none" w:sz="0" w:space="0" w:color="auto"/>
          </w:divBdr>
        </w:div>
        <w:div w:id="1096445196">
          <w:marLeft w:val="0"/>
          <w:marRight w:val="0"/>
          <w:marTop w:val="0"/>
          <w:marBottom w:val="0"/>
          <w:divBdr>
            <w:top w:val="none" w:sz="0" w:space="0" w:color="auto"/>
            <w:left w:val="none" w:sz="0" w:space="0" w:color="auto"/>
            <w:bottom w:val="none" w:sz="0" w:space="0" w:color="auto"/>
            <w:right w:val="none" w:sz="0" w:space="0" w:color="auto"/>
          </w:divBdr>
        </w:div>
        <w:div w:id="226111417">
          <w:marLeft w:val="0"/>
          <w:marRight w:val="0"/>
          <w:marTop w:val="0"/>
          <w:marBottom w:val="0"/>
          <w:divBdr>
            <w:top w:val="none" w:sz="0" w:space="0" w:color="auto"/>
            <w:left w:val="none" w:sz="0" w:space="0" w:color="auto"/>
            <w:bottom w:val="none" w:sz="0" w:space="0" w:color="auto"/>
            <w:right w:val="none" w:sz="0" w:space="0" w:color="auto"/>
          </w:divBdr>
        </w:div>
      </w:divsChild>
    </w:div>
    <w:div w:id="1849246835">
      <w:bodyDiv w:val="1"/>
      <w:marLeft w:val="0"/>
      <w:marRight w:val="0"/>
      <w:marTop w:val="0"/>
      <w:marBottom w:val="0"/>
      <w:divBdr>
        <w:top w:val="none" w:sz="0" w:space="0" w:color="auto"/>
        <w:left w:val="none" w:sz="0" w:space="0" w:color="auto"/>
        <w:bottom w:val="none" w:sz="0" w:space="0" w:color="auto"/>
        <w:right w:val="none" w:sz="0" w:space="0" w:color="auto"/>
      </w:divBdr>
    </w:div>
    <w:div w:id="1849251745">
      <w:bodyDiv w:val="1"/>
      <w:marLeft w:val="0"/>
      <w:marRight w:val="0"/>
      <w:marTop w:val="0"/>
      <w:marBottom w:val="0"/>
      <w:divBdr>
        <w:top w:val="none" w:sz="0" w:space="0" w:color="auto"/>
        <w:left w:val="none" w:sz="0" w:space="0" w:color="auto"/>
        <w:bottom w:val="none" w:sz="0" w:space="0" w:color="auto"/>
        <w:right w:val="none" w:sz="0" w:space="0" w:color="auto"/>
      </w:divBdr>
    </w:div>
    <w:div w:id="1915117154">
      <w:bodyDiv w:val="1"/>
      <w:marLeft w:val="0"/>
      <w:marRight w:val="0"/>
      <w:marTop w:val="0"/>
      <w:marBottom w:val="0"/>
      <w:divBdr>
        <w:top w:val="none" w:sz="0" w:space="0" w:color="auto"/>
        <w:left w:val="none" w:sz="0" w:space="0" w:color="auto"/>
        <w:bottom w:val="none" w:sz="0" w:space="0" w:color="auto"/>
        <w:right w:val="none" w:sz="0" w:space="0" w:color="auto"/>
      </w:divBdr>
    </w:div>
    <w:div w:id="1921061429">
      <w:bodyDiv w:val="1"/>
      <w:marLeft w:val="0"/>
      <w:marRight w:val="0"/>
      <w:marTop w:val="0"/>
      <w:marBottom w:val="0"/>
      <w:divBdr>
        <w:top w:val="none" w:sz="0" w:space="0" w:color="auto"/>
        <w:left w:val="none" w:sz="0" w:space="0" w:color="auto"/>
        <w:bottom w:val="none" w:sz="0" w:space="0" w:color="auto"/>
        <w:right w:val="none" w:sz="0" w:space="0" w:color="auto"/>
      </w:divBdr>
    </w:div>
    <w:div w:id="1928347244">
      <w:bodyDiv w:val="1"/>
      <w:marLeft w:val="0"/>
      <w:marRight w:val="0"/>
      <w:marTop w:val="0"/>
      <w:marBottom w:val="0"/>
      <w:divBdr>
        <w:top w:val="none" w:sz="0" w:space="0" w:color="auto"/>
        <w:left w:val="none" w:sz="0" w:space="0" w:color="auto"/>
        <w:bottom w:val="none" w:sz="0" w:space="0" w:color="auto"/>
        <w:right w:val="none" w:sz="0" w:space="0" w:color="auto"/>
      </w:divBdr>
    </w:div>
    <w:div w:id="1933467860">
      <w:bodyDiv w:val="1"/>
      <w:marLeft w:val="0"/>
      <w:marRight w:val="0"/>
      <w:marTop w:val="0"/>
      <w:marBottom w:val="0"/>
      <w:divBdr>
        <w:top w:val="none" w:sz="0" w:space="0" w:color="auto"/>
        <w:left w:val="none" w:sz="0" w:space="0" w:color="auto"/>
        <w:bottom w:val="none" w:sz="0" w:space="0" w:color="auto"/>
        <w:right w:val="none" w:sz="0" w:space="0" w:color="auto"/>
      </w:divBdr>
    </w:div>
    <w:div w:id="1935018866">
      <w:bodyDiv w:val="1"/>
      <w:marLeft w:val="0"/>
      <w:marRight w:val="0"/>
      <w:marTop w:val="0"/>
      <w:marBottom w:val="0"/>
      <w:divBdr>
        <w:top w:val="none" w:sz="0" w:space="0" w:color="auto"/>
        <w:left w:val="none" w:sz="0" w:space="0" w:color="auto"/>
        <w:bottom w:val="none" w:sz="0" w:space="0" w:color="auto"/>
        <w:right w:val="none" w:sz="0" w:space="0" w:color="auto"/>
      </w:divBdr>
      <w:divsChild>
        <w:div w:id="958603563">
          <w:marLeft w:val="0"/>
          <w:marRight w:val="0"/>
          <w:marTop w:val="0"/>
          <w:marBottom w:val="0"/>
          <w:divBdr>
            <w:top w:val="none" w:sz="0" w:space="0" w:color="auto"/>
            <w:left w:val="none" w:sz="0" w:space="0" w:color="auto"/>
            <w:bottom w:val="none" w:sz="0" w:space="0" w:color="auto"/>
            <w:right w:val="none" w:sz="0" w:space="0" w:color="auto"/>
          </w:divBdr>
        </w:div>
      </w:divsChild>
    </w:div>
    <w:div w:id="1940286807">
      <w:bodyDiv w:val="1"/>
      <w:marLeft w:val="0"/>
      <w:marRight w:val="0"/>
      <w:marTop w:val="0"/>
      <w:marBottom w:val="0"/>
      <w:divBdr>
        <w:top w:val="none" w:sz="0" w:space="0" w:color="auto"/>
        <w:left w:val="none" w:sz="0" w:space="0" w:color="auto"/>
        <w:bottom w:val="none" w:sz="0" w:space="0" w:color="auto"/>
        <w:right w:val="none" w:sz="0" w:space="0" w:color="auto"/>
      </w:divBdr>
    </w:div>
    <w:div w:id="1952083906">
      <w:bodyDiv w:val="1"/>
      <w:marLeft w:val="0"/>
      <w:marRight w:val="0"/>
      <w:marTop w:val="0"/>
      <w:marBottom w:val="0"/>
      <w:divBdr>
        <w:top w:val="none" w:sz="0" w:space="0" w:color="auto"/>
        <w:left w:val="none" w:sz="0" w:space="0" w:color="auto"/>
        <w:bottom w:val="none" w:sz="0" w:space="0" w:color="auto"/>
        <w:right w:val="none" w:sz="0" w:space="0" w:color="auto"/>
      </w:divBdr>
      <w:divsChild>
        <w:div w:id="230429297">
          <w:marLeft w:val="0"/>
          <w:marRight w:val="0"/>
          <w:marTop w:val="0"/>
          <w:marBottom w:val="0"/>
          <w:divBdr>
            <w:top w:val="none" w:sz="0" w:space="0" w:color="auto"/>
            <w:left w:val="none" w:sz="0" w:space="0" w:color="auto"/>
            <w:bottom w:val="none" w:sz="0" w:space="0" w:color="auto"/>
            <w:right w:val="none" w:sz="0" w:space="0" w:color="auto"/>
          </w:divBdr>
          <w:divsChild>
            <w:div w:id="181228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178232">
      <w:bodyDiv w:val="1"/>
      <w:marLeft w:val="0"/>
      <w:marRight w:val="0"/>
      <w:marTop w:val="0"/>
      <w:marBottom w:val="0"/>
      <w:divBdr>
        <w:top w:val="none" w:sz="0" w:space="0" w:color="auto"/>
        <w:left w:val="none" w:sz="0" w:space="0" w:color="auto"/>
        <w:bottom w:val="none" w:sz="0" w:space="0" w:color="auto"/>
        <w:right w:val="none" w:sz="0" w:space="0" w:color="auto"/>
      </w:divBdr>
    </w:div>
    <w:div w:id="1960645441">
      <w:bodyDiv w:val="1"/>
      <w:marLeft w:val="0"/>
      <w:marRight w:val="0"/>
      <w:marTop w:val="0"/>
      <w:marBottom w:val="0"/>
      <w:divBdr>
        <w:top w:val="none" w:sz="0" w:space="0" w:color="auto"/>
        <w:left w:val="none" w:sz="0" w:space="0" w:color="auto"/>
        <w:bottom w:val="none" w:sz="0" w:space="0" w:color="auto"/>
        <w:right w:val="none" w:sz="0" w:space="0" w:color="auto"/>
      </w:divBdr>
    </w:div>
    <w:div w:id="1963265426">
      <w:bodyDiv w:val="1"/>
      <w:marLeft w:val="0"/>
      <w:marRight w:val="0"/>
      <w:marTop w:val="0"/>
      <w:marBottom w:val="0"/>
      <w:divBdr>
        <w:top w:val="none" w:sz="0" w:space="0" w:color="auto"/>
        <w:left w:val="none" w:sz="0" w:space="0" w:color="auto"/>
        <w:bottom w:val="none" w:sz="0" w:space="0" w:color="auto"/>
        <w:right w:val="none" w:sz="0" w:space="0" w:color="auto"/>
      </w:divBdr>
      <w:divsChild>
        <w:div w:id="311645773">
          <w:marLeft w:val="0"/>
          <w:marRight w:val="0"/>
          <w:marTop w:val="0"/>
          <w:marBottom w:val="0"/>
          <w:divBdr>
            <w:top w:val="none" w:sz="0" w:space="0" w:color="auto"/>
            <w:left w:val="none" w:sz="0" w:space="0" w:color="auto"/>
            <w:bottom w:val="none" w:sz="0" w:space="0" w:color="auto"/>
            <w:right w:val="none" w:sz="0" w:space="0" w:color="auto"/>
          </w:divBdr>
        </w:div>
      </w:divsChild>
    </w:div>
    <w:div w:id="1976714488">
      <w:bodyDiv w:val="1"/>
      <w:marLeft w:val="0"/>
      <w:marRight w:val="0"/>
      <w:marTop w:val="0"/>
      <w:marBottom w:val="0"/>
      <w:divBdr>
        <w:top w:val="none" w:sz="0" w:space="0" w:color="auto"/>
        <w:left w:val="none" w:sz="0" w:space="0" w:color="auto"/>
        <w:bottom w:val="none" w:sz="0" w:space="0" w:color="auto"/>
        <w:right w:val="none" w:sz="0" w:space="0" w:color="auto"/>
      </w:divBdr>
    </w:div>
    <w:div w:id="1986468738">
      <w:bodyDiv w:val="1"/>
      <w:marLeft w:val="0"/>
      <w:marRight w:val="0"/>
      <w:marTop w:val="0"/>
      <w:marBottom w:val="0"/>
      <w:divBdr>
        <w:top w:val="none" w:sz="0" w:space="0" w:color="auto"/>
        <w:left w:val="none" w:sz="0" w:space="0" w:color="auto"/>
        <w:bottom w:val="none" w:sz="0" w:space="0" w:color="auto"/>
        <w:right w:val="none" w:sz="0" w:space="0" w:color="auto"/>
      </w:divBdr>
    </w:div>
    <w:div w:id="2011761201">
      <w:bodyDiv w:val="1"/>
      <w:marLeft w:val="0"/>
      <w:marRight w:val="0"/>
      <w:marTop w:val="0"/>
      <w:marBottom w:val="0"/>
      <w:divBdr>
        <w:top w:val="none" w:sz="0" w:space="0" w:color="auto"/>
        <w:left w:val="none" w:sz="0" w:space="0" w:color="auto"/>
        <w:bottom w:val="none" w:sz="0" w:space="0" w:color="auto"/>
        <w:right w:val="none" w:sz="0" w:space="0" w:color="auto"/>
      </w:divBdr>
    </w:div>
    <w:div w:id="2031757299">
      <w:bodyDiv w:val="1"/>
      <w:marLeft w:val="0"/>
      <w:marRight w:val="0"/>
      <w:marTop w:val="0"/>
      <w:marBottom w:val="0"/>
      <w:divBdr>
        <w:top w:val="none" w:sz="0" w:space="0" w:color="auto"/>
        <w:left w:val="none" w:sz="0" w:space="0" w:color="auto"/>
        <w:bottom w:val="none" w:sz="0" w:space="0" w:color="auto"/>
        <w:right w:val="none" w:sz="0" w:space="0" w:color="auto"/>
      </w:divBdr>
    </w:div>
    <w:div w:id="2044667587">
      <w:bodyDiv w:val="1"/>
      <w:marLeft w:val="0"/>
      <w:marRight w:val="0"/>
      <w:marTop w:val="0"/>
      <w:marBottom w:val="0"/>
      <w:divBdr>
        <w:top w:val="none" w:sz="0" w:space="0" w:color="auto"/>
        <w:left w:val="none" w:sz="0" w:space="0" w:color="auto"/>
        <w:bottom w:val="none" w:sz="0" w:space="0" w:color="auto"/>
        <w:right w:val="none" w:sz="0" w:space="0" w:color="auto"/>
      </w:divBdr>
    </w:div>
    <w:div w:id="2086562875">
      <w:bodyDiv w:val="1"/>
      <w:marLeft w:val="0"/>
      <w:marRight w:val="0"/>
      <w:marTop w:val="0"/>
      <w:marBottom w:val="0"/>
      <w:divBdr>
        <w:top w:val="none" w:sz="0" w:space="0" w:color="auto"/>
        <w:left w:val="none" w:sz="0" w:space="0" w:color="auto"/>
        <w:bottom w:val="none" w:sz="0" w:space="0" w:color="auto"/>
        <w:right w:val="none" w:sz="0" w:space="0" w:color="auto"/>
      </w:divBdr>
    </w:div>
    <w:div w:id="2105030794">
      <w:bodyDiv w:val="1"/>
      <w:marLeft w:val="0"/>
      <w:marRight w:val="0"/>
      <w:marTop w:val="0"/>
      <w:marBottom w:val="0"/>
      <w:divBdr>
        <w:top w:val="none" w:sz="0" w:space="0" w:color="auto"/>
        <w:left w:val="none" w:sz="0" w:space="0" w:color="auto"/>
        <w:bottom w:val="none" w:sz="0" w:space="0" w:color="auto"/>
        <w:right w:val="none" w:sz="0" w:space="0" w:color="auto"/>
      </w:divBdr>
      <w:divsChild>
        <w:div w:id="7229452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heliyon.2024.e32878" TargetMode="External"/><Relationship Id="rId18" Type="http://schemas.openxmlformats.org/officeDocument/2006/relationships/hyperlink" Target="https://www.gov.wales/changes-workplace-recycling-guidance-workplac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org/uk/knowledge/podcasts/skilling-up-now-and-for-the-future/" TargetMode="External"/><Relationship Id="rId17" Type="http://schemas.openxmlformats.org/officeDocument/2006/relationships/hyperlink" Target="https://dl.acm.org/doi/pdf/10.1145/3313831.3376674" TargetMode="External"/><Relationship Id="rId2" Type="http://schemas.openxmlformats.org/officeDocument/2006/relationships/numbering" Target="numbering.xml"/><Relationship Id="rId16" Type="http://schemas.openxmlformats.org/officeDocument/2006/relationships/hyperlink" Target="https://doi.org/10.52783/jier.v4i2.90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61408063" TargetMode="External"/><Relationship Id="rId5" Type="http://schemas.openxmlformats.org/officeDocument/2006/relationships/webSettings" Target="webSettings.xml"/><Relationship Id="rId15" Type="http://schemas.openxmlformats.org/officeDocument/2006/relationships/hyperlink" Target="https://doi.org/10.1016/j.resourpol.2010.02.002" TargetMode="External"/><Relationship Id="rId10" Type="http://schemas.openxmlformats.org/officeDocument/2006/relationships/hyperlink" Target="https://doi.org/10.4324/9780203495933"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16/j.heliyon.2024.e33018" TargetMode="External"/><Relationship Id="rId14" Type="http://schemas.openxmlformats.org/officeDocument/2006/relationships/hyperlink" Target="https://doi.org/10.28945/507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0535BC-4519-4A25-B556-3ECBFB90A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7</Pages>
  <Words>1940</Words>
  <Characters>11060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Milcoy</dc:creator>
  <cp:keywords/>
  <dc:description/>
  <cp:lastModifiedBy>Nia Milcoy</cp:lastModifiedBy>
  <cp:revision>63</cp:revision>
  <dcterms:created xsi:type="dcterms:W3CDTF">2025-03-14T13:24:00Z</dcterms:created>
  <dcterms:modified xsi:type="dcterms:W3CDTF">2025-03-21T14:34:00Z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2025-03-14T14:38:54Z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d2f14136-4bfd-4f9d-98f3-c302531f6bfa</vt:lpwstr>
  </property>
  <property fmtid="{D5CDD505-2E9C-101B-9397-08002B2CF9AE}" pid="7" name="MSIP_Label_defa4170-0d19-0005-0004-bc88714345d2_ActionId">
    <vt:lpwstr>62d753a2-ada5-44ea-8c2b-c56668900134</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