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CD1DD" w14:textId="77777777" w:rsidR="009C2FC0" w:rsidRPr="00437474" w:rsidRDefault="009C2FC0" w:rsidP="009C2FC0">
      <w:pPr>
        <w:jc w:val="center"/>
        <w:rPr>
          <w:rFonts w:ascii="Arial" w:hAnsi="Arial" w:cs="Arial"/>
          <w:b/>
          <w:sz w:val="56"/>
          <w:szCs w:val="56"/>
        </w:rPr>
      </w:pPr>
      <w:r w:rsidRPr="00437474">
        <w:rPr>
          <w:rFonts w:ascii="Arial" w:hAnsi="Arial" w:cs="Arial"/>
          <w:b/>
          <w:sz w:val="56"/>
          <w:szCs w:val="56"/>
        </w:rPr>
        <w:t>Psychology in Health and Social Care</w:t>
      </w:r>
    </w:p>
    <w:p w14:paraId="496BB1A6" w14:textId="77777777" w:rsidR="009C2FC0" w:rsidRPr="00437474" w:rsidRDefault="009C2FC0" w:rsidP="009C2FC0">
      <w:pPr>
        <w:jc w:val="center"/>
        <w:rPr>
          <w:rFonts w:ascii="Arial" w:hAnsi="Arial" w:cs="Arial"/>
          <w:b/>
          <w:sz w:val="56"/>
          <w:szCs w:val="56"/>
        </w:rPr>
      </w:pPr>
      <w:r w:rsidRPr="00437474">
        <w:rPr>
          <w:rFonts w:ascii="Arial" w:hAnsi="Arial" w:cs="Arial"/>
          <w:b/>
          <w:sz w:val="56"/>
          <w:szCs w:val="56"/>
        </w:rPr>
        <w:t>BMHP4003_BIRM</w:t>
      </w:r>
    </w:p>
    <w:p w14:paraId="438B0725" w14:textId="77777777" w:rsidR="009C2FC0" w:rsidRPr="00437474" w:rsidRDefault="009C2FC0" w:rsidP="009C2FC0">
      <w:pPr>
        <w:jc w:val="center"/>
        <w:rPr>
          <w:rFonts w:ascii="Arial" w:hAnsi="Arial" w:cs="Arial"/>
          <w:b/>
          <w:sz w:val="56"/>
          <w:szCs w:val="56"/>
        </w:rPr>
      </w:pPr>
    </w:p>
    <w:p w14:paraId="479DE81D" w14:textId="77777777" w:rsidR="009C2FC0" w:rsidRPr="00437474" w:rsidRDefault="009C2FC0" w:rsidP="009C2FC0">
      <w:pPr>
        <w:jc w:val="center"/>
        <w:rPr>
          <w:rFonts w:ascii="Arial" w:hAnsi="Arial" w:cs="Arial"/>
          <w:b/>
          <w:sz w:val="56"/>
          <w:szCs w:val="56"/>
        </w:rPr>
      </w:pPr>
    </w:p>
    <w:p w14:paraId="0FDE79EE" w14:textId="77777777" w:rsidR="009C2FC0" w:rsidRPr="00437474" w:rsidRDefault="009C2FC0" w:rsidP="009C2FC0">
      <w:pPr>
        <w:jc w:val="center"/>
        <w:rPr>
          <w:rFonts w:ascii="Arial" w:hAnsi="Arial" w:cs="Arial"/>
          <w:b/>
          <w:sz w:val="56"/>
          <w:szCs w:val="56"/>
        </w:rPr>
      </w:pPr>
    </w:p>
    <w:p w14:paraId="64F84752" w14:textId="77777777" w:rsidR="009C2FC0" w:rsidRPr="00437474" w:rsidRDefault="009C2FC0" w:rsidP="009C2FC0">
      <w:pPr>
        <w:jc w:val="center"/>
        <w:rPr>
          <w:rFonts w:ascii="Arial" w:hAnsi="Arial" w:cs="Arial"/>
          <w:b/>
          <w:sz w:val="56"/>
          <w:szCs w:val="56"/>
        </w:rPr>
      </w:pPr>
    </w:p>
    <w:p w14:paraId="23D506E8" w14:textId="77777777" w:rsidR="009C2FC0" w:rsidRPr="00437474" w:rsidRDefault="009C2FC0" w:rsidP="009C2FC0">
      <w:pPr>
        <w:jc w:val="center"/>
        <w:rPr>
          <w:rFonts w:ascii="Arial" w:hAnsi="Arial" w:cs="Arial"/>
          <w:b/>
          <w:sz w:val="56"/>
          <w:szCs w:val="56"/>
        </w:rPr>
      </w:pPr>
      <w:r w:rsidRPr="00437474">
        <w:rPr>
          <w:rFonts w:ascii="Arial" w:hAnsi="Arial" w:cs="Arial"/>
          <w:b/>
          <w:sz w:val="56"/>
          <w:szCs w:val="56"/>
        </w:rPr>
        <w:t xml:space="preserve">Lecturers: Rebecca Kavanagh </w:t>
      </w:r>
    </w:p>
    <w:p w14:paraId="3E76BE42" w14:textId="77777777" w:rsidR="009C2FC0" w:rsidRPr="00437474" w:rsidRDefault="009C2FC0" w:rsidP="009C2FC0">
      <w:pPr>
        <w:jc w:val="center"/>
        <w:rPr>
          <w:rFonts w:ascii="Arial" w:hAnsi="Arial" w:cs="Arial"/>
          <w:b/>
          <w:sz w:val="56"/>
          <w:szCs w:val="56"/>
        </w:rPr>
      </w:pPr>
      <w:r w:rsidRPr="00437474">
        <w:rPr>
          <w:rFonts w:ascii="Arial" w:hAnsi="Arial" w:cs="Arial"/>
          <w:b/>
          <w:sz w:val="56"/>
          <w:szCs w:val="56"/>
        </w:rPr>
        <w:t xml:space="preserve">Dr Muhammad Hossain </w:t>
      </w:r>
    </w:p>
    <w:p w14:paraId="6C6DCADB" w14:textId="77777777" w:rsidR="009C2FC0" w:rsidRPr="00437474" w:rsidRDefault="009C2FC0" w:rsidP="009C2FC0">
      <w:pPr>
        <w:jc w:val="center"/>
        <w:rPr>
          <w:rFonts w:ascii="Arial" w:hAnsi="Arial" w:cs="Arial"/>
          <w:b/>
          <w:sz w:val="56"/>
          <w:szCs w:val="56"/>
        </w:rPr>
      </w:pPr>
    </w:p>
    <w:p w14:paraId="4B0C2E71" w14:textId="77777777" w:rsidR="009C2FC0" w:rsidRPr="00437474" w:rsidRDefault="009C2FC0" w:rsidP="009C2FC0">
      <w:pPr>
        <w:jc w:val="center"/>
        <w:rPr>
          <w:rFonts w:ascii="Arial" w:hAnsi="Arial" w:cs="Arial"/>
          <w:b/>
          <w:sz w:val="56"/>
          <w:szCs w:val="56"/>
        </w:rPr>
      </w:pPr>
    </w:p>
    <w:p w14:paraId="2D5E7AB2" w14:textId="77777777" w:rsidR="009C2FC0" w:rsidRPr="00437474" w:rsidRDefault="009C2FC0" w:rsidP="009C2FC0">
      <w:pPr>
        <w:jc w:val="center"/>
        <w:rPr>
          <w:rFonts w:ascii="Arial" w:hAnsi="Arial" w:cs="Arial"/>
          <w:b/>
          <w:sz w:val="56"/>
          <w:szCs w:val="56"/>
        </w:rPr>
      </w:pPr>
      <w:r w:rsidRPr="00437474">
        <w:rPr>
          <w:rFonts w:ascii="Arial" w:hAnsi="Arial" w:cs="Arial"/>
          <w:b/>
          <w:sz w:val="56"/>
          <w:szCs w:val="56"/>
        </w:rPr>
        <w:t xml:space="preserve">Student Name: Sharon Strachan </w:t>
      </w:r>
    </w:p>
    <w:p w14:paraId="1C95C9BF" w14:textId="77777777" w:rsidR="009C2FC0" w:rsidRPr="00437474" w:rsidRDefault="009C2FC0" w:rsidP="009C2FC0">
      <w:pPr>
        <w:jc w:val="center"/>
        <w:rPr>
          <w:rFonts w:ascii="Arial" w:hAnsi="Arial" w:cs="Arial"/>
          <w:b/>
          <w:sz w:val="56"/>
          <w:szCs w:val="56"/>
        </w:rPr>
      </w:pPr>
      <w:r w:rsidRPr="00437474">
        <w:rPr>
          <w:rFonts w:ascii="Arial" w:hAnsi="Arial" w:cs="Arial"/>
          <w:b/>
          <w:sz w:val="56"/>
          <w:szCs w:val="56"/>
        </w:rPr>
        <w:t xml:space="preserve">Student No:1911689 </w:t>
      </w:r>
    </w:p>
    <w:p w14:paraId="39695803" w14:textId="77777777" w:rsidR="009C2FC0" w:rsidRPr="00437474" w:rsidRDefault="009C2FC0" w:rsidP="009C2FC0">
      <w:pPr>
        <w:jc w:val="center"/>
        <w:rPr>
          <w:b/>
          <w:sz w:val="56"/>
          <w:szCs w:val="56"/>
          <w:u w:val="single"/>
        </w:rPr>
      </w:pPr>
    </w:p>
    <w:p w14:paraId="19624AB3" w14:textId="77777777" w:rsidR="009C2FC0" w:rsidRDefault="009C2FC0" w:rsidP="009C2FC0">
      <w:pPr>
        <w:rPr>
          <w:sz w:val="56"/>
          <w:szCs w:val="56"/>
        </w:rPr>
      </w:pPr>
    </w:p>
    <w:p w14:paraId="27F405A1" w14:textId="2341826A" w:rsidR="009C2FC0" w:rsidRPr="00BC7E3E" w:rsidRDefault="009C2FC0" w:rsidP="00BC7E3E">
      <w:pPr>
        <w:spacing w:line="360" w:lineRule="auto"/>
        <w:rPr>
          <w:rFonts w:ascii="Arial" w:hAnsi="Arial" w:cs="Arial"/>
          <w:b/>
          <w:bCs/>
          <w:u w:val="single"/>
        </w:rPr>
      </w:pPr>
      <w:r w:rsidRPr="00BC7E3E">
        <w:rPr>
          <w:rFonts w:ascii="Arial" w:hAnsi="Arial" w:cs="Arial"/>
          <w:b/>
          <w:bCs/>
          <w:u w:val="single"/>
        </w:rPr>
        <w:lastRenderedPageBreak/>
        <w:t>Task 2 – Annotated Bibliography</w:t>
      </w:r>
    </w:p>
    <w:p w14:paraId="5A751E71" w14:textId="6F04A247" w:rsidR="009C2FC0" w:rsidRPr="00BC7E3E" w:rsidRDefault="009C2FC0" w:rsidP="00BC7E3E">
      <w:pPr>
        <w:pStyle w:val="ListParagraph"/>
        <w:numPr>
          <w:ilvl w:val="0"/>
          <w:numId w:val="1"/>
        </w:numPr>
        <w:spacing w:line="360" w:lineRule="auto"/>
        <w:rPr>
          <w:rFonts w:ascii="Arial" w:hAnsi="Arial" w:cs="Arial"/>
          <w:sz w:val="22"/>
          <w:szCs w:val="22"/>
        </w:rPr>
      </w:pPr>
      <w:r w:rsidRPr="00BC7E3E">
        <w:rPr>
          <w:rFonts w:ascii="Arial" w:eastAsiaTheme="minorEastAsia" w:hAnsi="Arial" w:cs="Arial"/>
          <w:color w:val="000000" w:themeColor="text1"/>
          <w:kern w:val="24"/>
          <w:sz w:val="22"/>
          <w:szCs w:val="22"/>
        </w:rPr>
        <w:t>Arnett, J. J. (2000). Emerging adulthood: A theory of development from the late teens through the twenties. American Psychologist, 55, 469</w:t>
      </w:r>
      <w:r w:rsidRPr="00BC7E3E">
        <w:rPr>
          <w:rFonts w:ascii="Cambria Math" w:eastAsiaTheme="minorEastAsia" w:hAnsi="Cambria Math" w:cs="Cambria Math"/>
          <w:color w:val="000000" w:themeColor="text1"/>
          <w:kern w:val="24"/>
          <w:sz w:val="22"/>
          <w:szCs w:val="22"/>
        </w:rPr>
        <w:t>‐</w:t>
      </w:r>
      <w:r w:rsidRPr="00BC7E3E">
        <w:rPr>
          <w:rFonts w:ascii="Arial" w:eastAsiaTheme="minorEastAsia" w:hAnsi="Arial" w:cs="Arial"/>
          <w:color w:val="000000" w:themeColor="text1"/>
          <w:kern w:val="24"/>
          <w:sz w:val="22"/>
          <w:szCs w:val="22"/>
        </w:rPr>
        <w:t>480</w:t>
      </w:r>
    </w:p>
    <w:p w14:paraId="1FD26426" w14:textId="6558BE13" w:rsidR="009C2FC0" w:rsidRPr="00BC7E3E" w:rsidRDefault="009C2FC0" w:rsidP="00BC7E3E">
      <w:pPr>
        <w:pStyle w:val="ListParagraph"/>
        <w:spacing w:line="360" w:lineRule="auto"/>
        <w:rPr>
          <w:rFonts w:ascii="Arial" w:eastAsiaTheme="minorEastAsia" w:hAnsi="Arial" w:cs="Arial"/>
          <w:color w:val="000000" w:themeColor="text1"/>
          <w:kern w:val="24"/>
          <w:sz w:val="22"/>
          <w:szCs w:val="22"/>
        </w:rPr>
      </w:pPr>
    </w:p>
    <w:p w14:paraId="1CC0C489" w14:textId="552AF9DF" w:rsidR="009C2FC0" w:rsidRPr="00BC7E3E" w:rsidRDefault="009C2FC0" w:rsidP="00BC7E3E">
      <w:pPr>
        <w:pStyle w:val="ListParagraph"/>
        <w:numPr>
          <w:ilvl w:val="0"/>
          <w:numId w:val="2"/>
        </w:numPr>
        <w:spacing w:line="360" w:lineRule="auto"/>
        <w:rPr>
          <w:rFonts w:ascii="Arial" w:hAnsi="Arial" w:cs="Arial"/>
          <w:sz w:val="22"/>
          <w:szCs w:val="22"/>
        </w:rPr>
      </w:pPr>
      <w:r w:rsidRPr="00BC7E3E">
        <w:rPr>
          <w:rFonts w:ascii="Arial" w:eastAsiaTheme="minorEastAsia" w:hAnsi="Arial" w:cs="Arial"/>
          <w:color w:val="000000" w:themeColor="text1"/>
          <w:kern w:val="24"/>
          <w:sz w:val="22"/>
          <w:szCs w:val="22"/>
        </w:rPr>
        <w:t xml:space="preserve">Arnett (2000) was instrumental in highlighting their standpoint in relation to Erikson’s </w:t>
      </w:r>
      <w:r w:rsidRPr="00BC7E3E">
        <w:rPr>
          <w:rFonts w:ascii="Arial" w:eastAsiaTheme="minorEastAsia" w:hAnsi="Arial" w:cs="Arial"/>
          <w:color w:val="000000" w:themeColor="text1"/>
          <w:kern w:val="24"/>
          <w:sz w:val="22"/>
          <w:szCs w:val="22"/>
        </w:rPr>
        <w:t>psychological theory</w:t>
      </w:r>
      <w:r w:rsidRPr="00BC7E3E">
        <w:rPr>
          <w:rFonts w:ascii="Arial" w:eastAsiaTheme="minorEastAsia" w:hAnsi="Arial" w:cs="Arial"/>
          <w:color w:val="000000" w:themeColor="text1"/>
          <w:kern w:val="24"/>
          <w:sz w:val="22"/>
          <w:szCs w:val="22"/>
        </w:rPr>
        <w:t>. One of Erikson’s main focus were to discuss the different stages of development in relation to babies from birth right up until end of life. It was understood that Erikson’s hypothesis main focuses on high school young adolescents age between 12 – 18years old meanwhile Arnett (2000) proposed that development did not only relate to 12 – 18 year olds as Erikson once suggested but instead extended to emerging adulthood identifying years beyond 18 – 25 years old. It is my understanding that Arnett (2000)</w:t>
      </w:r>
      <w:r w:rsidR="00207CA9" w:rsidRPr="00BC7E3E">
        <w:rPr>
          <w:rFonts w:ascii="Arial" w:eastAsiaTheme="minorEastAsia" w:hAnsi="Arial" w:cs="Arial"/>
          <w:color w:val="000000" w:themeColor="text1"/>
          <w:kern w:val="24"/>
          <w:sz w:val="22"/>
          <w:szCs w:val="22"/>
        </w:rPr>
        <w:t xml:space="preserve"> clearly disagreed with Erikson in the age stages and recognised the need for identifying new components. </w:t>
      </w:r>
    </w:p>
    <w:p w14:paraId="558CE403" w14:textId="77777777" w:rsidR="009C2FC0" w:rsidRPr="00BC7E3E" w:rsidRDefault="009C2FC0" w:rsidP="00BC7E3E">
      <w:pPr>
        <w:pStyle w:val="ListParagraph"/>
        <w:spacing w:line="360" w:lineRule="auto"/>
        <w:rPr>
          <w:rFonts w:ascii="Arial" w:hAnsi="Arial" w:cs="Arial"/>
          <w:sz w:val="22"/>
          <w:szCs w:val="22"/>
        </w:rPr>
      </w:pPr>
    </w:p>
    <w:p w14:paraId="5A1DB542" w14:textId="5CF7CACD" w:rsidR="009C2FC0" w:rsidRPr="00BC7E3E" w:rsidRDefault="009C2FC0" w:rsidP="00BC7E3E">
      <w:pPr>
        <w:pStyle w:val="ListParagraph"/>
        <w:numPr>
          <w:ilvl w:val="0"/>
          <w:numId w:val="1"/>
        </w:numPr>
        <w:spacing w:line="360" w:lineRule="auto"/>
        <w:rPr>
          <w:rFonts w:ascii="Arial" w:hAnsi="Arial" w:cs="Arial"/>
          <w:sz w:val="22"/>
          <w:szCs w:val="22"/>
        </w:rPr>
      </w:pPr>
      <w:r w:rsidRPr="00BC7E3E">
        <w:rPr>
          <w:rFonts w:ascii="Arial" w:eastAsiaTheme="minorEastAsia" w:hAnsi="Arial" w:cs="Arial"/>
          <w:color w:val="000000" w:themeColor="text1"/>
          <w:kern w:val="24"/>
          <w:sz w:val="22"/>
          <w:szCs w:val="22"/>
        </w:rPr>
        <w:t>Erikson, E. H. (1968). Identity, youth, and crisis. New York: Norton.</w:t>
      </w:r>
    </w:p>
    <w:p w14:paraId="292C0CAA" w14:textId="44CD4026" w:rsidR="00207CA9" w:rsidRPr="00BC7E3E" w:rsidRDefault="00207CA9" w:rsidP="00BC7E3E">
      <w:pPr>
        <w:spacing w:line="360" w:lineRule="auto"/>
        <w:rPr>
          <w:rFonts w:ascii="Arial" w:hAnsi="Arial" w:cs="Arial"/>
        </w:rPr>
      </w:pPr>
    </w:p>
    <w:p w14:paraId="246D1BBE" w14:textId="77EC48D2" w:rsidR="004B603B" w:rsidRPr="00BC7E3E" w:rsidRDefault="00207CA9" w:rsidP="00BC7E3E">
      <w:pPr>
        <w:pStyle w:val="ListParagraph"/>
        <w:numPr>
          <w:ilvl w:val="0"/>
          <w:numId w:val="2"/>
        </w:numPr>
        <w:spacing w:line="360" w:lineRule="auto"/>
        <w:rPr>
          <w:rFonts w:ascii="Arial" w:hAnsi="Arial" w:cs="Arial"/>
          <w:sz w:val="22"/>
          <w:szCs w:val="22"/>
        </w:rPr>
      </w:pPr>
      <w:r w:rsidRPr="00BC7E3E">
        <w:rPr>
          <w:rFonts w:ascii="Arial" w:hAnsi="Arial" w:cs="Arial"/>
          <w:sz w:val="22"/>
          <w:szCs w:val="22"/>
        </w:rPr>
        <w:t xml:space="preserve">Erikson began to explain what he meant by the term crisis in the sense of speaking from a developmental point of view. It was explained by Erikson that what he meant by the term crisis was not in fact a disaster or something bad happening but in essence explaining the process one must endure in order to become a better person. Erikson (1968) described a ‘crisis’ as the turning point for individuals and considered it critical point in which they see their true potential. What has been taken and understood from this reading is that not every outcome is going to be successful and individual’s may well experience an unsuccessful outcome also nevertheless must continue in order to go through the stages successfully. From Erikson’s identified stages </w:t>
      </w:r>
      <w:r w:rsidR="004B603B" w:rsidRPr="00BC7E3E">
        <w:rPr>
          <w:rFonts w:ascii="Arial" w:hAnsi="Arial" w:cs="Arial"/>
          <w:sz w:val="22"/>
          <w:szCs w:val="22"/>
        </w:rPr>
        <w:t xml:space="preserve">one can experience a range of different psychological stages. Marcia (1993) pointed out that resolution of the earlier psychological stages is thought to be directly affected by the resolution of later stages. It is understood that Erikson appears a very influential philosopher in relation to the culture on development and this is agreed with by Hoare (2002) who proceeded to state that ‘Erikson continues to receive a great deal of credit.’ It is worth noting here that </w:t>
      </w:r>
      <w:r w:rsidR="004B603B" w:rsidRPr="00BC7E3E">
        <w:rPr>
          <w:rFonts w:ascii="Arial" w:eastAsiaTheme="minorEastAsia" w:hAnsi="Arial" w:cs="Arial"/>
          <w:color w:val="000000" w:themeColor="text1"/>
          <w:kern w:val="24"/>
          <w:sz w:val="22"/>
          <w:szCs w:val="22"/>
        </w:rPr>
        <w:t>Sokol, Justin T. (2009)</w:t>
      </w:r>
      <w:r w:rsidR="004B603B" w:rsidRPr="00BC7E3E">
        <w:rPr>
          <w:rFonts w:ascii="Arial" w:eastAsiaTheme="minorEastAsia" w:hAnsi="Arial" w:cs="Arial"/>
          <w:color w:val="000000" w:themeColor="text1"/>
          <w:kern w:val="24"/>
          <w:sz w:val="22"/>
          <w:szCs w:val="22"/>
        </w:rPr>
        <w:t xml:space="preserve"> too is in agreement by proposing that Erikson was the first scholar to exemplify how the social world exists within the psychological make up of those individuals who go through the psychological stages. It is fair to state Erikson (1959) believed that there was no way that an </w:t>
      </w:r>
      <w:r w:rsidR="004B603B" w:rsidRPr="00BC7E3E">
        <w:rPr>
          <w:rFonts w:ascii="Arial" w:eastAsiaTheme="minorEastAsia" w:hAnsi="Arial" w:cs="Arial"/>
          <w:color w:val="000000" w:themeColor="text1"/>
          <w:kern w:val="24"/>
          <w:sz w:val="22"/>
          <w:szCs w:val="22"/>
        </w:rPr>
        <w:lastRenderedPageBreak/>
        <w:t xml:space="preserve">individual could be understood in a way that was a part from his or her social context. </w:t>
      </w:r>
    </w:p>
    <w:p w14:paraId="3EB2A3DD" w14:textId="77777777" w:rsidR="00027553" w:rsidRPr="00BC7E3E" w:rsidRDefault="00027553" w:rsidP="00BC7E3E">
      <w:pPr>
        <w:pStyle w:val="ListParagraph"/>
        <w:spacing w:line="360" w:lineRule="auto"/>
        <w:ind w:left="1080"/>
        <w:rPr>
          <w:rFonts w:ascii="Arial" w:hAnsi="Arial" w:cs="Arial"/>
          <w:sz w:val="22"/>
          <w:szCs w:val="22"/>
        </w:rPr>
      </w:pPr>
    </w:p>
    <w:p w14:paraId="367662A8" w14:textId="77777777" w:rsidR="009C2FC0" w:rsidRPr="00BC7E3E" w:rsidRDefault="009C2FC0" w:rsidP="00BC7E3E">
      <w:pPr>
        <w:pStyle w:val="ListParagraph"/>
        <w:spacing w:line="360" w:lineRule="auto"/>
        <w:rPr>
          <w:rFonts w:ascii="Arial" w:hAnsi="Arial" w:cs="Arial"/>
          <w:sz w:val="22"/>
          <w:szCs w:val="22"/>
        </w:rPr>
      </w:pPr>
    </w:p>
    <w:p w14:paraId="40BF8782" w14:textId="468786CD" w:rsidR="009C2FC0" w:rsidRPr="00BC7E3E" w:rsidRDefault="009C2FC0" w:rsidP="00BC7E3E">
      <w:pPr>
        <w:pStyle w:val="ListParagraph"/>
        <w:numPr>
          <w:ilvl w:val="0"/>
          <w:numId w:val="1"/>
        </w:numPr>
        <w:spacing w:line="360" w:lineRule="auto"/>
        <w:rPr>
          <w:rFonts w:ascii="Arial" w:hAnsi="Arial" w:cs="Arial"/>
          <w:sz w:val="22"/>
          <w:szCs w:val="22"/>
        </w:rPr>
      </w:pPr>
      <w:r w:rsidRPr="00BC7E3E">
        <w:rPr>
          <w:rFonts w:ascii="Arial" w:eastAsiaTheme="minorEastAsia" w:hAnsi="Arial" w:cs="Arial"/>
          <w:color w:val="000000" w:themeColor="text1"/>
          <w:kern w:val="24"/>
          <w:sz w:val="22"/>
          <w:szCs w:val="22"/>
        </w:rPr>
        <w:t>Hoare, C. H. (2002). Erikson on development in adulthood: New insights  from the unpublished papers. New York: Oxford University Press.</w:t>
      </w:r>
    </w:p>
    <w:p w14:paraId="584B33A6" w14:textId="4693BFB7" w:rsidR="004B603B" w:rsidRPr="00BC7E3E" w:rsidRDefault="004B603B" w:rsidP="00BC7E3E">
      <w:pPr>
        <w:spacing w:line="360" w:lineRule="auto"/>
        <w:rPr>
          <w:rFonts w:ascii="Arial" w:hAnsi="Arial" w:cs="Arial"/>
        </w:rPr>
      </w:pPr>
    </w:p>
    <w:p w14:paraId="2D2EB60F" w14:textId="4F5D8704" w:rsidR="004B603B" w:rsidRPr="00BC7E3E" w:rsidRDefault="004B603B" w:rsidP="00BC7E3E">
      <w:pPr>
        <w:pStyle w:val="ListParagraph"/>
        <w:numPr>
          <w:ilvl w:val="0"/>
          <w:numId w:val="2"/>
        </w:numPr>
        <w:spacing w:line="360" w:lineRule="auto"/>
        <w:rPr>
          <w:rFonts w:ascii="Arial" w:hAnsi="Arial" w:cs="Arial"/>
          <w:sz w:val="22"/>
          <w:szCs w:val="22"/>
        </w:rPr>
      </w:pPr>
      <w:r w:rsidRPr="00BC7E3E">
        <w:rPr>
          <w:rFonts w:ascii="Arial" w:hAnsi="Arial" w:cs="Arial"/>
          <w:sz w:val="22"/>
          <w:szCs w:val="22"/>
        </w:rPr>
        <w:t xml:space="preserve">It is made clear that each </w:t>
      </w:r>
      <w:r w:rsidR="008D372A" w:rsidRPr="00BC7E3E">
        <w:rPr>
          <w:rFonts w:ascii="Arial" w:hAnsi="Arial" w:cs="Arial"/>
          <w:sz w:val="22"/>
          <w:szCs w:val="22"/>
        </w:rPr>
        <w:t>theorist</w:t>
      </w:r>
      <w:r w:rsidRPr="00BC7E3E">
        <w:rPr>
          <w:rFonts w:ascii="Arial" w:hAnsi="Arial" w:cs="Arial"/>
          <w:sz w:val="22"/>
          <w:szCs w:val="22"/>
        </w:rPr>
        <w:t xml:space="preserve"> view’s differ. Hoare (2002) </w:t>
      </w:r>
      <w:r w:rsidR="00F450E3" w:rsidRPr="00BC7E3E">
        <w:rPr>
          <w:rFonts w:ascii="Arial" w:hAnsi="Arial" w:cs="Arial"/>
          <w:sz w:val="22"/>
          <w:szCs w:val="22"/>
        </w:rPr>
        <w:t xml:space="preserve">identified that Erikson’s view pertaining to identity development suggested that it doesn’t end with its formation. Though Hoare (2002) was of the interpretation that identity development is not only a normative period of adolescence but is also an evolving aspect of adulthood. </w:t>
      </w:r>
      <w:r w:rsidR="000440CB" w:rsidRPr="00BC7E3E">
        <w:rPr>
          <w:rFonts w:ascii="Arial" w:hAnsi="Arial" w:cs="Arial"/>
          <w:sz w:val="22"/>
          <w:szCs w:val="22"/>
        </w:rPr>
        <w:t xml:space="preserve">Hoare (2002) too made mention to the fact that Erikson’s terminology in regards to the use of identity related terms was abstruse as he used all these words without providing a great deal of explanation. According to Hoare (2002) this allowed others to criticise the ambiguity in relation to his style of writing.  </w:t>
      </w:r>
    </w:p>
    <w:p w14:paraId="1665701A" w14:textId="77777777" w:rsidR="00F450E3" w:rsidRPr="00BC7E3E" w:rsidRDefault="00F450E3" w:rsidP="00BC7E3E">
      <w:pPr>
        <w:pStyle w:val="ListParagraph"/>
        <w:spacing w:line="360" w:lineRule="auto"/>
        <w:ind w:left="1080"/>
        <w:rPr>
          <w:rFonts w:ascii="Arial" w:hAnsi="Arial" w:cs="Arial"/>
          <w:sz w:val="22"/>
          <w:szCs w:val="22"/>
        </w:rPr>
      </w:pPr>
    </w:p>
    <w:p w14:paraId="73B967A5" w14:textId="77777777" w:rsidR="00F450E3" w:rsidRPr="00BC7E3E" w:rsidRDefault="00F450E3" w:rsidP="00BC7E3E">
      <w:pPr>
        <w:pStyle w:val="ListParagraph"/>
        <w:spacing w:line="360" w:lineRule="auto"/>
        <w:rPr>
          <w:rFonts w:ascii="Arial" w:hAnsi="Arial" w:cs="Arial"/>
          <w:sz w:val="22"/>
          <w:szCs w:val="22"/>
        </w:rPr>
      </w:pPr>
    </w:p>
    <w:p w14:paraId="0EBE5A99" w14:textId="2ACA2119" w:rsidR="009C2FC0" w:rsidRPr="00BC7E3E" w:rsidRDefault="009C2FC0" w:rsidP="00BC7E3E">
      <w:pPr>
        <w:pStyle w:val="ListParagraph"/>
        <w:numPr>
          <w:ilvl w:val="0"/>
          <w:numId w:val="1"/>
        </w:numPr>
        <w:spacing w:line="360" w:lineRule="auto"/>
        <w:rPr>
          <w:rFonts w:ascii="Arial" w:hAnsi="Arial" w:cs="Arial"/>
          <w:sz w:val="22"/>
          <w:szCs w:val="22"/>
        </w:rPr>
      </w:pPr>
      <w:r w:rsidRPr="00BC7E3E">
        <w:rPr>
          <w:rFonts w:ascii="Arial" w:eastAsiaTheme="minorEastAsia" w:hAnsi="Arial" w:cs="Arial"/>
          <w:color w:val="000000" w:themeColor="text1"/>
          <w:kern w:val="24"/>
          <w:sz w:val="22"/>
          <w:szCs w:val="22"/>
        </w:rPr>
        <w:t>Kroger, J. (2007). Identity development: Adolescence through adulthood. Thousand Oaks, CA:  SAGE Publications.</w:t>
      </w:r>
    </w:p>
    <w:p w14:paraId="2764952C" w14:textId="2ACDAC3C" w:rsidR="00F450E3" w:rsidRPr="00BC7E3E" w:rsidRDefault="00F450E3" w:rsidP="00BC7E3E">
      <w:pPr>
        <w:spacing w:line="360" w:lineRule="auto"/>
        <w:rPr>
          <w:rFonts w:ascii="Arial" w:hAnsi="Arial" w:cs="Arial"/>
        </w:rPr>
      </w:pPr>
    </w:p>
    <w:p w14:paraId="763B37C1" w14:textId="0C385E42" w:rsidR="009C2FC0" w:rsidRPr="00BC7E3E" w:rsidRDefault="00F450E3" w:rsidP="00BC7E3E">
      <w:pPr>
        <w:pStyle w:val="ListParagraph"/>
        <w:numPr>
          <w:ilvl w:val="0"/>
          <w:numId w:val="2"/>
        </w:numPr>
        <w:spacing w:line="360" w:lineRule="auto"/>
        <w:rPr>
          <w:rFonts w:ascii="Arial" w:hAnsi="Arial" w:cs="Arial"/>
          <w:sz w:val="22"/>
          <w:szCs w:val="22"/>
        </w:rPr>
      </w:pPr>
      <w:r w:rsidRPr="00BC7E3E">
        <w:rPr>
          <w:rFonts w:ascii="Arial" w:hAnsi="Arial" w:cs="Arial"/>
          <w:sz w:val="22"/>
          <w:szCs w:val="22"/>
        </w:rPr>
        <w:t xml:space="preserve">In relation to the above point regarding Erikson’s stance on identity development, Erikson viewed is as an ongoing process which seeked to capture an individual’s investments throughout their long years of adulthood. Meanwhile, on the other hand, Kroger (2007) suggested that though Erikson produced extensive pieces of work on the adolescent formation process, it lacked substance and did not offer detailed comments or explanations in regards to identity evolution throughout ones adult life. </w:t>
      </w:r>
      <w:r w:rsidR="00512E0F" w:rsidRPr="00BC7E3E">
        <w:rPr>
          <w:rFonts w:ascii="Arial" w:hAnsi="Arial" w:cs="Arial"/>
          <w:sz w:val="22"/>
          <w:szCs w:val="22"/>
        </w:rPr>
        <w:t>Erikson (1968) states that the primary psy</w:t>
      </w:r>
      <w:r w:rsidR="005877DF" w:rsidRPr="00BC7E3E">
        <w:rPr>
          <w:rFonts w:ascii="Arial" w:hAnsi="Arial" w:cs="Arial"/>
          <w:sz w:val="22"/>
          <w:szCs w:val="22"/>
        </w:rPr>
        <w:t>chosocial task of adolescence is undoubtedly the formation of identity and</w:t>
      </w:r>
      <w:r w:rsidR="00514F85" w:rsidRPr="00BC7E3E">
        <w:rPr>
          <w:rFonts w:ascii="Arial" w:hAnsi="Arial" w:cs="Arial"/>
          <w:sz w:val="22"/>
          <w:szCs w:val="22"/>
        </w:rPr>
        <w:t xml:space="preserve"> refers to this stage as identity vs role confusion. While, </w:t>
      </w:r>
      <w:r w:rsidR="00E06395" w:rsidRPr="00BC7E3E">
        <w:rPr>
          <w:rFonts w:ascii="Arial" w:hAnsi="Arial" w:cs="Arial"/>
          <w:sz w:val="22"/>
          <w:szCs w:val="22"/>
        </w:rPr>
        <w:t>Kroger</w:t>
      </w:r>
      <w:r w:rsidR="009569B3" w:rsidRPr="00BC7E3E">
        <w:rPr>
          <w:rFonts w:ascii="Arial" w:hAnsi="Arial" w:cs="Arial"/>
          <w:sz w:val="22"/>
          <w:szCs w:val="22"/>
        </w:rPr>
        <w:t xml:space="preserve"> (2004)</w:t>
      </w:r>
      <w:r w:rsidR="00E06395" w:rsidRPr="00BC7E3E">
        <w:rPr>
          <w:rFonts w:ascii="Arial" w:hAnsi="Arial" w:cs="Arial"/>
          <w:sz w:val="22"/>
          <w:szCs w:val="22"/>
        </w:rPr>
        <w:t xml:space="preserve"> is of the opinion that as individuals go through the different psychological stages </w:t>
      </w:r>
      <w:r w:rsidR="00937A48" w:rsidRPr="00BC7E3E">
        <w:rPr>
          <w:rFonts w:ascii="Arial" w:hAnsi="Arial" w:cs="Arial"/>
          <w:sz w:val="22"/>
          <w:szCs w:val="22"/>
        </w:rPr>
        <w:t xml:space="preserve">during adolescence the onset of puberty leads to new found cognitive skills </w:t>
      </w:r>
      <w:r w:rsidR="009569B3" w:rsidRPr="00BC7E3E">
        <w:rPr>
          <w:rFonts w:ascii="Arial" w:hAnsi="Arial" w:cs="Arial"/>
          <w:sz w:val="22"/>
          <w:szCs w:val="22"/>
        </w:rPr>
        <w:t xml:space="preserve">along with physical abilities. </w:t>
      </w:r>
    </w:p>
    <w:p w14:paraId="45194A11" w14:textId="77777777" w:rsidR="009C2FC0" w:rsidRPr="00BC7E3E" w:rsidRDefault="009C2FC0" w:rsidP="00BC7E3E">
      <w:pPr>
        <w:pStyle w:val="ListParagraph"/>
        <w:spacing w:line="360" w:lineRule="auto"/>
        <w:rPr>
          <w:rFonts w:ascii="Arial" w:hAnsi="Arial" w:cs="Arial"/>
          <w:sz w:val="22"/>
          <w:szCs w:val="22"/>
        </w:rPr>
      </w:pPr>
    </w:p>
    <w:p w14:paraId="37A6674A" w14:textId="3EFBC2F9" w:rsidR="009C2FC0" w:rsidRPr="00BC7E3E" w:rsidRDefault="009C2FC0" w:rsidP="00BC7E3E">
      <w:pPr>
        <w:pStyle w:val="ListParagraph"/>
        <w:numPr>
          <w:ilvl w:val="0"/>
          <w:numId w:val="1"/>
        </w:numPr>
        <w:spacing w:line="360" w:lineRule="auto"/>
        <w:rPr>
          <w:rFonts w:ascii="Arial" w:hAnsi="Arial" w:cs="Arial"/>
          <w:sz w:val="22"/>
          <w:szCs w:val="22"/>
        </w:rPr>
      </w:pPr>
      <w:r w:rsidRPr="00BC7E3E">
        <w:rPr>
          <w:rFonts w:ascii="Arial" w:eastAsiaTheme="minorEastAsia" w:hAnsi="Arial" w:cs="Arial"/>
          <w:color w:val="000000" w:themeColor="text1"/>
          <w:kern w:val="24"/>
          <w:sz w:val="22"/>
          <w:szCs w:val="22"/>
        </w:rPr>
        <w:t xml:space="preserve">Sokol, Justin T. (2009) "Identity Development Throughout the Lifetime: An Examination of Eriksonian Theory," Graduate Journal of Counselling Psychology: </w:t>
      </w:r>
      <w:r w:rsidRPr="00BC7E3E">
        <w:rPr>
          <w:rFonts w:ascii="Arial" w:eastAsiaTheme="minorEastAsia" w:hAnsi="Arial" w:cs="Arial"/>
          <w:color w:val="000000" w:themeColor="text1"/>
          <w:kern w:val="24"/>
          <w:sz w:val="22"/>
          <w:szCs w:val="22"/>
        </w:rPr>
        <w:lastRenderedPageBreak/>
        <w:t xml:space="preserve">Vol. 1: Iss. 2, Article 14. Available at: </w:t>
      </w:r>
      <w:hyperlink r:id="rId5" w:history="1">
        <w:r w:rsidR="004538E7" w:rsidRPr="00BC7E3E">
          <w:rPr>
            <w:rStyle w:val="Hyperlink"/>
            <w:rFonts w:ascii="Arial" w:eastAsiaTheme="minorEastAsia" w:hAnsi="Arial" w:cs="Arial"/>
            <w:kern w:val="24"/>
            <w:sz w:val="22"/>
            <w:szCs w:val="22"/>
          </w:rPr>
          <w:t>http://epublications.marquette.edu/gjcp/vol1/iss2/14</w:t>
        </w:r>
      </w:hyperlink>
      <w:r w:rsidRPr="00BC7E3E">
        <w:rPr>
          <w:rFonts w:ascii="Arial" w:eastAsiaTheme="minorEastAsia" w:hAnsi="Arial" w:cs="Arial"/>
          <w:color w:val="000000" w:themeColor="text1"/>
          <w:kern w:val="24"/>
          <w:sz w:val="22"/>
          <w:szCs w:val="22"/>
        </w:rPr>
        <w:t xml:space="preserve"> </w:t>
      </w:r>
    </w:p>
    <w:p w14:paraId="54050AC9" w14:textId="2924DF5E" w:rsidR="004538E7" w:rsidRPr="00BC7E3E" w:rsidRDefault="004538E7" w:rsidP="00BC7E3E">
      <w:pPr>
        <w:spacing w:line="360" w:lineRule="auto"/>
        <w:rPr>
          <w:rFonts w:ascii="Arial" w:hAnsi="Arial" w:cs="Arial"/>
        </w:rPr>
      </w:pPr>
    </w:p>
    <w:p w14:paraId="0699EB59" w14:textId="06F432E3" w:rsidR="004538E7" w:rsidRPr="00BC7E3E" w:rsidRDefault="004538E7" w:rsidP="00BC7E3E">
      <w:pPr>
        <w:pStyle w:val="ListParagraph"/>
        <w:numPr>
          <w:ilvl w:val="0"/>
          <w:numId w:val="2"/>
        </w:numPr>
        <w:spacing w:line="360" w:lineRule="auto"/>
        <w:rPr>
          <w:rFonts w:ascii="Arial" w:hAnsi="Arial" w:cs="Arial"/>
          <w:sz w:val="22"/>
          <w:szCs w:val="22"/>
        </w:rPr>
      </w:pPr>
      <w:r w:rsidRPr="00BC7E3E">
        <w:rPr>
          <w:rFonts w:ascii="Arial" w:hAnsi="Arial" w:cs="Arial"/>
          <w:sz w:val="22"/>
          <w:szCs w:val="22"/>
        </w:rPr>
        <w:t xml:space="preserve">Sokol </w:t>
      </w:r>
      <w:r w:rsidR="001A1CD1" w:rsidRPr="00BC7E3E">
        <w:rPr>
          <w:rFonts w:ascii="Arial" w:hAnsi="Arial" w:cs="Arial"/>
          <w:sz w:val="22"/>
          <w:szCs w:val="22"/>
        </w:rPr>
        <w:t xml:space="preserve">(2009) </w:t>
      </w:r>
      <w:r w:rsidRPr="00BC7E3E">
        <w:rPr>
          <w:rFonts w:ascii="Arial" w:hAnsi="Arial" w:cs="Arial"/>
          <w:sz w:val="22"/>
          <w:szCs w:val="22"/>
        </w:rPr>
        <w:t>was responsible for putting together the Identity Development Throughout the Lifetime</w:t>
      </w:r>
      <w:r w:rsidR="00647FF5" w:rsidRPr="00BC7E3E">
        <w:rPr>
          <w:rFonts w:ascii="Arial" w:hAnsi="Arial" w:cs="Arial"/>
          <w:sz w:val="22"/>
          <w:szCs w:val="22"/>
        </w:rPr>
        <w:t xml:space="preserve"> Journal. Sokol seeked to </w:t>
      </w:r>
      <w:r w:rsidR="002355F1" w:rsidRPr="00BC7E3E">
        <w:rPr>
          <w:rFonts w:ascii="Arial" w:hAnsi="Arial" w:cs="Arial"/>
          <w:sz w:val="22"/>
          <w:szCs w:val="22"/>
        </w:rPr>
        <w:t>produce</w:t>
      </w:r>
      <w:r w:rsidR="00647FF5" w:rsidRPr="00BC7E3E">
        <w:rPr>
          <w:rFonts w:ascii="Arial" w:hAnsi="Arial" w:cs="Arial"/>
          <w:sz w:val="22"/>
          <w:szCs w:val="22"/>
        </w:rPr>
        <w:t xml:space="preserve"> an examination of Eriksonian Theory</w:t>
      </w:r>
      <w:r w:rsidR="00337352" w:rsidRPr="00BC7E3E">
        <w:rPr>
          <w:rFonts w:ascii="Arial" w:hAnsi="Arial" w:cs="Arial"/>
          <w:sz w:val="22"/>
          <w:szCs w:val="22"/>
        </w:rPr>
        <w:t xml:space="preserve">. Through this Journal Sokol was able to provide a valid argument with various theorists formulating arguments for and against </w:t>
      </w:r>
      <w:r w:rsidR="004159A9" w:rsidRPr="00BC7E3E">
        <w:rPr>
          <w:rFonts w:ascii="Arial" w:hAnsi="Arial" w:cs="Arial"/>
          <w:sz w:val="22"/>
          <w:szCs w:val="22"/>
        </w:rPr>
        <w:t xml:space="preserve">Erikson’s notion of </w:t>
      </w:r>
      <w:r w:rsidR="002355F1" w:rsidRPr="00BC7E3E">
        <w:rPr>
          <w:rFonts w:ascii="Arial" w:hAnsi="Arial" w:cs="Arial"/>
          <w:sz w:val="22"/>
          <w:szCs w:val="22"/>
        </w:rPr>
        <w:t xml:space="preserve">psychosocial life span theory. By engaging in this </w:t>
      </w:r>
      <w:r w:rsidR="001A1CD1" w:rsidRPr="00BC7E3E">
        <w:rPr>
          <w:rFonts w:ascii="Arial" w:hAnsi="Arial" w:cs="Arial"/>
          <w:sz w:val="22"/>
          <w:szCs w:val="22"/>
        </w:rPr>
        <w:t>reading,</w:t>
      </w:r>
      <w:r w:rsidR="00715E0C" w:rsidRPr="00BC7E3E">
        <w:rPr>
          <w:rFonts w:ascii="Arial" w:hAnsi="Arial" w:cs="Arial"/>
          <w:sz w:val="22"/>
          <w:szCs w:val="22"/>
        </w:rPr>
        <w:t xml:space="preserve"> it allow</w:t>
      </w:r>
      <w:r w:rsidR="00B2635E" w:rsidRPr="00BC7E3E">
        <w:rPr>
          <w:rFonts w:ascii="Arial" w:hAnsi="Arial" w:cs="Arial"/>
          <w:sz w:val="22"/>
          <w:szCs w:val="22"/>
        </w:rPr>
        <w:t>ed</w:t>
      </w:r>
      <w:r w:rsidR="00715E0C" w:rsidRPr="00BC7E3E">
        <w:rPr>
          <w:rFonts w:ascii="Arial" w:hAnsi="Arial" w:cs="Arial"/>
          <w:sz w:val="22"/>
          <w:szCs w:val="22"/>
        </w:rPr>
        <w:t xml:space="preserve"> room for understanding of the different theoretical aspect</w:t>
      </w:r>
      <w:r w:rsidR="00B2635E" w:rsidRPr="00BC7E3E">
        <w:rPr>
          <w:rFonts w:ascii="Arial" w:hAnsi="Arial" w:cs="Arial"/>
          <w:sz w:val="22"/>
          <w:szCs w:val="22"/>
        </w:rPr>
        <w:t>s of philosophers. It also broke down each person</w:t>
      </w:r>
      <w:r w:rsidR="001A1CD1" w:rsidRPr="00BC7E3E">
        <w:rPr>
          <w:rFonts w:ascii="Arial" w:hAnsi="Arial" w:cs="Arial"/>
          <w:sz w:val="22"/>
          <w:szCs w:val="22"/>
        </w:rPr>
        <w:t>’</w:t>
      </w:r>
      <w:r w:rsidR="00B2635E" w:rsidRPr="00BC7E3E">
        <w:rPr>
          <w:rFonts w:ascii="Arial" w:hAnsi="Arial" w:cs="Arial"/>
          <w:sz w:val="22"/>
          <w:szCs w:val="22"/>
        </w:rPr>
        <w:t xml:space="preserve">s views and allows me to understand the arguments in more depth along with the pros and </w:t>
      </w:r>
      <w:r w:rsidR="001A1CD1" w:rsidRPr="00BC7E3E">
        <w:rPr>
          <w:rFonts w:ascii="Arial" w:hAnsi="Arial" w:cs="Arial"/>
          <w:sz w:val="22"/>
          <w:szCs w:val="22"/>
        </w:rPr>
        <w:t>cons</w:t>
      </w:r>
      <w:r w:rsidR="00B2635E" w:rsidRPr="00BC7E3E">
        <w:rPr>
          <w:rFonts w:ascii="Arial" w:hAnsi="Arial" w:cs="Arial"/>
          <w:sz w:val="22"/>
          <w:szCs w:val="22"/>
        </w:rPr>
        <w:t xml:space="preserve"> of Erikson’s viewpoints. </w:t>
      </w:r>
      <w:r w:rsidR="001A1CD1" w:rsidRPr="00BC7E3E">
        <w:rPr>
          <w:rFonts w:ascii="Arial" w:hAnsi="Arial" w:cs="Arial"/>
          <w:sz w:val="22"/>
          <w:szCs w:val="22"/>
        </w:rPr>
        <w:t>Sokol</w:t>
      </w:r>
      <w:r w:rsidR="005D2539" w:rsidRPr="00BC7E3E">
        <w:rPr>
          <w:rFonts w:ascii="Arial" w:hAnsi="Arial" w:cs="Arial"/>
          <w:sz w:val="22"/>
          <w:szCs w:val="22"/>
        </w:rPr>
        <w:t>’s</w:t>
      </w:r>
      <w:r w:rsidR="001A1CD1" w:rsidRPr="00BC7E3E">
        <w:rPr>
          <w:rFonts w:ascii="Arial" w:hAnsi="Arial" w:cs="Arial"/>
          <w:sz w:val="22"/>
          <w:szCs w:val="22"/>
        </w:rPr>
        <w:t xml:space="preserve"> (2009) </w:t>
      </w:r>
      <w:r w:rsidR="0039341B" w:rsidRPr="00BC7E3E">
        <w:rPr>
          <w:rFonts w:ascii="Arial" w:hAnsi="Arial" w:cs="Arial"/>
          <w:sz w:val="22"/>
          <w:szCs w:val="22"/>
        </w:rPr>
        <w:t xml:space="preserve">article indisputably revised </w:t>
      </w:r>
      <w:r w:rsidR="00586F7B" w:rsidRPr="00BC7E3E">
        <w:rPr>
          <w:rFonts w:ascii="Arial" w:hAnsi="Arial" w:cs="Arial"/>
          <w:sz w:val="22"/>
          <w:szCs w:val="22"/>
        </w:rPr>
        <w:t xml:space="preserve">identity development in regards to the life span. </w:t>
      </w:r>
      <w:r w:rsidR="00AC72BF" w:rsidRPr="00BC7E3E">
        <w:rPr>
          <w:rFonts w:ascii="Arial" w:hAnsi="Arial" w:cs="Arial"/>
          <w:sz w:val="22"/>
          <w:szCs w:val="22"/>
        </w:rPr>
        <w:t xml:space="preserve">Sokol (2009) successfully reviewed the innumerable development stages which allowed me to understand </w:t>
      </w:r>
      <w:r w:rsidR="00D158E0" w:rsidRPr="00BC7E3E">
        <w:rPr>
          <w:rFonts w:ascii="Arial" w:hAnsi="Arial" w:cs="Arial"/>
          <w:sz w:val="22"/>
          <w:szCs w:val="22"/>
        </w:rPr>
        <w:t>the stages identified by Erikson. By Sokol’s (2009)</w:t>
      </w:r>
      <w:r w:rsidR="00027553" w:rsidRPr="00BC7E3E">
        <w:rPr>
          <w:rFonts w:ascii="Arial" w:hAnsi="Arial" w:cs="Arial"/>
          <w:sz w:val="22"/>
          <w:szCs w:val="22"/>
        </w:rPr>
        <w:t xml:space="preserve"> </w:t>
      </w:r>
      <w:r w:rsidR="00D158E0" w:rsidRPr="00BC7E3E">
        <w:rPr>
          <w:rFonts w:ascii="Arial" w:hAnsi="Arial" w:cs="Arial"/>
          <w:sz w:val="22"/>
          <w:szCs w:val="22"/>
        </w:rPr>
        <w:t xml:space="preserve">successful review it enabled the article to delve into discussion which created room for further understanding. </w:t>
      </w:r>
    </w:p>
    <w:p w14:paraId="6150E72F" w14:textId="77777777" w:rsidR="00027553" w:rsidRPr="00BC7E3E" w:rsidRDefault="00027553" w:rsidP="00BC7E3E">
      <w:pPr>
        <w:spacing w:line="360" w:lineRule="auto"/>
        <w:rPr>
          <w:rFonts w:ascii="Arial" w:hAnsi="Arial" w:cs="Arial"/>
        </w:rPr>
      </w:pPr>
    </w:p>
    <w:p w14:paraId="60E5AF96" w14:textId="770E5B29" w:rsidR="00AF5F5A" w:rsidRPr="00BC7E3E" w:rsidRDefault="00AF5F5A" w:rsidP="00BC7E3E">
      <w:pPr>
        <w:spacing w:line="360" w:lineRule="auto"/>
        <w:rPr>
          <w:rFonts w:ascii="Arial" w:hAnsi="Arial" w:cs="Arial"/>
        </w:rPr>
      </w:pPr>
    </w:p>
    <w:p w14:paraId="05D55535" w14:textId="3EB00DCD" w:rsidR="009C2FC0" w:rsidRPr="00BC7E3E" w:rsidRDefault="009C2FC0" w:rsidP="00BC7E3E">
      <w:pPr>
        <w:pStyle w:val="ListParagraph"/>
        <w:numPr>
          <w:ilvl w:val="0"/>
          <w:numId w:val="1"/>
        </w:numPr>
        <w:spacing w:line="360" w:lineRule="auto"/>
        <w:rPr>
          <w:rFonts w:ascii="Arial" w:hAnsi="Arial" w:cs="Arial"/>
          <w:sz w:val="22"/>
          <w:szCs w:val="22"/>
        </w:rPr>
      </w:pPr>
      <w:r w:rsidRPr="00BC7E3E">
        <w:rPr>
          <w:rFonts w:ascii="Arial" w:eastAsiaTheme="minorEastAsia" w:hAnsi="Arial" w:cs="Arial"/>
          <w:color w:val="000000" w:themeColor="text1"/>
          <w:kern w:val="24"/>
          <w:sz w:val="22"/>
          <w:szCs w:val="22"/>
        </w:rPr>
        <w:t>Waterman, A. S. (1993). Developmental perspectives on identity formation. In J. E. Marcia, A. S. Waterman, D. R. Matteson, S. L.  Archer, &amp; J. L. Orlofsky (Eds.), Ego identity: A handbook for psychosocial research (pp. 42</w:t>
      </w:r>
      <w:r w:rsidRPr="00BC7E3E">
        <w:rPr>
          <w:rFonts w:ascii="Cambria Math" w:eastAsiaTheme="minorEastAsia" w:hAnsi="Cambria Math" w:cs="Cambria Math"/>
          <w:color w:val="000000" w:themeColor="text1"/>
          <w:kern w:val="24"/>
          <w:sz w:val="22"/>
          <w:szCs w:val="22"/>
        </w:rPr>
        <w:t>‐</w:t>
      </w:r>
      <w:r w:rsidRPr="00BC7E3E">
        <w:rPr>
          <w:rFonts w:ascii="Arial" w:eastAsiaTheme="minorEastAsia" w:hAnsi="Arial" w:cs="Arial"/>
          <w:color w:val="000000" w:themeColor="text1"/>
          <w:kern w:val="24"/>
          <w:sz w:val="22"/>
          <w:szCs w:val="22"/>
        </w:rPr>
        <w:t>68). New York: Springer</w:t>
      </w:r>
      <w:r w:rsidRPr="00BC7E3E">
        <w:rPr>
          <w:rFonts w:ascii="Cambria Math" w:eastAsiaTheme="minorEastAsia" w:hAnsi="Cambria Math" w:cs="Cambria Math"/>
          <w:color w:val="000000" w:themeColor="text1"/>
          <w:kern w:val="24"/>
          <w:sz w:val="22"/>
          <w:szCs w:val="22"/>
        </w:rPr>
        <w:t>‐</w:t>
      </w:r>
      <w:r w:rsidRPr="00BC7E3E">
        <w:rPr>
          <w:rFonts w:ascii="Arial" w:eastAsiaTheme="minorEastAsia" w:hAnsi="Arial" w:cs="Arial"/>
          <w:color w:val="000000" w:themeColor="text1"/>
          <w:kern w:val="24"/>
          <w:sz w:val="22"/>
          <w:szCs w:val="22"/>
        </w:rPr>
        <w:t>Verlag.</w:t>
      </w:r>
    </w:p>
    <w:p w14:paraId="38F2B6D7" w14:textId="7BE39555" w:rsidR="000F541E" w:rsidRPr="00BC7E3E" w:rsidRDefault="000F541E" w:rsidP="00BC7E3E">
      <w:pPr>
        <w:spacing w:line="360" w:lineRule="auto"/>
        <w:rPr>
          <w:rFonts w:ascii="Arial" w:hAnsi="Arial" w:cs="Arial"/>
        </w:rPr>
      </w:pPr>
    </w:p>
    <w:p w14:paraId="64E4E592" w14:textId="040B8667" w:rsidR="000F541E" w:rsidRPr="00BC7E3E" w:rsidRDefault="000F541E" w:rsidP="00BC7E3E">
      <w:pPr>
        <w:pStyle w:val="ListParagraph"/>
        <w:numPr>
          <w:ilvl w:val="0"/>
          <w:numId w:val="2"/>
        </w:numPr>
        <w:spacing w:line="360" w:lineRule="auto"/>
        <w:rPr>
          <w:rFonts w:ascii="Arial" w:hAnsi="Arial" w:cs="Arial"/>
          <w:sz w:val="22"/>
          <w:szCs w:val="22"/>
        </w:rPr>
      </w:pPr>
      <w:r w:rsidRPr="00BC7E3E">
        <w:rPr>
          <w:rFonts w:ascii="Arial" w:hAnsi="Arial" w:cs="Arial"/>
          <w:sz w:val="22"/>
          <w:szCs w:val="22"/>
        </w:rPr>
        <w:t xml:space="preserve">Waterman (1993) argued that </w:t>
      </w:r>
      <w:r w:rsidR="007012D7" w:rsidRPr="00BC7E3E">
        <w:rPr>
          <w:rFonts w:ascii="Arial" w:hAnsi="Arial" w:cs="Arial"/>
          <w:sz w:val="22"/>
          <w:szCs w:val="22"/>
        </w:rPr>
        <w:t xml:space="preserve">the era in which Erikson wrote was in a period whereby </w:t>
      </w:r>
      <w:r w:rsidR="00B8078E" w:rsidRPr="00BC7E3E">
        <w:rPr>
          <w:rFonts w:ascii="Arial" w:hAnsi="Arial" w:cs="Arial"/>
          <w:sz w:val="22"/>
          <w:szCs w:val="22"/>
        </w:rPr>
        <w:t>attending college and further education appeared less common</w:t>
      </w:r>
      <w:r w:rsidR="00A46F51" w:rsidRPr="00BC7E3E">
        <w:rPr>
          <w:rFonts w:ascii="Arial" w:hAnsi="Arial" w:cs="Arial"/>
          <w:sz w:val="22"/>
          <w:szCs w:val="22"/>
        </w:rPr>
        <w:t xml:space="preserve">. Nonetheless, </w:t>
      </w:r>
      <w:r w:rsidR="005C4A9E" w:rsidRPr="00BC7E3E">
        <w:rPr>
          <w:rFonts w:ascii="Arial" w:hAnsi="Arial" w:cs="Arial"/>
          <w:sz w:val="22"/>
          <w:szCs w:val="22"/>
        </w:rPr>
        <w:t xml:space="preserve">when Erikson devised the developmental stages, </w:t>
      </w:r>
      <w:r w:rsidR="001A0747" w:rsidRPr="00BC7E3E">
        <w:rPr>
          <w:rFonts w:ascii="Arial" w:hAnsi="Arial" w:cs="Arial"/>
          <w:sz w:val="22"/>
          <w:szCs w:val="22"/>
        </w:rPr>
        <w:t xml:space="preserve">it was identified by Waterman (1993) that he never did define a range of chronological ages for adolescence </w:t>
      </w:r>
      <w:r w:rsidR="00144028" w:rsidRPr="00BC7E3E">
        <w:rPr>
          <w:rFonts w:ascii="Arial" w:hAnsi="Arial" w:cs="Arial"/>
          <w:sz w:val="22"/>
          <w:szCs w:val="22"/>
        </w:rPr>
        <w:t xml:space="preserve">or for any other periods of life such as childhood to adulthood. </w:t>
      </w:r>
      <w:r w:rsidR="002544E0" w:rsidRPr="00BC7E3E">
        <w:rPr>
          <w:rFonts w:ascii="Arial" w:hAnsi="Arial" w:cs="Arial"/>
          <w:sz w:val="22"/>
          <w:szCs w:val="22"/>
        </w:rPr>
        <w:t xml:space="preserve">Waterman (1993) expressed concerns that </w:t>
      </w:r>
      <w:r w:rsidR="001512F9" w:rsidRPr="00BC7E3E">
        <w:rPr>
          <w:rFonts w:ascii="Arial" w:hAnsi="Arial" w:cs="Arial"/>
          <w:sz w:val="22"/>
          <w:szCs w:val="22"/>
        </w:rPr>
        <w:t xml:space="preserve">due to the lack of clarity this could pose direct implications due to the amount of emphasis Erikson places on vocational identity. It is my understanding that Erikson wasn’t always clear on </w:t>
      </w:r>
      <w:r w:rsidR="00EC0F39" w:rsidRPr="00BC7E3E">
        <w:rPr>
          <w:rFonts w:ascii="Arial" w:hAnsi="Arial" w:cs="Arial"/>
          <w:sz w:val="22"/>
          <w:szCs w:val="22"/>
        </w:rPr>
        <w:t xml:space="preserve">the information he presented and could perhaps create some confusion however, other theorists came together to </w:t>
      </w:r>
      <w:r w:rsidR="00027553" w:rsidRPr="00BC7E3E">
        <w:rPr>
          <w:rFonts w:ascii="Arial" w:hAnsi="Arial" w:cs="Arial"/>
          <w:sz w:val="22"/>
          <w:szCs w:val="22"/>
        </w:rPr>
        <w:t xml:space="preserve">identify the flaws which then created more lucidity. </w:t>
      </w:r>
    </w:p>
    <w:p w14:paraId="72394199" w14:textId="06119B91" w:rsidR="000F541E" w:rsidRDefault="000F541E" w:rsidP="000F541E">
      <w:pPr>
        <w:rPr>
          <w:rFonts w:ascii="Arial" w:hAnsi="Arial" w:cs="Arial"/>
        </w:rPr>
      </w:pPr>
    </w:p>
    <w:p w14:paraId="2334D2E8" w14:textId="3C8BE32D" w:rsidR="009C2FC0" w:rsidRDefault="009C2FC0"/>
    <w:p w14:paraId="5D970778" w14:textId="77777777" w:rsidR="009C2FC0" w:rsidRDefault="009C2FC0"/>
    <w:sectPr w:rsidR="009C2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100F9F"/>
    <w:multiLevelType w:val="hybridMultilevel"/>
    <w:tmpl w:val="B266848C"/>
    <w:lvl w:ilvl="0" w:tplc="86FCDAFC">
      <w:numFmt w:val="bullet"/>
      <w:lvlText w:val="-"/>
      <w:lvlJc w:val="left"/>
      <w:pPr>
        <w:ind w:left="1080" w:hanging="360"/>
      </w:pPr>
      <w:rPr>
        <w:rFonts w:ascii="Arial" w:eastAsiaTheme="minorEastAsia" w:hAnsi="Arial" w:cs="Arial"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FF9394E"/>
    <w:multiLevelType w:val="hybridMultilevel"/>
    <w:tmpl w:val="45843A2C"/>
    <w:lvl w:ilvl="0" w:tplc="0EE496E6">
      <w:start w:val="1"/>
      <w:numFmt w:val="bullet"/>
      <w:lvlText w:val=""/>
      <w:lvlJc w:val="left"/>
      <w:pPr>
        <w:tabs>
          <w:tab w:val="num" w:pos="720"/>
        </w:tabs>
        <w:ind w:left="720" w:hanging="360"/>
      </w:pPr>
      <w:rPr>
        <w:rFonts w:ascii="Wingdings" w:hAnsi="Wingdings" w:hint="default"/>
      </w:rPr>
    </w:lvl>
    <w:lvl w:ilvl="1" w:tplc="8826A6EC" w:tentative="1">
      <w:start w:val="1"/>
      <w:numFmt w:val="bullet"/>
      <w:lvlText w:val=""/>
      <w:lvlJc w:val="left"/>
      <w:pPr>
        <w:tabs>
          <w:tab w:val="num" w:pos="1440"/>
        </w:tabs>
        <w:ind w:left="1440" w:hanging="360"/>
      </w:pPr>
      <w:rPr>
        <w:rFonts w:ascii="Wingdings" w:hAnsi="Wingdings" w:hint="default"/>
      </w:rPr>
    </w:lvl>
    <w:lvl w:ilvl="2" w:tplc="35FA2454" w:tentative="1">
      <w:start w:val="1"/>
      <w:numFmt w:val="bullet"/>
      <w:lvlText w:val=""/>
      <w:lvlJc w:val="left"/>
      <w:pPr>
        <w:tabs>
          <w:tab w:val="num" w:pos="2160"/>
        </w:tabs>
        <w:ind w:left="2160" w:hanging="360"/>
      </w:pPr>
      <w:rPr>
        <w:rFonts w:ascii="Wingdings" w:hAnsi="Wingdings" w:hint="default"/>
      </w:rPr>
    </w:lvl>
    <w:lvl w:ilvl="3" w:tplc="13F86DA6" w:tentative="1">
      <w:start w:val="1"/>
      <w:numFmt w:val="bullet"/>
      <w:lvlText w:val=""/>
      <w:lvlJc w:val="left"/>
      <w:pPr>
        <w:tabs>
          <w:tab w:val="num" w:pos="2880"/>
        </w:tabs>
        <w:ind w:left="2880" w:hanging="360"/>
      </w:pPr>
      <w:rPr>
        <w:rFonts w:ascii="Wingdings" w:hAnsi="Wingdings" w:hint="default"/>
      </w:rPr>
    </w:lvl>
    <w:lvl w:ilvl="4" w:tplc="EB48D58A" w:tentative="1">
      <w:start w:val="1"/>
      <w:numFmt w:val="bullet"/>
      <w:lvlText w:val=""/>
      <w:lvlJc w:val="left"/>
      <w:pPr>
        <w:tabs>
          <w:tab w:val="num" w:pos="3600"/>
        </w:tabs>
        <w:ind w:left="3600" w:hanging="360"/>
      </w:pPr>
      <w:rPr>
        <w:rFonts w:ascii="Wingdings" w:hAnsi="Wingdings" w:hint="default"/>
      </w:rPr>
    </w:lvl>
    <w:lvl w:ilvl="5" w:tplc="C5A4D010" w:tentative="1">
      <w:start w:val="1"/>
      <w:numFmt w:val="bullet"/>
      <w:lvlText w:val=""/>
      <w:lvlJc w:val="left"/>
      <w:pPr>
        <w:tabs>
          <w:tab w:val="num" w:pos="4320"/>
        </w:tabs>
        <w:ind w:left="4320" w:hanging="360"/>
      </w:pPr>
      <w:rPr>
        <w:rFonts w:ascii="Wingdings" w:hAnsi="Wingdings" w:hint="default"/>
      </w:rPr>
    </w:lvl>
    <w:lvl w:ilvl="6" w:tplc="79AAE102" w:tentative="1">
      <w:start w:val="1"/>
      <w:numFmt w:val="bullet"/>
      <w:lvlText w:val=""/>
      <w:lvlJc w:val="left"/>
      <w:pPr>
        <w:tabs>
          <w:tab w:val="num" w:pos="5040"/>
        </w:tabs>
        <w:ind w:left="5040" w:hanging="360"/>
      </w:pPr>
      <w:rPr>
        <w:rFonts w:ascii="Wingdings" w:hAnsi="Wingdings" w:hint="default"/>
      </w:rPr>
    </w:lvl>
    <w:lvl w:ilvl="7" w:tplc="C854B626" w:tentative="1">
      <w:start w:val="1"/>
      <w:numFmt w:val="bullet"/>
      <w:lvlText w:val=""/>
      <w:lvlJc w:val="left"/>
      <w:pPr>
        <w:tabs>
          <w:tab w:val="num" w:pos="5760"/>
        </w:tabs>
        <w:ind w:left="5760" w:hanging="360"/>
      </w:pPr>
      <w:rPr>
        <w:rFonts w:ascii="Wingdings" w:hAnsi="Wingdings" w:hint="default"/>
      </w:rPr>
    </w:lvl>
    <w:lvl w:ilvl="8" w:tplc="4CC0DAA0"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C0"/>
    <w:rsid w:val="00027553"/>
    <w:rsid w:val="000440CB"/>
    <w:rsid w:val="0007249C"/>
    <w:rsid w:val="000F541E"/>
    <w:rsid w:val="00144028"/>
    <w:rsid w:val="001512F9"/>
    <w:rsid w:val="001A0747"/>
    <w:rsid w:val="001A1CD1"/>
    <w:rsid w:val="001D4742"/>
    <w:rsid w:val="00207CA9"/>
    <w:rsid w:val="002355F1"/>
    <w:rsid w:val="002544E0"/>
    <w:rsid w:val="00337352"/>
    <w:rsid w:val="0039341B"/>
    <w:rsid w:val="003A61FA"/>
    <w:rsid w:val="004159A9"/>
    <w:rsid w:val="004538E7"/>
    <w:rsid w:val="004B603B"/>
    <w:rsid w:val="00512E0F"/>
    <w:rsid w:val="00514F85"/>
    <w:rsid w:val="00582840"/>
    <w:rsid w:val="00586F7B"/>
    <w:rsid w:val="005877DF"/>
    <w:rsid w:val="005C4A9E"/>
    <w:rsid w:val="005D2539"/>
    <w:rsid w:val="00647FF5"/>
    <w:rsid w:val="00683D76"/>
    <w:rsid w:val="007012D7"/>
    <w:rsid w:val="00715E0C"/>
    <w:rsid w:val="008D372A"/>
    <w:rsid w:val="00937A48"/>
    <w:rsid w:val="009569B3"/>
    <w:rsid w:val="009C2FC0"/>
    <w:rsid w:val="00A46F51"/>
    <w:rsid w:val="00AC72BF"/>
    <w:rsid w:val="00AF5F5A"/>
    <w:rsid w:val="00B2635E"/>
    <w:rsid w:val="00B8078E"/>
    <w:rsid w:val="00BC7E3E"/>
    <w:rsid w:val="00CC11DC"/>
    <w:rsid w:val="00D05E8B"/>
    <w:rsid w:val="00D158E0"/>
    <w:rsid w:val="00E06395"/>
    <w:rsid w:val="00E66F7D"/>
    <w:rsid w:val="00EC0F39"/>
    <w:rsid w:val="00F45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F8659"/>
  <w15:chartTrackingRefBased/>
  <w15:docId w15:val="{DC62EB2A-7CEA-4A6C-BDA3-854215B28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F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2FC0"/>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538E7"/>
    <w:rPr>
      <w:color w:val="0000FF" w:themeColor="hyperlink"/>
      <w:u w:val="single"/>
    </w:rPr>
  </w:style>
  <w:style w:type="character" w:styleId="UnresolvedMention">
    <w:name w:val="Unresolved Mention"/>
    <w:basedOn w:val="DefaultParagraphFont"/>
    <w:uiPriority w:val="99"/>
    <w:semiHidden/>
    <w:unhideWhenUsed/>
    <w:rsid w:val="004538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5927616">
      <w:bodyDiv w:val="1"/>
      <w:marLeft w:val="0"/>
      <w:marRight w:val="0"/>
      <w:marTop w:val="0"/>
      <w:marBottom w:val="0"/>
      <w:divBdr>
        <w:top w:val="none" w:sz="0" w:space="0" w:color="auto"/>
        <w:left w:val="none" w:sz="0" w:space="0" w:color="auto"/>
        <w:bottom w:val="none" w:sz="0" w:space="0" w:color="auto"/>
        <w:right w:val="none" w:sz="0" w:space="0" w:color="auto"/>
      </w:divBdr>
      <w:divsChild>
        <w:div w:id="1694068295">
          <w:marLeft w:val="446"/>
          <w:marRight w:val="0"/>
          <w:marTop w:val="0"/>
          <w:marBottom w:val="0"/>
          <w:divBdr>
            <w:top w:val="none" w:sz="0" w:space="0" w:color="auto"/>
            <w:left w:val="none" w:sz="0" w:space="0" w:color="auto"/>
            <w:bottom w:val="none" w:sz="0" w:space="0" w:color="auto"/>
            <w:right w:val="none" w:sz="0" w:space="0" w:color="auto"/>
          </w:divBdr>
        </w:div>
        <w:div w:id="1610354119">
          <w:marLeft w:val="446"/>
          <w:marRight w:val="0"/>
          <w:marTop w:val="0"/>
          <w:marBottom w:val="0"/>
          <w:divBdr>
            <w:top w:val="none" w:sz="0" w:space="0" w:color="auto"/>
            <w:left w:val="none" w:sz="0" w:space="0" w:color="auto"/>
            <w:bottom w:val="none" w:sz="0" w:space="0" w:color="auto"/>
            <w:right w:val="none" w:sz="0" w:space="0" w:color="auto"/>
          </w:divBdr>
        </w:div>
        <w:div w:id="2057581724">
          <w:marLeft w:val="446"/>
          <w:marRight w:val="0"/>
          <w:marTop w:val="0"/>
          <w:marBottom w:val="0"/>
          <w:divBdr>
            <w:top w:val="none" w:sz="0" w:space="0" w:color="auto"/>
            <w:left w:val="none" w:sz="0" w:space="0" w:color="auto"/>
            <w:bottom w:val="none" w:sz="0" w:space="0" w:color="auto"/>
            <w:right w:val="none" w:sz="0" w:space="0" w:color="auto"/>
          </w:divBdr>
        </w:div>
        <w:div w:id="735476695">
          <w:marLeft w:val="446"/>
          <w:marRight w:val="0"/>
          <w:marTop w:val="0"/>
          <w:marBottom w:val="0"/>
          <w:divBdr>
            <w:top w:val="none" w:sz="0" w:space="0" w:color="auto"/>
            <w:left w:val="none" w:sz="0" w:space="0" w:color="auto"/>
            <w:bottom w:val="none" w:sz="0" w:space="0" w:color="auto"/>
            <w:right w:val="none" w:sz="0" w:space="0" w:color="auto"/>
          </w:divBdr>
        </w:div>
        <w:div w:id="1615208281">
          <w:marLeft w:val="446"/>
          <w:marRight w:val="0"/>
          <w:marTop w:val="0"/>
          <w:marBottom w:val="0"/>
          <w:divBdr>
            <w:top w:val="none" w:sz="0" w:space="0" w:color="auto"/>
            <w:left w:val="none" w:sz="0" w:space="0" w:color="auto"/>
            <w:bottom w:val="none" w:sz="0" w:space="0" w:color="auto"/>
            <w:right w:val="none" w:sz="0" w:space="0" w:color="auto"/>
          </w:divBdr>
        </w:div>
        <w:div w:id="35285180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epublications.marquette.edu/gjcp/vol1/iss2/1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1024</Words>
  <Characters>5839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3</cp:revision>
  <dcterms:created xsi:type="dcterms:W3CDTF">2022-04-11T22:45:00Z</dcterms:created>
  <dcterms:modified xsi:type="dcterms:W3CDTF">2022-04-11T22:54:00Z</dcterms:modified>
</cp:coreProperties>
</file>