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5A293" w14:textId="77777777" w:rsidR="005209D0" w:rsidRDefault="005209D0" w:rsidP="005209D0">
      <w:pPr>
        <w:ind w:left="720"/>
      </w:pPr>
    </w:p>
    <w:p w14:paraId="025A916F" w14:textId="77777777" w:rsidR="005209D0" w:rsidRDefault="005209D0" w:rsidP="005209D0">
      <w:pPr>
        <w:ind w:left="720"/>
      </w:pPr>
    </w:p>
    <w:p w14:paraId="678A135B" w14:textId="77777777" w:rsidR="005209D0" w:rsidRDefault="005209D0" w:rsidP="005209D0">
      <w:pPr>
        <w:ind w:left="720"/>
      </w:pPr>
    </w:p>
    <w:p w14:paraId="37158791" w14:textId="77777777" w:rsidR="005209D0" w:rsidRDefault="005209D0" w:rsidP="005209D0">
      <w:pPr>
        <w:ind w:left="720"/>
      </w:pPr>
    </w:p>
    <w:p w14:paraId="4FFE99AB" w14:textId="77777777" w:rsidR="005209D0" w:rsidRDefault="005209D0" w:rsidP="005209D0">
      <w:pPr>
        <w:ind w:left="720"/>
      </w:pPr>
    </w:p>
    <w:p w14:paraId="755A26B6" w14:textId="77777777" w:rsidR="005209D0" w:rsidRDefault="005209D0" w:rsidP="005209D0">
      <w:pPr>
        <w:ind w:left="720"/>
        <w:rPr>
          <w:rFonts w:ascii="Arial" w:hAnsi="Arial" w:cs="Arial"/>
          <w:sz w:val="72"/>
          <w:szCs w:val="72"/>
        </w:rPr>
      </w:pPr>
    </w:p>
    <w:p w14:paraId="1E8BFC0C" w14:textId="77777777" w:rsidR="005209D0" w:rsidRDefault="005209D0" w:rsidP="005209D0">
      <w:pPr>
        <w:spacing w:after="0" w:line="360" w:lineRule="auto"/>
        <w:ind w:left="720"/>
        <w:jc w:val="center"/>
        <w:rPr>
          <w:rFonts w:ascii="Arial" w:hAnsi="Arial" w:cs="Arial"/>
          <w:b/>
          <w:sz w:val="72"/>
          <w:szCs w:val="72"/>
        </w:rPr>
      </w:pPr>
      <w:r>
        <w:rPr>
          <w:rFonts w:ascii="Arial" w:hAnsi="Arial" w:cs="Arial"/>
          <w:b/>
          <w:sz w:val="72"/>
          <w:szCs w:val="72"/>
        </w:rPr>
        <w:t>How to engage employees throughout the employee lifecycle</w:t>
      </w:r>
    </w:p>
    <w:p w14:paraId="7B51096F" w14:textId="77777777" w:rsidR="005209D0" w:rsidRDefault="005209D0" w:rsidP="005209D0">
      <w:pPr>
        <w:ind w:left="720"/>
        <w:rPr>
          <w:rFonts w:ascii="Arial" w:hAnsi="Arial" w:cs="Arial"/>
          <w:sz w:val="40"/>
          <w:szCs w:val="40"/>
        </w:rPr>
      </w:pPr>
    </w:p>
    <w:p w14:paraId="6EE3E68D" w14:textId="77777777" w:rsidR="005209D0" w:rsidRDefault="005209D0" w:rsidP="005209D0">
      <w:pPr>
        <w:ind w:left="720"/>
        <w:rPr>
          <w:rFonts w:ascii="Arial" w:hAnsi="Arial" w:cs="Arial"/>
          <w:sz w:val="40"/>
          <w:szCs w:val="40"/>
        </w:rPr>
      </w:pPr>
    </w:p>
    <w:p w14:paraId="3810998C" w14:textId="77777777" w:rsidR="005209D0" w:rsidRDefault="005209D0" w:rsidP="005209D0">
      <w:pPr>
        <w:ind w:left="720"/>
        <w:rPr>
          <w:rFonts w:ascii="Arial" w:hAnsi="Arial" w:cs="Arial"/>
          <w:sz w:val="40"/>
          <w:szCs w:val="40"/>
        </w:rPr>
      </w:pPr>
    </w:p>
    <w:p w14:paraId="6FDF601B" w14:textId="77777777" w:rsidR="005209D0" w:rsidRDefault="005209D0" w:rsidP="005209D0">
      <w:pPr>
        <w:ind w:left="720"/>
        <w:rPr>
          <w:rFonts w:ascii="Arial" w:hAnsi="Arial" w:cs="Arial"/>
          <w:sz w:val="40"/>
          <w:szCs w:val="40"/>
        </w:rPr>
      </w:pPr>
    </w:p>
    <w:p w14:paraId="6776DA40" w14:textId="77777777" w:rsidR="005209D0" w:rsidRDefault="005209D0" w:rsidP="005209D0">
      <w:pPr>
        <w:ind w:left="720"/>
        <w:rPr>
          <w:rFonts w:ascii="Arial" w:hAnsi="Arial" w:cs="Arial"/>
          <w:sz w:val="40"/>
          <w:szCs w:val="40"/>
        </w:rPr>
      </w:pPr>
      <w:r>
        <w:rPr>
          <w:rFonts w:ascii="Arial" w:hAnsi="Arial" w:cs="Arial"/>
          <w:sz w:val="40"/>
          <w:szCs w:val="40"/>
        </w:rPr>
        <w:t>Module name: Personnel Resourcing &amp; Development BMIH 5005</w:t>
      </w:r>
    </w:p>
    <w:p w14:paraId="559FBF90" w14:textId="77777777" w:rsidR="005209D0" w:rsidRDefault="005209D0" w:rsidP="005209D0">
      <w:pPr>
        <w:ind w:left="720"/>
        <w:rPr>
          <w:rFonts w:ascii="Arial" w:hAnsi="Arial" w:cs="Arial"/>
          <w:sz w:val="40"/>
          <w:szCs w:val="40"/>
        </w:rPr>
      </w:pPr>
      <w:r>
        <w:rPr>
          <w:rFonts w:ascii="Arial" w:hAnsi="Arial" w:cs="Arial"/>
          <w:sz w:val="40"/>
          <w:szCs w:val="40"/>
        </w:rPr>
        <w:t>Student name: Daniela Serban</w:t>
      </w:r>
    </w:p>
    <w:p w14:paraId="6C84C9E2" w14:textId="77777777" w:rsidR="005209D0" w:rsidRDefault="005209D0" w:rsidP="005209D0">
      <w:pPr>
        <w:ind w:left="720"/>
        <w:rPr>
          <w:rFonts w:ascii="Arial" w:hAnsi="Arial" w:cs="Arial"/>
          <w:sz w:val="40"/>
          <w:szCs w:val="40"/>
        </w:rPr>
      </w:pPr>
      <w:r>
        <w:rPr>
          <w:rFonts w:ascii="Arial" w:hAnsi="Arial" w:cs="Arial"/>
          <w:sz w:val="40"/>
          <w:szCs w:val="40"/>
        </w:rPr>
        <w:t>Student number: 2109024</w:t>
      </w:r>
    </w:p>
    <w:p w14:paraId="3D41C363" w14:textId="77777777" w:rsidR="005209D0" w:rsidRDefault="005209D0" w:rsidP="005209D0">
      <w:pPr>
        <w:ind w:left="720"/>
        <w:rPr>
          <w:rFonts w:ascii="Arial" w:hAnsi="Arial" w:cs="Arial"/>
          <w:sz w:val="40"/>
          <w:szCs w:val="40"/>
        </w:rPr>
      </w:pPr>
      <w:r>
        <w:rPr>
          <w:rFonts w:ascii="Arial" w:hAnsi="Arial" w:cs="Arial"/>
          <w:sz w:val="40"/>
          <w:szCs w:val="40"/>
        </w:rPr>
        <w:t>Lecturer`s name: Kathryn Roberts</w:t>
      </w:r>
    </w:p>
    <w:p w14:paraId="1EF1702E"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lastRenderedPageBreak/>
        <w:t xml:space="preserve">“The main focuses of strategic human resource management are combined and adjusted. It is important to ensure that human resources management is complete aligned with the company's needs (vertical fit), that human </w:t>
      </w:r>
      <w:proofErr w:type="gramStart"/>
      <w:r w:rsidRPr="009645F4">
        <w:rPr>
          <w:rFonts w:ascii="Arial" w:hAnsi="Arial" w:cs="Arial"/>
          <w:sz w:val="24"/>
          <w:szCs w:val="24"/>
        </w:rPr>
        <w:t>all of</w:t>
      </w:r>
      <w:proofErr w:type="gramEnd"/>
      <w:r w:rsidRPr="009645F4">
        <w:rPr>
          <w:rFonts w:ascii="Arial" w:hAnsi="Arial" w:cs="Arial"/>
          <w:sz w:val="24"/>
          <w:szCs w:val="24"/>
        </w:rPr>
        <w:t xml:space="preserve"> the resources policies are consistent with each other and organisational levels (horizontal fit), and that both line managers and employees are taking advantage of, adapting human resources practises as part of their regular work.” Schuler (1992: 18)”</w:t>
      </w:r>
    </w:p>
    <w:p w14:paraId="2F694591"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When it comes to the employee’s life cycle, it is essential to the success of an organisation. After all, each stage of an employee's tenure with a company offers a unique chance to enhance the worker’s experience.</w:t>
      </w:r>
    </w:p>
    <w:p w14:paraId="749E8FA2"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Attractions will be the first candidates to see your company's name. This process shows how an applicant becomes an employee through proper recognition and compensation by the employee. Career Advancement: helps employees improve their jobs with a variety of initiatives. Termination: Procedures for dealing with the inevitable decision of an employee to terminate employment.</w:t>
      </w:r>
    </w:p>
    <w:p w14:paraId="01F93064"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 xml:space="preserve">The employee's relationship with the management does not begin when they first show up at the office. It does not start when he applies for a job or signs a contract. It starts the moment the worker first learns about your manager's brand. </w:t>
      </w:r>
      <w:r w:rsidRPr="009645F4">
        <w:rPr>
          <w:rFonts w:ascii="Arial" w:hAnsi="Arial" w:cs="Arial"/>
          <w:sz w:val="24"/>
          <w:szCs w:val="24"/>
          <w:shd w:val="clear" w:color="auto" w:fill="FFFFFF"/>
        </w:rPr>
        <w:t>The </w:t>
      </w:r>
      <w:r w:rsidRPr="009645F4">
        <w:rPr>
          <w:rStyle w:val="words"/>
          <w:rFonts w:ascii="Arial" w:hAnsi="Arial" w:cs="Arial"/>
          <w:sz w:val="24"/>
          <w:szCs w:val="24"/>
          <w:shd w:val="clear" w:color="auto" w:fill="FFFFFF"/>
        </w:rPr>
        <w:t>following</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organisation</w:t>
      </w:r>
      <w:r w:rsidRPr="009645F4">
        <w:rPr>
          <w:rFonts w:ascii="Arial" w:hAnsi="Arial" w:cs="Arial"/>
          <w:sz w:val="24"/>
          <w:szCs w:val="24"/>
          <w:shd w:val="clear" w:color="auto" w:fill="FFFFFF"/>
        </w:rPr>
        <w:t> of the </w:t>
      </w:r>
      <w:r w:rsidRPr="009645F4">
        <w:rPr>
          <w:rStyle w:val="words"/>
          <w:rFonts w:ascii="Arial" w:hAnsi="Arial" w:cs="Arial"/>
          <w:sz w:val="24"/>
          <w:szCs w:val="24"/>
          <w:shd w:val="clear" w:color="auto" w:fill="FFFFFF"/>
        </w:rPr>
        <w:t>representative</w:t>
      </w:r>
      <w:r w:rsidRPr="009645F4">
        <w:rPr>
          <w:rFonts w:ascii="Arial" w:hAnsi="Arial" w:cs="Arial"/>
          <w:sz w:val="24"/>
          <w:szCs w:val="24"/>
          <w:shd w:val="clear" w:color="auto" w:fill="FFFFFF"/>
        </w:rPr>
        <w:t> life cycle is </w:t>
      </w:r>
      <w:r w:rsidRPr="009645F4">
        <w:rPr>
          <w:rStyle w:val="words"/>
          <w:rFonts w:ascii="Arial" w:hAnsi="Arial" w:cs="Arial"/>
          <w:sz w:val="24"/>
          <w:szCs w:val="24"/>
          <w:shd w:val="clear" w:color="auto" w:fill="FFFFFF"/>
        </w:rPr>
        <w:t>enrolment</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This is often</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vital</w:t>
      </w:r>
      <w:r w:rsidRPr="009645F4">
        <w:rPr>
          <w:rFonts w:ascii="Arial" w:hAnsi="Arial" w:cs="Arial"/>
          <w:sz w:val="24"/>
          <w:szCs w:val="24"/>
          <w:shd w:val="clear" w:color="auto" w:fill="FFFFFF"/>
        </w:rPr>
        <w:t> whether </w:t>
      </w:r>
      <w:r w:rsidRPr="009645F4">
        <w:rPr>
          <w:rStyle w:val="words"/>
          <w:rFonts w:ascii="Arial" w:hAnsi="Arial" w:cs="Arial"/>
          <w:sz w:val="24"/>
          <w:szCs w:val="24"/>
          <w:shd w:val="clear" w:color="auto" w:fill="FFFFFF"/>
        </w:rPr>
        <w:t>you are doing</w:t>
      </w:r>
      <w:r w:rsidRPr="009645F4">
        <w:rPr>
          <w:rFonts w:ascii="Arial" w:hAnsi="Arial" w:cs="Arial"/>
          <w:sz w:val="24"/>
          <w:szCs w:val="24"/>
          <w:shd w:val="clear" w:color="auto" w:fill="FFFFFF"/>
        </w:rPr>
        <w:t> this the old-fashioned way or </w:t>
      </w:r>
      <w:r w:rsidRPr="009645F4">
        <w:rPr>
          <w:rStyle w:val="words"/>
          <w:rFonts w:ascii="Arial" w:hAnsi="Arial" w:cs="Arial"/>
          <w:sz w:val="24"/>
          <w:szCs w:val="24"/>
          <w:shd w:val="clear" w:color="auto" w:fill="FFFFFF"/>
        </w:rPr>
        <w:t>utilising</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devices</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to assist</w:t>
      </w:r>
      <w:r w:rsidRPr="009645F4">
        <w:rPr>
          <w:rFonts w:ascii="Arial" w:hAnsi="Arial" w:cs="Arial"/>
          <w:sz w:val="24"/>
          <w:szCs w:val="24"/>
          <w:shd w:val="clear" w:color="auto" w:fill="FFFFFF"/>
        </w:rPr>
        <w:t xml:space="preserve"> you to </w:t>
      </w:r>
      <w:r w:rsidRPr="009645F4">
        <w:rPr>
          <w:rStyle w:val="words"/>
          <w:rFonts w:ascii="Arial" w:hAnsi="Arial" w:cs="Arial"/>
          <w:sz w:val="24"/>
          <w:szCs w:val="24"/>
          <w:shd w:val="clear" w:color="auto" w:fill="FFFFFF"/>
        </w:rPr>
        <w:t>oversee</w:t>
      </w:r>
      <w:r w:rsidRPr="009645F4">
        <w:rPr>
          <w:rFonts w:ascii="Arial" w:hAnsi="Arial" w:cs="Arial"/>
          <w:sz w:val="24"/>
          <w:szCs w:val="24"/>
          <w:shd w:val="clear" w:color="auto" w:fill="FFFFFF"/>
        </w:rPr>
        <w:t> the </w:t>
      </w:r>
      <w:r w:rsidRPr="009645F4">
        <w:rPr>
          <w:rStyle w:val="words"/>
          <w:rFonts w:ascii="Arial" w:hAnsi="Arial" w:cs="Arial"/>
          <w:sz w:val="24"/>
          <w:szCs w:val="24"/>
          <w:shd w:val="clear" w:color="auto" w:fill="FFFFFF"/>
        </w:rPr>
        <w:t>enlistment</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handle</w:t>
      </w:r>
      <w:r w:rsidRPr="009645F4">
        <w:rPr>
          <w:rFonts w:ascii="Arial" w:hAnsi="Arial" w:cs="Arial"/>
          <w:sz w:val="24"/>
          <w:szCs w:val="24"/>
          <w:shd w:val="clear" w:color="auto" w:fill="FFFFFF"/>
        </w:rPr>
        <w:t>. Onboarding is </w:t>
      </w:r>
      <w:r w:rsidRPr="009645F4">
        <w:rPr>
          <w:rStyle w:val="words"/>
          <w:rFonts w:ascii="Arial" w:hAnsi="Arial" w:cs="Arial"/>
          <w:sz w:val="24"/>
          <w:szCs w:val="24"/>
          <w:shd w:val="clear" w:color="auto" w:fill="FFFFFF"/>
        </w:rPr>
        <w:t>around</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making a difference</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modern</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workers</w:t>
      </w:r>
      <w:r w:rsidRPr="009645F4">
        <w:rPr>
          <w:rFonts w:ascii="Arial" w:hAnsi="Arial" w:cs="Arial"/>
          <w:sz w:val="24"/>
          <w:szCs w:val="24"/>
          <w:shd w:val="clear" w:color="auto" w:fill="FFFFFF"/>
        </w:rPr>
        <w:t> </w:t>
      </w:r>
      <w:r w:rsidRPr="009645F4">
        <w:rPr>
          <w:rStyle w:val="words"/>
          <w:rFonts w:ascii="Arial" w:hAnsi="Arial" w:cs="Arial"/>
          <w:sz w:val="24"/>
          <w:szCs w:val="24"/>
          <w:shd w:val="clear" w:color="auto" w:fill="FFFFFF"/>
        </w:rPr>
        <w:t>mix</w:t>
      </w:r>
      <w:r w:rsidRPr="009645F4">
        <w:rPr>
          <w:rFonts w:ascii="Arial" w:hAnsi="Arial" w:cs="Arial"/>
          <w:sz w:val="24"/>
          <w:szCs w:val="24"/>
          <w:shd w:val="clear" w:color="auto" w:fill="FFFFFF"/>
        </w:rPr>
        <w:t> in </w:t>
      </w:r>
      <w:r w:rsidRPr="009645F4">
        <w:rPr>
          <w:rStyle w:val="words"/>
          <w:rFonts w:ascii="Arial" w:hAnsi="Arial" w:cs="Arial"/>
          <w:sz w:val="24"/>
          <w:szCs w:val="24"/>
          <w:shd w:val="clear" w:color="auto" w:fill="FFFFFF"/>
        </w:rPr>
        <w:t>together with your</w:t>
      </w:r>
      <w:r w:rsidRPr="009645F4">
        <w:rPr>
          <w:rFonts w:ascii="Arial" w:hAnsi="Arial" w:cs="Arial"/>
          <w:sz w:val="24"/>
          <w:szCs w:val="24"/>
          <w:shd w:val="clear" w:color="auto" w:fill="FFFFFF"/>
        </w:rPr>
        <w:t> corporate culture and </w:t>
      </w:r>
      <w:r w:rsidRPr="009645F4">
        <w:rPr>
          <w:rStyle w:val="words"/>
          <w:rFonts w:ascii="Arial" w:hAnsi="Arial" w:cs="Arial"/>
          <w:sz w:val="24"/>
          <w:szCs w:val="24"/>
          <w:shd w:val="clear" w:color="auto" w:fill="FFFFFF"/>
        </w:rPr>
        <w:t>get to be</w:t>
      </w:r>
      <w:r w:rsidRPr="009645F4">
        <w:rPr>
          <w:rFonts w:ascii="Arial" w:hAnsi="Arial" w:cs="Arial"/>
          <w:sz w:val="24"/>
          <w:szCs w:val="24"/>
          <w:shd w:val="clear" w:color="auto" w:fill="FFFFFF"/>
        </w:rPr>
        <w:t xml:space="preserve"> a </w:t>
      </w:r>
      <w:r w:rsidRPr="009645F4">
        <w:rPr>
          <w:rStyle w:val="words"/>
          <w:rFonts w:ascii="Arial" w:hAnsi="Arial" w:cs="Arial"/>
          <w:sz w:val="24"/>
          <w:szCs w:val="24"/>
          <w:shd w:val="clear" w:color="auto" w:fill="FFFFFF"/>
        </w:rPr>
        <w:t>portion</w:t>
      </w:r>
      <w:r w:rsidRPr="009645F4">
        <w:rPr>
          <w:rFonts w:ascii="Arial" w:hAnsi="Arial" w:cs="Arial"/>
          <w:sz w:val="24"/>
          <w:szCs w:val="24"/>
          <w:shd w:val="clear" w:color="auto" w:fill="FFFFFF"/>
        </w:rPr>
        <w:t xml:space="preserve"> of the team. This can be achieved in a few ways, one of which is to demonstrate beyond reasonable doubt that the employer understands the company's values. Increase engagement and employee involvement in developing new ideas. This basically indicates that the employee has chosen to do more than what is written in the employment contract. For example, working longer hours, working with more enthusiasm, and taking the lead in improving relationships and institutions. Managers cannot coerce employees into such behaviour. However, it helps create an environment in which this is more likely to occur. What organizations need to do to improve individual performance is summarized in the current buzzword “employee engagement” widely used in the field of human resource management. Engaged employees know what is expected of them, feel they own their work, are satisfied </w:t>
      </w:r>
      <w:r w:rsidRPr="009645F4">
        <w:rPr>
          <w:rFonts w:ascii="Arial" w:hAnsi="Arial" w:cs="Arial"/>
          <w:sz w:val="24"/>
          <w:szCs w:val="24"/>
          <w:shd w:val="clear" w:color="auto" w:fill="FFFFFF"/>
        </w:rPr>
        <w:lastRenderedPageBreak/>
        <w:t>(hopefully very satisfied) with their work, and will actively contribute with their efforts and ideas. “Employees are often regarded as an organization's most valuable asset from the standpoint of human resources” (</w:t>
      </w:r>
      <w:proofErr w:type="spellStart"/>
      <w:r w:rsidRPr="009645F4">
        <w:rPr>
          <w:rFonts w:ascii="Arial" w:hAnsi="Arial" w:cs="Arial"/>
          <w:sz w:val="24"/>
          <w:szCs w:val="24"/>
          <w:shd w:val="clear" w:color="auto" w:fill="FFFFFF"/>
        </w:rPr>
        <w:t>Lins</w:t>
      </w:r>
      <w:proofErr w:type="spellEnd"/>
      <w:r w:rsidRPr="009645F4">
        <w:rPr>
          <w:rFonts w:ascii="Arial" w:hAnsi="Arial" w:cs="Arial"/>
          <w:sz w:val="24"/>
          <w:szCs w:val="24"/>
          <w:shd w:val="clear" w:color="auto" w:fill="FFFFFF"/>
        </w:rPr>
        <w:t xml:space="preserve"> et al., 2017). The employee expansion stage is the fourth stage of the employee lifecycle. By consistently supporting the professional development of team members, you can help them develop their skills and provide future career paths. To plan and prioritize which areas need further advancing, all leaders should work with their employees to identify key competencies and areas of expertise. Openness is fostered by trusted managers acting as mentors. Management should support and encourage each employee to develop a career expansion plan that will help them improve their skills and increase their opportunities for advancement. Provide a template so everyone on your team can come up with their own simple plan or offer to help with it.</w:t>
      </w:r>
    </w:p>
    <w:p w14:paraId="4FC22D97"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It seems sensible to think about how to advance representative maintenance and raise maintenance charges over time. When employees aren't feeling entirely positive, it's usually a good idea to look at techniques to increase employee inspiration. Encourage all employers to improve their memorization skills. Conferences, classes, and "lunch-and-learns" are all forms of learning and improvement, whether internal or external. Keep representatives informed about emerging trends while expanding their knowledge. In that instance, they can impart their knowledge to the remainder of the group and improve their work using any leftover information.</w:t>
      </w:r>
    </w:p>
    <w:p w14:paraId="675BDBB6"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 xml:space="preserve">The build-up of the </w:t>
      </w:r>
      <w:r w:rsidRPr="009645F4">
        <w:rPr>
          <w:rStyle w:val="Strong"/>
          <w:rFonts w:ascii="Arial" w:hAnsi="Arial" w:cs="Arial"/>
          <w:sz w:val="24"/>
          <w:szCs w:val="24"/>
          <w:shd w:val="clear" w:color="auto" w:fill="FFFFFF"/>
        </w:rPr>
        <w:t>management of human resources</w:t>
      </w:r>
      <w:r w:rsidRPr="009645F4">
        <w:rPr>
          <w:rFonts w:ascii="Arial" w:hAnsi="Arial" w:cs="Arial"/>
          <w:sz w:val="24"/>
          <w:szCs w:val="24"/>
        </w:rPr>
        <w:t xml:space="preserve"> concept was influenced by the evolution of ideas regarding the philosophy and objectives of Human Resource Management. It was expressed in a variety of models and had a strong theoretical basis in behavioural science. Human Resource Management principles are statements that describe how a company views its human resources, what role those resources play in the overall success of the business, and how those resources are to be handled and managed. </w:t>
      </w:r>
    </w:p>
    <w:p w14:paraId="4A08CE80"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 xml:space="preserve">Another way to describe </w:t>
      </w:r>
      <w:r w:rsidRPr="009645F4">
        <w:rPr>
          <w:rStyle w:val="Strong"/>
          <w:rFonts w:ascii="Arial" w:hAnsi="Arial" w:cs="Arial"/>
          <w:sz w:val="24"/>
          <w:szCs w:val="24"/>
          <w:shd w:val="clear" w:color="auto" w:fill="FFFFFF"/>
        </w:rPr>
        <w:t>management of human resource philosophy</w:t>
      </w:r>
      <w:r w:rsidRPr="009645F4">
        <w:rPr>
          <w:rFonts w:ascii="Arial" w:hAnsi="Arial" w:cs="Arial"/>
          <w:sz w:val="24"/>
          <w:szCs w:val="24"/>
        </w:rPr>
        <w:t xml:space="preserve"> is the guiding concepts that define and characterise the value and treatment of employees included in a specific Human Resource Management system. (</w:t>
      </w:r>
      <w:proofErr w:type="spellStart"/>
      <w:r w:rsidRPr="009645F4">
        <w:rPr>
          <w:rFonts w:ascii="Arial" w:hAnsi="Arial" w:cs="Arial"/>
          <w:sz w:val="24"/>
          <w:szCs w:val="24"/>
        </w:rPr>
        <w:t>Kepes</w:t>
      </w:r>
      <w:proofErr w:type="spellEnd"/>
      <w:r w:rsidRPr="009645F4">
        <w:rPr>
          <w:rFonts w:ascii="Arial" w:hAnsi="Arial" w:cs="Arial"/>
          <w:sz w:val="24"/>
          <w:szCs w:val="24"/>
        </w:rPr>
        <w:t xml:space="preserve"> and </w:t>
      </w:r>
      <w:proofErr w:type="spellStart"/>
      <w:r w:rsidRPr="009645F4">
        <w:rPr>
          <w:rFonts w:ascii="Arial" w:hAnsi="Arial" w:cs="Arial"/>
          <w:sz w:val="24"/>
          <w:szCs w:val="24"/>
        </w:rPr>
        <w:t>Delery</w:t>
      </w:r>
      <w:proofErr w:type="spellEnd"/>
      <w:r w:rsidRPr="009645F4">
        <w:rPr>
          <w:rFonts w:ascii="Arial" w:hAnsi="Arial" w:cs="Arial"/>
          <w:sz w:val="24"/>
          <w:szCs w:val="24"/>
        </w:rPr>
        <w:t>, 2007: 390)</w:t>
      </w:r>
    </w:p>
    <w:p w14:paraId="4EE6E83B"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lastRenderedPageBreak/>
        <w:t xml:space="preserve">The pragmatic research of Snell and </w:t>
      </w:r>
      <w:proofErr w:type="spellStart"/>
      <w:r w:rsidRPr="009645F4">
        <w:rPr>
          <w:rFonts w:ascii="Arial" w:hAnsi="Arial" w:cs="Arial"/>
          <w:sz w:val="24"/>
          <w:szCs w:val="24"/>
        </w:rPr>
        <w:t>Youndt</w:t>
      </w:r>
      <w:proofErr w:type="spellEnd"/>
      <w:r w:rsidRPr="009645F4">
        <w:rPr>
          <w:rFonts w:ascii="Arial" w:hAnsi="Arial" w:cs="Arial"/>
          <w:sz w:val="24"/>
          <w:szCs w:val="24"/>
        </w:rPr>
        <w:t xml:space="preserve"> (2004) demonstrated a certain level of knowledge, abilities and general experience is proportional to the investments made to attract the best talent. However, </w:t>
      </w:r>
      <w:proofErr w:type="spellStart"/>
      <w:r w:rsidRPr="009645F4">
        <w:rPr>
          <w:rFonts w:ascii="Arial" w:hAnsi="Arial" w:cs="Arial"/>
          <w:sz w:val="24"/>
          <w:szCs w:val="24"/>
        </w:rPr>
        <w:t>Yamao</w:t>
      </w:r>
      <w:proofErr w:type="spellEnd"/>
      <w:r w:rsidRPr="009645F4">
        <w:rPr>
          <w:rFonts w:ascii="Arial" w:hAnsi="Arial" w:cs="Arial"/>
          <w:sz w:val="24"/>
          <w:szCs w:val="24"/>
        </w:rPr>
        <w:t xml:space="preserve"> et al. (2009) there is no evidence to support this claim. This application argues a well-known constitution can improve organisations, can improve their personal central by implementing a strict hiring / selection procedure that accepts applications only from the most qualified candidates. The company's selection and recruitment human capital level are favourably correlated with human resource management strategies such as appropriate planning, stringent hiring and selection criteria, and high starting pay.</w:t>
      </w:r>
    </w:p>
    <w:p w14:paraId="0B67F036"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 xml:space="preserve">It is commonly acknowledged that training plays a crucial role in how people pick up knowledge and abilities (Becker, 1964; </w:t>
      </w:r>
      <w:proofErr w:type="spellStart"/>
      <w:r w:rsidRPr="009645F4">
        <w:rPr>
          <w:rFonts w:ascii="Arial" w:hAnsi="Arial" w:cs="Arial"/>
          <w:sz w:val="24"/>
          <w:szCs w:val="24"/>
        </w:rPr>
        <w:t>Youndt</w:t>
      </w:r>
      <w:proofErr w:type="spellEnd"/>
      <w:r w:rsidRPr="009645F4">
        <w:rPr>
          <w:rFonts w:ascii="Arial" w:hAnsi="Arial" w:cs="Arial"/>
          <w:sz w:val="24"/>
          <w:szCs w:val="24"/>
        </w:rPr>
        <w:t xml:space="preserve"> and Snell, 2004). Training investments boost employee performance while also encouraging them to adapt their knowledge and abilities to the demands of the organization (</w:t>
      </w:r>
      <w:proofErr w:type="spellStart"/>
      <w:r w:rsidRPr="009645F4">
        <w:rPr>
          <w:rFonts w:ascii="Arial" w:hAnsi="Arial" w:cs="Arial"/>
          <w:sz w:val="24"/>
          <w:szCs w:val="24"/>
        </w:rPr>
        <w:t>Lo'pez-Cabrales</w:t>
      </w:r>
      <w:proofErr w:type="spellEnd"/>
      <w:r w:rsidRPr="009645F4">
        <w:rPr>
          <w:rFonts w:ascii="Arial" w:hAnsi="Arial" w:cs="Arial"/>
          <w:sz w:val="24"/>
          <w:szCs w:val="24"/>
        </w:rPr>
        <w:t xml:space="preserve"> et al., 2011). Also, in addition to coaching, businesses </w:t>
      </w:r>
      <w:proofErr w:type="gramStart"/>
      <w:r w:rsidRPr="009645F4">
        <w:rPr>
          <w:rFonts w:ascii="Arial" w:hAnsi="Arial" w:cs="Arial"/>
          <w:sz w:val="24"/>
          <w:szCs w:val="24"/>
        </w:rPr>
        <w:t>have to</w:t>
      </w:r>
      <w:proofErr w:type="gramEnd"/>
      <w:r w:rsidRPr="009645F4">
        <w:rPr>
          <w:rFonts w:ascii="Arial" w:hAnsi="Arial" w:cs="Arial"/>
          <w:sz w:val="24"/>
          <w:szCs w:val="24"/>
        </w:rPr>
        <w:t xml:space="preserve"> support the professional growth of their staff members to help them develop specialized knowledge that will be more beneficial to the company than its rivals (</w:t>
      </w:r>
      <w:proofErr w:type="spellStart"/>
      <w:r w:rsidRPr="009645F4">
        <w:rPr>
          <w:rFonts w:ascii="Arial" w:hAnsi="Arial" w:cs="Arial"/>
          <w:sz w:val="24"/>
          <w:szCs w:val="24"/>
        </w:rPr>
        <w:t>Lepak</w:t>
      </w:r>
      <w:proofErr w:type="spellEnd"/>
      <w:r w:rsidRPr="009645F4">
        <w:rPr>
          <w:rFonts w:ascii="Arial" w:hAnsi="Arial" w:cs="Arial"/>
          <w:sz w:val="24"/>
          <w:szCs w:val="24"/>
        </w:rPr>
        <w:t xml:space="preserve"> and Snell, 1999; Lopez-</w:t>
      </w:r>
      <w:proofErr w:type="spellStart"/>
      <w:r w:rsidRPr="009645F4">
        <w:rPr>
          <w:rFonts w:ascii="Arial" w:hAnsi="Arial" w:cs="Arial"/>
          <w:sz w:val="24"/>
          <w:szCs w:val="24"/>
        </w:rPr>
        <w:t>Cabrales</w:t>
      </w:r>
      <w:proofErr w:type="spellEnd"/>
      <w:r w:rsidRPr="009645F4">
        <w:rPr>
          <w:rFonts w:ascii="Arial" w:hAnsi="Arial" w:cs="Arial"/>
          <w:sz w:val="24"/>
          <w:szCs w:val="24"/>
        </w:rPr>
        <w:t xml:space="preserve"> and Valle, 2008). Internal promotion procedures enable businesses to maximize training expenditures while also encouraging staff to acquire knowledge and skills that are particular to the business (</w:t>
      </w:r>
      <w:proofErr w:type="spellStart"/>
      <w:r w:rsidRPr="009645F4">
        <w:rPr>
          <w:rFonts w:ascii="Arial" w:hAnsi="Arial" w:cs="Arial"/>
          <w:sz w:val="24"/>
          <w:szCs w:val="24"/>
        </w:rPr>
        <w:t>Youndt</w:t>
      </w:r>
      <w:proofErr w:type="spellEnd"/>
      <w:r w:rsidRPr="009645F4">
        <w:rPr>
          <w:rFonts w:ascii="Arial" w:hAnsi="Arial" w:cs="Arial"/>
          <w:sz w:val="24"/>
          <w:szCs w:val="24"/>
        </w:rPr>
        <w:t xml:space="preserve"> and Snell, 2004). Organizational training and have been positively correlated, according to earlier studies.</w:t>
      </w:r>
    </w:p>
    <w:p w14:paraId="2D76F3C0"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 xml:space="preserve">Practices for training could raise the aligned of human capital inside the company (Chuang and Liao, 2004; </w:t>
      </w:r>
      <w:proofErr w:type="spellStart"/>
      <w:r w:rsidRPr="009645F4">
        <w:rPr>
          <w:rFonts w:ascii="Arial" w:hAnsi="Arial" w:cs="Arial"/>
          <w:sz w:val="24"/>
          <w:szCs w:val="24"/>
        </w:rPr>
        <w:t>Minbaeva</w:t>
      </w:r>
      <w:proofErr w:type="spellEnd"/>
      <w:r w:rsidRPr="009645F4">
        <w:rPr>
          <w:rFonts w:ascii="Arial" w:hAnsi="Arial" w:cs="Arial"/>
          <w:sz w:val="24"/>
          <w:szCs w:val="24"/>
        </w:rPr>
        <w:t xml:space="preserve"> et al., 2009). The handling based on knowledge computer (IT) also enhances the chance of staff members being exposed to a variety of knowledge domains, which can improve the build-up of human capital (</w:t>
      </w:r>
      <w:proofErr w:type="spellStart"/>
      <w:r w:rsidRPr="009645F4">
        <w:rPr>
          <w:rFonts w:ascii="Arial" w:hAnsi="Arial" w:cs="Arial"/>
          <w:sz w:val="24"/>
          <w:szCs w:val="24"/>
        </w:rPr>
        <w:t>Youndt</w:t>
      </w:r>
      <w:proofErr w:type="spellEnd"/>
      <w:r w:rsidRPr="009645F4">
        <w:rPr>
          <w:rFonts w:ascii="Arial" w:hAnsi="Arial" w:cs="Arial"/>
          <w:sz w:val="24"/>
          <w:szCs w:val="24"/>
        </w:rPr>
        <w:t xml:space="preserve"> et al., 2004). Therefore, concentrate on the human resource management proceeding of enrolment / choice, guidance / evolution, and Information Technology (IT) use in this study as preliminary of the firm's matching of working leading. New employees’ knowledge level can be influenced by hiring practices that provide access to a broad pool of competent applicants and an effective candidate selection system (</w:t>
      </w:r>
      <w:proofErr w:type="spellStart"/>
      <w:r w:rsidRPr="009645F4">
        <w:rPr>
          <w:rFonts w:ascii="Arial" w:hAnsi="Arial" w:cs="Arial"/>
          <w:sz w:val="24"/>
          <w:szCs w:val="24"/>
        </w:rPr>
        <w:t>Huselid</w:t>
      </w:r>
      <w:proofErr w:type="spellEnd"/>
      <w:r w:rsidRPr="009645F4">
        <w:rPr>
          <w:rFonts w:ascii="Arial" w:hAnsi="Arial" w:cs="Arial"/>
          <w:sz w:val="24"/>
          <w:szCs w:val="24"/>
        </w:rPr>
        <w:t>, 1995). Service businesses need to emphasize more than only the expertise and training of candidates, as well as other qualities including their potential, social skills, and capacity for collaboration.</w:t>
      </w:r>
    </w:p>
    <w:p w14:paraId="4771E610"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lastRenderedPageBreak/>
        <w:t>In 1991 Hall and Torrington advised that “crew administration was proletariat concentrated and for this reason controlled itself to workers, during human resource management is way centred and consideration itself with the global individual means demand of the grouping.”</w:t>
      </w:r>
    </w:p>
    <w:p w14:paraId="7793E16E"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 xml:space="preserve">Concepts concerning the philosophy of human useful resource control and the goals of human useful resource control developed during the direction of the concept's advancing. It has been expressed in a whole lot of fashions and has a stable theoretical basis in behavioural science. Human useful resource control philosophy through Schuler counselled that a human resource philosophy is a declaration of the way the employer perspectives its human sources, how they must be handled and managed, and the position they play withinside the employer's universal success. Philosophies of </w:t>
      </w:r>
      <w:r w:rsidRPr="009645F4">
        <w:rPr>
          <w:rStyle w:val="Strong"/>
          <w:rFonts w:ascii="Arial" w:hAnsi="Arial" w:cs="Arial"/>
          <w:sz w:val="24"/>
          <w:szCs w:val="24"/>
          <w:shd w:val="clear" w:color="auto" w:fill="FFFFFF"/>
        </w:rPr>
        <w:t>management of human resources</w:t>
      </w:r>
      <w:r w:rsidRPr="009645F4">
        <w:rPr>
          <w:rFonts w:ascii="Arial" w:hAnsi="Arial" w:cs="Arial"/>
          <w:sz w:val="24"/>
          <w:szCs w:val="24"/>
        </w:rPr>
        <w:t xml:space="preserve"> have additionally been stated as "the guiding standards that perceive and signify the cost and remedy of personnel blanketed inside a specific </w:t>
      </w:r>
      <w:r w:rsidRPr="009645F4">
        <w:rPr>
          <w:rStyle w:val="Strong"/>
          <w:rFonts w:ascii="Arial" w:hAnsi="Arial" w:cs="Arial"/>
          <w:sz w:val="24"/>
          <w:szCs w:val="24"/>
          <w:shd w:val="clear" w:color="auto" w:fill="FFFFFF"/>
        </w:rPr>
        <w:t>management of human resources</w:t>
      </w:r>
      <w:r w:rsidRPr="009645F4">
        <w:rPr>
          <w:rStyle w:val="Strong"/>
          <w:rFonts w:ascii="Arial" w:hAnsi="Arial" w:cs="Arial"/>
          <w:sz w:val="27"/>
          <w:szCs w:val="27"/>
          <w:shd w:val="clear" w:color="auto" w:fill="FFFFFF"/>
        </w:rPr>
        <w:t xml:space="preserve"> </w:t>
      </w:r>
      <w:r w:rsidRPr="009645F4">
        <w:rPr>
          <w:rFonts w:ascii="Arial" w:hAnsi="Arial" w:cs="Arial"/>
          <w:sz w:val="24"/>
          <w:szCs w:val="24"/>
        </w:rPr>
        <w:t>system" (</w:t>
      </w:r>
      <w:proofErr w:type="spellStart"/>
      <w:r w:rsidRPr="009645F4">
        <w:rPr>
          <w:rFonts w:ascii="Arial" w:hAnsi="Arial" w:cs="Arial"/>
          <w:sz w:val="24"/>
          <w:szCs w:val="24"/>
        </w:rPr>
        <w:t>Kepes</w:t>
      </w:r>
      <w:proofErr w:type="spellEnd"/>
      <w:r w:rsidRPr="009645F4">
        <w:rPr>
          <w:rFonts w:ascii="Arial" w:hAnsi="Arial" w:cs="Arial"/>
          <w:sz w:val="24"/>
          <w:szCs w:val="24"/>
        </w:rPr>
        <w:t xml:space="preserve"> and </w:t>
      </w:r>
      <w:proofErr w:type="spellStart"/>
      <w:r w:rsidRPr="009645F4">
        <w:rPr>
          <w:rFonts w:ascii="Arial" w:hAnsi="Arial" w:cs="Arial"/>
          <w:sz w:val="24"/>
          <w:szCs w:val="24"/>
        </w:rPr>
        <w:t>Delery</w:t>
      </w:r>
      <w:proofErr w:type="spellEnd"/>
      <w:r w:rsidRPr="009645F4">
        <w:rPr>
          <w:rFonts w:ascii="Arial" w:hAnsi="Arial" w:cs="Arial"/>
          <w:sz w:val="24"/>
          <w:szCs w:val="24"/>
        </w:rPr>
        <w:t>, 2007: 390).</w:t>
      </w:r>
    </w:p>
    <w:p w14:paraId="7F3C2F32"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 xml:space="preserve">People's knowledge, abilities, networks, and energy, in addition to their bodily and emotional health, highbrow capacity, personality, and motivation are all examples of human sources. An employer's precise sources and abilities in its surroundings are vital to preserving an aggressive advantage. Managers must appear inside their organisation for valuable, rare, and pricey copy sources for you to find those abilities and sources. They </w:t>
      </w:r>
      <w:proofErr w:type="gramStart"/>
      <w:r w:rsidRPr="009645F4">
        <w:rPr>
          <w:rFonts w:ascii="Arial" w:hAnsi="Arial" w:cs="Arial"/>
          <w:sz w:val="24"/>
          <w:szCs w:val="24"/>
        </w:rPr>
        <w:t>have to</w:t>
      </w:r>
      <w:proofErr w:type="gramEnd"/>
      <w:r w:rsidRPr="009645F4">
        <w:rPr>
          <w:rFonts w:ascii="Arial" w:hAnsi="Arial" w:cs="Arial"/>
          <w:sz w:val="24"/>
          <w:szCs w:val="24"/>
        </w:rPr>
        <w:t xml:space="preserve"> then take advantage of those sources in the course of their organisation. Barney's (1996). According to Tang and King (2018), on p. 7, the term "worker turnover" refers to the </w:t>
      </w:r>
      <w:proofErr w:type="gramStart"/>
      <w:r w:rsidRPr="009645F4">
        <w:rPr>
          <w:rFonts w:ascii="Arial" w:hAnsi="Arial" w:cs="Arial"/>
          <w:sz w:val="24"/>
          <w:szCs w:val="24"/>
        </w:rPr>
        <w:t>state of affairs</w:t>
      </w:r>
      <w:proofErr w:type="gramEnd"/>
      <w:r w:rsidRPr="009645F4">
        <w:rPr>
          <w:rFonts w:ascii="Arial" w:hAnsi="Arial" w:cs="Arial"/>
          <w:sz w:val="24"/>
          <w:szCs w:val="24"/>
        </w:rPr>
        <w:t xml:space="preserve"> wherein a worker leaves a present role inside an organisation, effectively "absolutely finishing the operating relationship."</w:t>
      </w:r>
    </w:p>
    <w:p w14:paraId="42EB8348"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Although the intention to leave does not always reflect an employee's actual turnover, in many cases, the intention to leave was an indicator or proxy for anticipated turnover (Tang and King, 2018; Mobley et al., 1978). The decision to quit can be influenced by several circumstances, some of which are internal and under the employee's complete or partial control.</w:t>
      </w:r>
    </w:p>
    <w:p w14:paraId="60182D35" w14:textId="77777777" w:rsidR="005209D0" w:rsidRPr="009645F4" w:rsidRDefault="005209D0" w:rsidP="005209D0">
      <w:pPr>
        <w:spacing w:line="360" w:lineRule="auto"/>
        <w:rPr>
          <w:rFonts w:ascii="Arial" w:hAnsi="Arial" w:cs="Arial"/>
          <w:sz w:val="24"/>
          <w:szCs w:val="24"/>
        </w:rPr>
      </w:pPr>
      <w:r w:rsidRPr="009645F4">
        <w:rPr>
          <w:rFonts w:ascii="Arial" w:hAnsi="Arial" w:cs="Arial"/>
          <w:sz w:val="24"/>
          <w:szCs w:val="24"/>
        </w:rPr>
        <w:t xml:space="preserve">However, some factors may be outside the employee and over which the employee has little or no control. The existing literature is based on dissatisfaction with current </w:t>
      </w:r>
      <w:r w:rsidRPr="009645F4">
        <w:rPr>
          <w:rFonts w:ascii="Arial" w:hAnsi="Arial" w:cs="Arial"/>
          <w:sz w:val="24"/>
          <w:szCs w:val="24"/>
        </w:rPr>
        <w:lastRenderedPageBreak/>
        <w:t>employment (</w:t>
      </w:r>
      <w:proofErr w:type="spellStart"/>
      <w:r w:rsidRPr="009645F4">
        <w:rPr>
          <w:rFonts w:ascii="Arial" w:hAnsi="Arial" w:cs="Arial"/>
          <w:sz w:val="24"/>
          <w:szCs w:val="24"/>
        </w:rPr>
        <w:t>AlBattat</w:t>
      </w:r>
      <w:proofErr w:type="spellEnd"/>
      <w:r w:rsidRPr="009645F4">
        <w:rPr>
          <w:rFonts w:ascii="Arial" w:hAnsi="Arial" w:cs="Arial"/>
          <w:sz w:val="24"/>
          <w:szCs w:val="24"/>
        </w:rPr>
        <w:t xml:space="preserve"> and </w:t>
      </w:r>
      <w:proofErr w:type="spellStart"/>
      <w:r w:rsidRPr="009645F4">
        <w:rPr>
          <w:rFonts w:ascii="Arial" w:hAnsi="Arial" w:cs="Arial"/>
          <w:sz w:val="24"/>
          <w:szCs w:val="24"/>
        </w:rPr>
        <w:t>Som</w:t>
      </w:r>
      <w:proofErr w:type="spellEnd"/>
      <w:r w:rsidRPr="009645F4">
        <w:rPr>
          <w:rFonts w:ascii="Arial" w:hAnsi="Arial" w:cs="Arial"/>
          <w:sz w:val="24"/>
          <w:szCs w:val="24"/>
        </w:rPr>
        <w:t xml:space="preserve">, 2013; </w:t>
      </w:r>
      <w:proofErr w:type="spellStart"/>
      <w:r w:rsidRPr="009645F4">
        <w:rPr>
          <w:rFonts w:ascii="Arial" w:hAnsi="Arial" w:cs="Arial"/>
          <w:sz w:val="24"/>
          <w:szCs w:val="24"/>
        </w:rPr>
        <w:t>Hom</w:t>
      </w:r>
      <w:proofErr w:type="spellEnd"/>
      <w:r w:rsidRPr="009645F4">
        <w:rPr>
          <w:rFonts w:ascii="Arial" w:hAnsi="Arial" w:cs="Arial"/>
          <w:sz w:val="24"/>
          <w:szCs w:val="24"/>
        </w:rPr>
        <w:t xml:space="preserve"> and Kinicki, 2001; </w:t>
      </w:r>
      <w:proofErr w:type="spellStart"/>
      <w:r w:rsidRPr="009645F4">
        <w:rPr>
          <w:rFonts w:ascii="Arial" w:hAnsi="Arial" w:cs="Arial"/>
          <w:sz w:val="24"/>
          <w:szCs w:val="24"/>
        </w:rPr>
        <w:t>Koys</w:t>
      </w:r>
      <w:proofErr w:type="spellEnd"/>
      <w:r w:rsidRPr="009645F4">
        <w:rPr>
          <w:rFonts w:ascii="Arial" w:hAnsi="Arial" w:cs="Arial"/>
          <w:sz w:val="24"/>
          <w:szCs w:val="24"/>
        </w:rPr>
        <w:t xml:space="preserve">, 2001; Medina, 2012; Mobley et al., 1978; </w:t>
      </w:r>
      <w:proofErr w:type="spellStart"/>
      <w:r w:rsidRPr="009645F4">
        <w:rPr>
          <w:rFonts w:ascii="Arial" w:hAnsi="Arial" w:cs="Arial"/>
          <w:sz w:val="24"/>
          <w:szCs w:val="24"/>
        </w:rPr>
        <w:t>Tooksoon</w:t>
      </w:r>
      <w:proofErr w:type="spellEnd"/>
      <w:r w:rsidRPr="009645F4">
        <w:rPr>
          <w:rFonts w:ascii="Arial" w:hAnsi="Arial" w:cs="Arial"/>
          <w:sz w:val="24"/>
          <w:szCs w:val="24"/>
        </w:rPr>
        <w:t>, 2011), exposure to or appearance in alternative employment. generally, agree. Opportunity (Mobley et al., 1979; Yang et al., 2012) and lack of alignment of goals and values ​​between organizations and employees (</w:t>
      </w:r>
      <w:proofErr w:type="spellStart"/>
      <w:r w:rsidRPr="009645F4">
        <w:rPr>
          <w:rFonts w:ascii="Arial" w:hAnsi="Arial" w:cs="Arial"/>
          <w:sz w:val="24"/>
          <w:szCs w:val="24"/>
        </w:rPr>
        <w:t>Dysvik</w:t>
      </w:r>
      <w:proofErr w:type="spellEnd"/>
      <w:r w:rsidRPr="009645F4">
        <w:rPr>
          <w:rFonts w:ascii="Arial" w:hAnsi="Arial" w:cs="Arial"/>
          <w:sz w:val="24"/>
          <w:szCs w:val="24"/>
        </w:rPr>
        <w:t xml:space="preserve"> and </w:t>
      </w:r>
      <w:proofErr w:type="spellStart"/>
      <w:r w:rsidRPr="009645F4">
        <w:rPr>
          <w:rFonts w:ascii="Arial" w:hAnsi="Arial" w:cs="Arial"/>
          <w:sz w:val="24"/>
          <w:szCs w:val="24"/>
        </w:rPr>
        <w:t>Kuvaas</w:t>
      </w:r>
      <w:proofErr w:type="spellEnd"/>
      <w:r w:rsidRPr="009645F4">
        <w:rPr>
          <w:rFonts w:ascii="Arial" w:hAnsi="Arial" w:cs="Arial"/>
          <w:sz w:val="24"/>
          <w:szCs w:val="24"/>
        </w:rPr>
        <w:t>, 2010; Memon et al., 2014; Memon et al., 2018). The most important internal factors influencing employee turnover intentions and, as a result, leading to actual turnover for many.</w:t>
      </w:r>
    </w:p>
    <w:p w14:paraId="1A8B321B" w14:textId="77777777" w:rsidR="005209D0" w:rsidRPr="009645F4" w:rsidRDefault="005209D0" w:rsidP="005209D0">
      <w:pPr>
        <w:spacing w:line="360" w:lineRule="auto"/>
        <w:rPr>
          <w:rStyle w:val="sw"/>
        </w:rPr>
      </w:pPr>
      <w:r w:rsidRPr="009645F4">
        <w:rPr>
          <w:rStyle w:val="sw"/>
          <w:rFonts w:ascii="Arial" w:hAnsi="Arial" w:cs="Arial"/>
          <w:sz w:val="24"/>
          <w:szCs w:val="24"/>
        </w:rPr>
        <w:t xml:space="preserve">Poor operating conditions, a loss of manager support, age, tenure, and function conflicts are </w:t>
      </w:r>
      <w:proofErr w:type="gramStart"/>
      <w:r w:rsidRPr="009645F4">
        <w:rPr>
          <w:rStyle w:val="sw"/>
          <w:rFonts w:ascii="Arial" w:hAnsi="Arial" w:cs="Arial"/>
          <w:sz w:val="24"/>
          <w:szCs w:val="24"/>
        </w:rPr>
        <w:t>a number of</w:t>
      </w:r>
      <w:proofErr w:type="gramEnd"/>
      <w:r w:rsidRPr="009645F4">
        <w:rPr>
          <w:rStyle w:val="sw"/>
          <w:rFonts w:ascii="Arial" w:hAnsi="Arial" w:cs="Arial"/>
          <w:sz w:val="24"/>
          <w:szCs w:val="24"/>
        </w:rPr>
        <w:t xml:space="preserve"> the alternative elements which could result in process dissatisfaction (</w:t>
      </w:r>
      <w:proofErr w:type="spellStart"/>
      <w:r w:rsidRPr="009645F4">
        <w:rPr>
          <w:rStyle w:val="sw"/>
          <w:rFonts w:ascii="Arial" w:hAnsi="Arial" w:cs="Arial"/>
          <w:sz w:val="24"/>
          <w:szCs w:val="24"/>
        </w:rPr>
        <w:t>AlBattat</w:t>
      </w:r>
      <w:proofErr w:type="spellEnd"/>
      <w:r w:rsidRPr="009645F4">
        <w:rPr>
          <w:rStyle w:val="sw"/>
          <w:rFonts w:ascii="Arial" w:hAnsi="Arial" w:cs="Arial"/>
          <w:sz w:val="24"/>
          <w:szCs w:val="24"/>
        </w:rPr>
        <w:t xml:space="preserve"> </w:t>
      </w:r>
      <w:proofErr w:type="spellStart"/>
      <w:r w:rsidRPr="009645F4">
        <w:rPr>
          <w:rStyle w:val="sw"/>
          <w:rFonts w:ascii="Arial" w:hAnsi="Arial" w:cs="Arial"/>
          <w:sz w:val="24"/>
          <w:szCs w:val="24"/>
        </w:rPr>
        <w:t>Hom</w:t>
      </w:r>
      <w:proofErr w:type="spellEnd"/>
      <w:r w:rsidRPr="009645F4">
        <w:rPr>
          <w:rStyle w:val="sw"/>
          <w:rFonts w:ascii="Arial" w:hAnsi="Arial" w:cs="Arial"/>
          <w:sz w:val="24"/>
          <w:szCs w:val="24"/>
        </w:rPr>
        <w:t xml:space="preserve"> and Kinicki, 2001; Kim, 2014; Mobley and different, 1978; 2011 </w:t>
      </w:r>
      <w:proofErr w:type="spellStart"/>
      <w:r w:rsidRPr="009645F4">
        <w:rPr>
          <w:rStyle w:val="sw"/>
          <w:rFonts w:ascii="Arial" w:hAnsi="Arial" w:cs="Arial"/>
          <w:sz w:val="24"/>
          <w:szCs w:val="24"/>
        </w:rPr>
        <w:t>Tooksoon</w:t>
      </w:r>
      <w:proofErr w:type="spellEnd"/>
      <w:r w:rsidRPr="009645F4">
        <w:rPr>
          <w:rStyle w:val="sw"/>
          <w:rFonts w:ascii="Arial" w:hAnsi="Arial" w:cs="Arial"/>
          <w:sz w:val="24"/>
          <w:szCs w:val="24"/>
        </w:rPr>
        <w:t>). Utilizing information from the General Social Survey's Quality of Work Life module, Medina (2012) investigated the relationship between worker turnover intentions and process pleasure withinside the context of organizational subculture. As evidenced via way of means of their advanced effects and capability to attract, motivate, and preserve high-appearing personnel, their effects supply departments, and businesses with high-overall performance cultures with better tiers of process pleasure. Organizations and departments with low-appearing cultures skilled the opposite. According to the researchers, organizational subculture moderated the value of the connection between process pleasure and the purpose to leave. When personnel examine their modern roles and potentialities with the ones in different businesses that can be better, worker turnover intentions are regularly raised (Mobley et al.,1979). Yang et al. performed a look at Taiwanese resort people (2012) and observed that greater than 80% of individuals left their jobs to paint in different hotels.</w:t>
      </w:r>
    </w:p>
    <w:p w14:paraId="690E0634" w14:textId="77777777" w:rsidR="005209D0" w:rsidRPr="009645F4" w:rsidRDefault="005209D0" w:rsidP="005209D0">
      <w:pPr>
        <w:spacing w:line="360" w:lineRule="auto"/>
        <w:rPr>
          <w:rStyle w:val="sw"/>
          <w:rFonts w:ascii="Arial" w:hAnsi="Arial" w:cs="Arial"/>
          <w:smallCaps/>
        </w:rPr>
      </w:pPr>
      <w:r w:rsidRPr="009645F4">
        <w:rPr>
          <w:rStyle w:val="sw"/>
          <w:rFonts w:ascii="Arial" w:hAnsi="Arial" w:cs="Arial"/>
          <w:sz w:val="24"/>
          <w:szCs w:val="24"/>
        </w:rPr>
        <w:t xml:space="preserve"> In the Forest of Arden Marriott hotel &amp; country club, the engagement of the people is appreciated and recorded every year with the purpose to evolve and promote the workers from the inside. In the reception area on a wall, can be seen the Wall of Fame with more than fifteen employers, that are working there for more than ten years. In this hotel are working people for more than twenty-five years.</w:t>
      </w:r>
    </w:p>
    <w:p w14:paraId="5A10F545" w14:textId="77777777" w:rsidR="005209D0" w:rsidRPr="009645F4" w:rsidRDefault="005209D0" w:rsidP="005209D0">
      <w:pPr>
        <w:spacing w:line="360" w:lineRule="auto"/>
        <w:rPr>
          <w:sz w:val="24"/>
          <w:szCs w:val="24"/>
        </w:rPr>
      </w:pPr>
      <w:r w:rsidRPr="009645F4">
        <w:rPr>
          <w:rStyle w:val="sw"/>
          <w:rFonts w:ascii="Arial" w:hAnsi="Arial" w:cs="Arial"/>
          <w:sz w:val="24"/>
          <w:szCs w:val="24"/>
        </w:rPr>
        <w:t xml:space="preserve">In phrases of aligning values and goals, a scarcity of private and organizational matches could make a few jobs meaningless, motivate mental distance, lower </w:t>
      </w:r>
      <w:r w:rsidRPr="009645F4">
        <w:rPr>
          <w:rStyle w:val="sw"/>
          <w:rFonts w:ascii="Arial" w:hAnsi="Arial" w:cs="Arial"/>
          <w:sz w:val="24"/>
          <w:szCs w:val="24"/>
        </w:rPr>
        <w:lastRenderedPageBreak/>
        <w:t>worker engagement withinside the workplace, and reduce worker intentions to leave. Memon and different,2014, 2018).</w:t>
      </w:r>
    </w:p>
    <w:p w14:paraId="579E45FC" w14:textId="77777777" w:rsidR="005209D0" w:rsidRDefault="005209D0" w:rsidP="005209D0">
      <w:pPr>
        <w:spacing w:line="360" w:lineRule="auto"/>
        <w:rPr>
          <w:rFonts w:ascii="Arial" w:hAnsi="Arial" w:cs="Arial"/>
          <w:sz w:val="24"/>
          <w:szCs w:val="24"/>
        </w:rPr>
      </w:pPr>
    </w:p>
    <w:p w14:paraId="6DEFC04B" w14:textId="77777777" w:rsidR="005209D0" w:rsidRDefault="005209D0" w:rsidP="005209D0">
      <w:pPr>
        <w:spacing w:line="360" w:lineRule="auto"/>
        <w:rPr>
          <w:rFonts w:ascii="Arial" w:hAnsi="Arial" w:cs="Arial"/>
          <w:sz w:val="24"/>
          <w:szCs w:val="24"/>
        </w:rPr>
      </w:pPr>
    </w:p>
    <w:p w14:paraId="21B0DEBB" w14:textId="77777777" w:rsidR="005209D0" w:rsidRDefault="005209D0" w:rsidP="005209D0">
      <w:pPr>
        <w:spacing w:line="360" w:lineRule="auto"/>
        <w:rPr>
          <w:rFonts w:ascii="Arial" w:hAnsi="Arial" w:cs="Arial"/>
          <w:sz w:val="24"/>
          <w:szCs w:val="24"/>
        </w:rPr>
      </w:pPr>
    </w:p>
    <w:p w14:paraId="195D6B8D" w14:textId="77777777" w:rsidR="005209D0" w:rsidRDefault="005209D0" w:rsidP="005209D0">
      <w:pPr>
        <w:spacing w:line="360" w:lineRule="auto"/>
        <w:rPr>
          <w:rFonts w:ascii="Arial" w:hAnsi="Arial" w:cs="Arial"/>
          <w:sz w:val="24"/>
          <w:szCs w:val="24"/>
        </w:rPr>
      </w:pPr>
    </w:p>
    <w:p w14:paraId="2FF3BBDE" w14:textId="77777777" w:rsidR="005209D0" w:rsidRDefault="005209D0" w:rsidP="005209D0">
      <w:pPr>
        <w:spacing w:line="360" w:lineRule="auto"/>
        <w:rPr>
          <w:rFonts w:ascii="Arial" w:hAnsi="Arial" w:cs="Arial"/>
          <w:sz w:val="24"/>
          <w:szCs w:val="24"/>
        </w:rPr>
      </w:pPr>
    </w:p>
    <w:p w14:paraId="347AFD9B" w14:textId="77777777" w:rsidR="005209D0" w:rsidRDefault="005209D0" w:rsidP="005209D0">
      <w:pPr>
        <w:spacing w:line="360" w:lineRule="auto"/>
        <w:rPr>
          <w:rFonts w:ascii="Arial" w:hAnsi="Arial" w:cs="Arial"/>
          <w:sz w:val="24"/>
          <w:szCs w:val="24"/>
        </w:rPr>
      </w:pPr>
    </w:p>
    <w:p w14:paraId="6D5FE17F" w14:textId="77777777" w:rsidR="005209D0" w:rsidRDefault="005209D0" w:rsidP="005209D0">
      <w:pPr>
        <w:pStyle w:val="ListParagraph"/>
        <w:rPr>
          <w:rStyle w:val="SubtleReference"/>
        </w:rPr>
      </w:pPr>
    </w:p>
    <w:p w14:paraId="125ABC33" w14:textId="77777777" w:rsidR="005209D0" w:rsidRDefault="005209D0" w:rsidP="005209D0">
      <w:pPr>
        <w:pStyle w:val="ListParagraph"/>
        <w:rPr>
          <w:rStyle w:val="SubtleReference"/>
          <w:rFonts w:ascii="Arial" w:hAnsi="Arial" w:cs="Arial"/>
          <w:sz w:val="24"/>
          <w:szCs w:val="24"/>
        </w:rPr>
      </w:pPr>
    </w:p>
    <w:p w14:paraId="3DF2BC21" w14:textId="77777777" w:rsidR="005209D0" w:rsidRDefault="005209D0" w:rsidP="005209D0">
      <w:pPr>
        <w:pStyle w:val="ListParagraph"/>
        <w:rPr>
          <w:rStyle w:val="SubtleReference"/>
          <w:rFonts w:ascii="Arial" w:hAnsi="Arial" w:cs="Arial"/>
          <w:sz w:val="24"/>
          <w:szCs w:val="24"/>
        </w:rPr>
      </w:pPr>
    </w:p>
    <w:p w14:paraId="24282265" w14:textId="77777777" w:rsidR="005209D0" w:rsidRDefault="005209D0" w:rsidP="005209D0">
      <w:pPr>
        <w:pStyle w:val="ListParagraph"/>
        <w:rPr>
          <w:rStyle w:val="SubtleReference"/>
          <w:rFonts w:ascii="Arial" w:hAnsi="Arial" w:cs="Arial"/>
          <w:sz w:val="24"/>
          <w:szCs w:val="24"/>
        </w:rPr>
      </w:pPr>
    </w:p>
    <w:p w14:paraId="32BC3F74" w14:textId="77777777" w:rsidR="005209D0" w:rsidRDefault="005209D0" w:rsidP="005209D0">
      <w:pPr>
        <w:pStyle w:val="ListParagraph"/>
        <w:rPr>
          <w:rStyle w:val="SubtleReference"/>
          <w:rFonts w:ascii="Arial" w:hAnsi="Arial" w:cs="Arial"/>
          <w:sz w:val="24"/>
          <w:szCs w:val="24"/>
        </w:rPr>
      </w:pPr>
    </w:p>
    <w:p w14:paraId="7ADB18E8" w14:textId="77777777" w:rsidR="005209D0" w:rsidRDefault="005209D0" w:rsidP="005209D0">
      <w:pPr>
        <w:pStyle w:val="ListParagraph"/>
        <w:rPr>
          <w:rStyle w:val="SubtleReference"/>
          <w:rFonts w:ascii="Arial" w:hAnsi="Arial" w:cs="Arial"/>
          <w:sz w:val="24"/>
          <w:szCs w:val="24"/>
        </w:rPr>
      </w:pPr>
    </w:p>
    <w:p w14:paraId="42577F55" w14:textId="77777777" w:rsidR="005209D0" w:rsidRDefault="005209D0" w:rsidP="005209D0">
      <w:pPr>
        <w:pStyle w:val="ListParagraph"/>
        <w:rPr>
          <w:rStyle w:val="SubtleReference"/>
          <w:rFonts w:ascii="Arial" w:hAnsi="Arial" w:cs="Arial"/>
          <w:sz w:val="24"/>
          <w:szCs w:val="24"/>
        </w:rPr>
      </w:pPr>
    </w:p>
    <w:p w14:paraId="31BCADE1" w14:textId="77777777" w:rsidR="005209D0" w:rsidRDefault="005209D0" w:rsidP="005209D0">
      <w:pPr>
        <w:pStyle w:val="ListParagraph"/>
        <w:rPr>
          <w:rStyle w:val="SubtleReference"/>
          <w:rFonts w:ascii="Arial" w:hAnsi="Arial" w:cs="Arial"/>
          <w:sz w:val="24"/>
          <w:szCs w:val="24"/>
        </w:rPr>
      </w:pPr>
    </w:p>
    <w:p w14:paraId="2E676DF3" w14:textId="77777777" w:rsidR="005209D0" w:rsidRDefault="005209D0" w:rsidP="005209D0">
      <w:pPr>
        <w:pStyle w:val="ListParagraph"/>
        <w:rPr>
          <w:rStyle w:val="SubtleReference"/>
          <w:rFonts w:ascii="Arial" w:hAnsi="Arial" w:cs="Arial"/>
          <w:sz w:val="24"/>
          <w:szCs w:val="24"/>
        </w:rPr>
      </w:pPr>
    </w:p>
    <w:p w14:paraId="50F1DB9E" w14:textId="77777777" w:rsidR="005209D0" w:rsidRDefault="005209D0" w:rsidP="005209D0">
      <w:pPr>
        <w:pStyle w:val="ListParagraph"/>
        <w:rPr>
          <w:rStyle w:val="SubtleReference"/>
          <w:rFonts w:ascii="Arial" w:hAnsi="Arial" w:cs="Arial"/>
          <w:sz w:val="24"/>
          <w:szCs w:val="24"/>
        </w:rPr>
      </w:pPr>
    </w:p>
    <w:p w14:paraId="69831C28" w14:textId="77777777" w:rsidR="005209D0" w:rsidRDefault="005209D0" w:rsidP="005209D0">
      <w:pPr>
        <w:pStyle w:val="ListParagraph"/>
        <w:rPr>
          <w:rStyle w:val="SubtleReference"/>
          <w:rFonts w:ascii="Arial" w:hAnsi="Arial" w:cs="Arial"/>
          <w:sz w:val="24"/>
          <w:szCs w:val="24"/>
        </w:rPr>
      </w:pPr>
    </w:p>
    <w:p w14:paraId="65DC099D" w14:textId="77777777" w:rsidR="005209D0" w:rsidRDefault="005209D0" w:rsidP="005209D0">
      <w:pPr>
        <w:pStyle w:val="ListParagraph"/>
        <w:rPr>
          <w:rStyle w:val="SubtleReference"/>
          <w:rFonts w:ascii="Arial" w:hAnsi="Arial" w:cs="Arial"/>
          <w:sz w:val="24"/>
          <w:szCs w:val="24"/>
        </w:rPr>
      </w:pPr>
    </w:p>
    <w:p w14:paraId="4569B921" w14:textId="77777777" w:rsidR="005209D0" w:rsidRDefault="005209D0" w:rsidP="005209D0">
      <w:pPr>
        <w:pStyle w:val="ListParagraph"/>
        <w:rPr>
          <w:rStyle w:val="SubtleReference"/>
          <w:rFonts w:ascii="Arial" w:hAnsi="Arial" w:cs="Arial"/>
          <w:sz w:val="24"/>
          <w:szCs w:val="24"/>
        </w:rPr>
      </w:pPr>
    </w:p>
    <w:p w14:paraId="03F012D0" w14:textId="77777777" w:rsidR="005209D0" w:rsidRDefault="005209D0" w:rsidP="005209D0">
      <w:pPr>
        <w:pStyle w:val="ListParagraph"/>
        <w:rPr>
          <w:rStyle w:val="SubtleReference"/>
          <w:rFonts w:ascii="Arial" w:hAnsi="Arial" w:cs="Arial"/>
          <w:sz w:val="24"/>
          <w:szCs w:val="24"/>
        </w:rPr>
      </w:pPr>
    </w:p>
    <w:p w14:paraId="2C0E77A7" w14:textId="77777777" w:rsidR="005209D0" w:rsidRDefault="005209D0" w:rsidP="005209D0">
      <w:pPr>
        <w:pStyle w:val="ListParagraph"/>
        <w:rPr>
          <w:rStyle w:val="SubtleReference"/>
          <w:rFonts w:ascii="Arial" w:hAnsi="Arial" w:cs="Arial"/>
          <w:sz w:val="24"/>
          <w:szCs w:val="24"/>
        </w:rPr>
      </w:pPr>
    </w:p>
    <w:p w14:paraId="4210FD16" w14:textId="77777777" w:rsidR="005209D0" w:rsidRDefault="005209D0" w:rsidP="005209D0">
      <w:pPr>
        <w:pStyle w:val="ListParagraph"/>
        <w:rPr>
          <w:rStyle w:val="SubtleReference"/>
          <w:rFonts w:ascii="Arial" w:hAnsi="Arial" w:cs="Arial"/>
          <w:sz w:val="24"/>
          <w:szCs w:val="24"/>
        </w:rPr>
      </w:pPr>
    </w:p>
    <w:p w14:paraId="20CA1068" w14:textId="77777777" w:rsidR="005209D0" w:rsidRDefault="005209D0" w:rsidP="005209D0">
      <w:pPr>
        <w:pStyle w:val="ListParagraph"/>
        <w:rPr>
          <w:rStyle w:val="SubtleReference"/>
          <w:rFonts w:ascii="Arial" w:hAnsi="Arial" w:cs="Arial"/>
          <w:sz w:val="24"/>
          <w:szCs w:val="24"/>
        </w:rPr>
      </w:pPr>
    </w:p>
    <w:p w14:paraId="02E43057" w14:textId="77777777" w:rsidR="005209D0" w:rsidRDefault="005209D0" w:rsidP="005209D0">
      <w:pPr>
        <w:pStyle w:val="ListParagraph"/>
        <w:rPr>
          <w:rStyle w:val="SubtleReference"/>
          <w:rFonts w:ascii="Arial" w:hAnsi="Arial" w:cs="Arial"/>
          <w:sz w:val="24"/>
          <w:szCs w:val="24"/>
        </w:rPr>
      </w:pPr>
    </w:p>
    <w:p w14:paraId="071F22D2" w14:textId="77777777" w:rsidR="005209D0" w:rsidRDefault="005209D0" w:rsidP="005209D0">
      <w:pPr>
        <w:pStyle w:val="ListParagraph"/>
        <w:rPr>
          <w:rStyle w:val="SubtleReference"/>
          <w:rFonts w:ascii="Arial" w:hAnsi="Arial" w:cs="Arial"/>
          <w:sz w:val="24"/>
          <w:szCs w:val="24"/>
        </w:rPr>
      </w:pPr>
    </w:p>
    <w:p w14:paraId="50878205" w14:textId="77777777" w:rsidR="005209D0" w:rsidRDefault="005209D0" w:rsidP="005209D0">
      <w:pPr>
        <w:pStyle w:val="ListParagraph"/>
        <w:rPr>
          <w:rStyle w:val="SubtleReference"/>
          <w:rFonts w:ascii="Arial" w:hAnsi="Arial" w:cs="Arial"/>
          <w:sz w:val="24"/>
          <w:szCs w:val="24"/>
        </w:rPr>
      </w:pPr>
    </w:p>
    <w:p w14:paraId="7993DF55" w14:textId="77777777" w:rsidR="005209D0" w:rsidRDefault="005209D0" w:rsidP="005209D0">
      <w:pPr>
        <w:pStyle w:val="ListParagraph"/>
        <w:rPr>
          <w:rStyle w:val="SubtleReference"/>
          <w:rFonts w:ascii="Arial" w:hAnsi="Arial" w:cs="Arial"/>
          <w:sz w:val="24"/>
          <w:szCs w:val="24"/>
        </w:rPr>
      </w:pPr>
    </w:p>
    <w:p w14:paraId="38EBB584" w14:textId="77777777" w:rsidR="005209D0" w:rsidRDefault="005209D0" w:rsidP="005209D0">
      <w:pPr>
        <w:pStyle w:val="ListParagraph"/>
        <w:rPr>
          <w:rStyle w:val="SubtleReference"/>
          <w:rFonts w:ascii="Arial" w:hAnsi="Arial" w:cs="Arial"/>
          <w:sz w:val="24"/>
          <w:szCs w:val="24"/>
        </w:rPr>
      </w:pPr>
    </w:p>
    <w:p w14:paraId="459F69AF" w14:textId="77777777" w:rsidR="005209D0" w:rsidRDefault="005209D0" w:rsidP="005209D0">
      <w:pPr>
        <w:pStyle w:val="ListParagraph"/>
        <w:rPr>
          <w:rStyle w:val="SubtleReference"/>
          <w:rFonts w:ascii="Arial" w:hAnsi="Arial" w:cs="Arial"/>
          <w:sz w:val="24"/>
          <w:szCs w:val="24"/>
        </w:rPr>
      </w:pPr>
    </w:p>
    <w:p w14:paraId="0FA64B86" w14:textId="77777777" w:rsidR="005209D0" w:rsidRDefault="005209D0" w:rsidP="005209D0">
      <w:pPr>
        <w:pStyle w:val="ListParagraph"/>
        <w:rPr>
          <w:rStyle w:val="SubtleReference"/>
          <w:rFonts w:ascii="Arial" w:hAnsi="Arial" w:cs="Arial"/>
          <w:sz w:val="24"/>
          <w:szCs w:val="24"/>
        </w:rPr>
      </w:pPr>
    </w:p>
    <w:p w14:paraId="79AC0B33" w14:textId="77777777" w:rsidR="005209D0" w:rsidRDefault="005209D0" w:rsidP="005209D0">
      <w:pPr>
        <w:pStyle w:val="ListParagraph"/>
        <w:rPr>
          <w:rStyle w:val="SubtleReference"/>
          <w:rFonts w:ascii="Arial" w:hAnsi="Arial" w:cs="Arial"/>
          <w:sz w:val="24"/>
          <w:szCs w:val="24"/>
        </w:rPr>
      </w:pPr>
    </w:p>
    <w:p w14:paraId="58369438" w14:textId="77777777" w:rsidR="005209D0" w:rsidRDefault="005209D0" w:rsidP="005209D0">
      <w:pPr>
        <w:pStyle w:val="ListParagraph"/>
        <w:rPr>
          <w:rStyle w:val="SubtleReference"/>
          <w:rFonts w:ascii="Arial" w:hAnsi="Arial" w:cs="Arial"/>
          <w:sz w:val="24"/>
          <w:szCs w:val="24"/>
        </w:rPr>
      </w:pPr>
    </w:p>
    <w:p w14:paraId="40E10960" w14:textId="77777777" w:rsidR="005209D0" w:rsidRDefault="005209D0" w:rsidP="005209D0">
      <w:pPr>
        <w:pStyle w:val="ListParagraph"/>
        <w:rPr>
          <w:rStyle w:val="SubtleReference"/>
          <w:rFonts w:ascii="Arial" w:hAnsi="Arial" w:cs="Arial"/>
          <w:sz w:val="24"/>
          <w:szCs w:val="24"/>
        </w:rPr>
      </w:pPr>
    </w:p>
    <w:p w14:paraId="14318A55" w14:textId="77777777" w:rsidR="005209D0" w:rsidRDefault="005209D0" w:rsidP="005209D0">
      <w:pPr>
        <w:pStyle w:val="ListParagraph"/>
        <w:rPr>
          <w:rStyle w:val="SubtleReference"/>
          <w:rFonts w:ascii="Arial" w:hAnsi="Arial" w:cs="Arial"/>
          <w:sz w:val="24"/>
          <w:szCs w:val="24"/>
        </w:rPr>
      </w:pPr>
    </w:p>
    <w:p w14:paraId="4B94AC48" w14:textId="77777777" w:rsidR="005209D0" w:rsidRDefault="005209D0" w:rsidP="005209D0">
      <w:pPr>
        <w:pStyle w:val="ListParagraph"/>
        <w:rPr>
          <w:rStyle w:val="SubtleReference"/>
          <w:rFonts w:ascii="Arial" w:hAnsi="Arial" w:cs="Arial"/>
          <w:sz w:val="24"/>
          <w:szCs w:val="24"/>
        </w:rPr>
      </w:pPr>
    </w:p>
    <w:p w14:paraId="21A211FC" w14:textId="77777777" w:rsidR="005209D0" w:rsidRPr="00454478" w:rsidRDefault="005209D0" w:rsidP="005209D0">
      <w:pPr>
        <w:rPr>
          <w:rStyle w:val="SubtleReference"/>
          <w:rFonts w:ascii="Arial" w:hAnsi="Arial" w:cs="Arial"/>
          <w:color w:val="auto"/>
        </w:rPr>
      </w:pPr>
      <w:proofErr w:type="spellStart"/>
      <w:r w:rsidRPr="00454478">
        <w:rPr>
          <w:rStyle w:val="SubtleReference"/>
          <w:rFonts w:ascii="Arial" w:hAnsi="Arial" w:cs="Arial"/>
          <w:color w:val="auto"/>
        </w:rPr>
        <w:lastRenderedPageBreak/>
        <w:t>Bibliografy</w:t>
      </w:r>
      <w:proofErr w:type="spellEnd"/>
    </w:p>
    <w:p w14:paraId="6198C37E" w14:textId="77777777" w:rsidR="005209D0" w:rsidRPr="00454478" w:rsidRDefault="005209D0" w:rsidP="005209D0">
      <w:pPr>
        <w:rPr>
          <w:rStyle w:val="SubtleReference"/>
          <w:rFonts w:ascii="Arial" w:hAnsi="Arial" w:cs="Arial"/>
          <w:color w:val="auto"/>
        </w:rPr>
      </w:pPr>
    </w:p>
    <w:p w14:paraId="3C909589" w14:textId="77777777" w:rsidR="005209D0" w:rsidRPr="00454478" w:rsidRDefault="005209D0" w:rsidP="005209D0">
      <w:pPr>
        <w:rPr>
          <w:rStyle w:val="SubtleReference"/>
          <w:rFonts w:ascii="Arial" w:hAnsi="Arial" w:cs="Arial"/>
          <w:color w:val="auto"/>
        </w:rPr>
      </w:pPr>
      <w:r w:rsidRPr="00454478">
        <w:rPr>
          <w:rFonts w:ascii="Arial" w:hAnsi="Arial" w:cs="Arial"/>
          <w:sz w:val="21"/>
          <w:szCs w:val="21"/>
          <w:shd w:val="clear" w:color="auto" w:fill="FFFFFF"/>
        </w:rPr>
        <w:t>ABDEL-MAKSOUD, A., KAMEL, H. and ELBANNA, S., 2016. Investigating relationships between stakeholders’ pressure, eco-control systems and hotel performance. </w:t>
      </w:r>
      <w:r w:rsidRPr="00454478">
        <w:rPr>
          <w:rFonts w:ascii="Arial" w:hAnsi="Arial" w:cs="Arial"/>
          <w:i/>
          <w:iCs/>
        </w:rPr>
        <w:t>International journal of hospitality management, </w:t>
      </w:r>
      <w:r w:rsidRPr="00454478">
        <w:rPr>
          <w:rFonts w:ascii="Arial" w:hAnsi="Arial" w:cs="Arial"/>
        </w:rPr>
        <w:t>59, pp. 95-104</w:t>
      </w:r>
    </w:p>
    <w:p w14:paraId="11C57DAB"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BARDI, J.A., 2006. </w:t>
      </w:r>
      <w:r w:rsidRPr="00454478">
        <w:rPr>
          <w:rFonts w:ascii="Arial" w:eastAsia="Times New Roman" w:hAnsi="Arial" w:cs="Arial"/>
          <w:i/>
          <w:iCs/>
          <w:sz w:val="21"/>
          <w:szCs w:val="21"/>
          <w:lang w:eastAsia="en-GB"/>
        </w:rPr>
        <w:t>Hotel front office management. </w:t>
      </w:r>
      <w:r w:rsidRPr="00454478">
        <w:rPr>
          <w:rFonts w:ascii="Arial" w:eastAsia="Times New Roman" w:hAnsi="Arial" w:cs="Arial"/>
          <w:sz w:val="21"/>
          <w:szCs w:val="21"/>
          <w:lang w:eastAsia="en-GB"/>
        </w:rPr>
        <w:t xml:space="preserve">4 </w:t>
      </w:r>
      <w:proofErr w:type="spellStart"/>
      <w:r w:rsidRPr="00454478">
        <w:rPr>
          <w:rFonts w:ascii="Arial" w:eastAsia="Times New Roman" w:hAnsi="Arial" w:cs="Arial"/>
          <w:sz w:val="21"/>
          <w:szCs w:val="21"/>
          <w:lang w:eastAsia="en-GB"/>
        </w:rPr>
        <w:t>edn</w:t>
      </w:r>
      <w:proofErr w:type="spellEnd"/>
      <w:r w:rsidRPr="00454478">
        <w:rPr>
          <w:rFonts w:ascii="Arial" w:eastAsia="Times New Roman" w:hAnsi="Arial" w:cs="Arial"/>
          <w:sz w:val="21"/>
          <w:szCs w:val="21"/>
          <w:lang w:eastAsia="en-GB"/>
        </w:rPr>
        <w:t>. Hoboken, N.J: Wiley.</w:t>
      </w:r>
    </w:p>
    <w:p w14:paraId="6072B4E1" w14:textId="77777777" w:rsidR="005209D0" w:rsidRPr="00454478" w:rsidRDefault="005209D0" w:rsidP="005209D0">
      <w:pPr>
        <w:shd w:val="clear" w:color="auto" w:fill="FFFFFF"/>
        <w:spacing w:after="173" w:line="240" w:lineRule="auto"/>
        <w:rPr>
          <w:rFonts w:ascii="Arial" w:eastAsia="Times New Roman" w:hAnsi="Arial" w:cs="Arial"/>
          <w:sz w:val="21"/>
          <w:szCs w:val="21"/>
          <w:lang w:val="es-ES" w:eastAsia="en-GB"/>
        </w:rPr>
      </w:pPr>
      <w:r w:rsidRPr="00454478">
        <w:rPr>
          <w:rFonts w:ascii="Arial" w:eastAsia="Times New Roman" w:hAnsi="Arial" w:cs="Arial"/>
          <w:sz w:val="21"/>
          <w:szCs w:val="21"/>
          <w:lang w:eastAsia="en-GB"/>
        </w:rPr>
        <w:t>BASHIR, S., KHWAJA, M.G. and MAHMOOD, A., 2021. Mores of the customer base for ecotourism industry: Development and validation of a new measurement scale. </w:t>
      </w:r>
      <w:proofErr w:type="spellStart"/>
      <w:r w:rsidRPr="00454478">
        <w:rPr>
          <w:rFonts w:ascii="Arial" w:eastAsia="Times New Roman" w:hAnsi="Arial" w:cs="Arial"/>
          <w:i/>
          <w:iCs/>
          <w:sz w:val="21"/>
          <w:szCs w:val="21"/>
          <w:lang w:val="es-ES" w:eastAsia="en-GB"/>
        </w:rPr>
        <w:t>PloS</w:t>
      </w:r>
      <w:proofErr w:type="spellEnd"/>
      <w:r w:rsidRPr="00454478">
        <w:rPr>
          <w:rFonts w:ascii="Arial" w:eastAsia="Times New Roman" w:hAnsi="Arial" w:cs="Arial"/>
          <w:i/>
          <w:iCs/>
          <w:sz w:val="21"/>
          <w:szCs w:val="21"/>
          <w:lang w:val="es-ES" w:eastAsia="en-GB"/>
        </w:rPr>
        <w:t xml:space="preserve"> </w:t>
      </w:r>
      <w:proofErr w:type="spellStart"/>
      <w:r w:rsidRPr="00454478">
        <w:rPr>
          <w:rFonts w:ascii="Arial" w:eastAsia="Times New Roman" w:hAnsi="Arial" w:cs="Arial"/>
          <w:i/>
          <w:iCs/>
          <w:sz w:val="21"/>
          <w:szCs w:val="21"/>
          <w:lang w:val="es-ES" w:eastAsia="en-GB"/>
        </w:rPr>
        <w:t>one</w:t>
      </w:r>
      <w:proofErr w:type="spellEnd"/>
      <w:r w:rsidRPr="00454478">
        <w:rPr>
          <w:rFonts w:ascii="Arial" w:eastAsia="Times New Roman" w:hAnsi="Arial" w:cs="Arial"/>
          <w:i/>
          <w:iCs/>
          <w:sz w:val="21"/>
          <w:szCs w:val="21"/>
          <w:lang w:val="es-ES" w:eastAsia="en-GB"/>
        </w:rPr>
        <w:t xml:space="preserve">; </w:t>
      </w:r>
      <w:proofErr w:type="spellStart"/>
      <w:r w:rsidRPr="00454478">
        <w:rPr>
          <w:rFonts w:ascii="Arial" w:eastAsia="Times New Roman" w:hAnsi="Arial" w:cs="Arial"/>
          <w:i/>
          <w:iCs/>
          <w:sz w:val="21"/>
          <w:szCs w:val="21"/>
          <w:lang w:val="es-ES" w:eastAsia="en-GB"/>
        </w:rPr>
        <w:t>PLoS</w:t>
      </w:r>
      <w:proofErr w:type="spellEnd"/>
      <w:r w:rsidRPr="00454478">
        <w:rPr>
          <w:rFonts w:ascii="Arial" w:eastAsia="Times New Roman" w:hAnsi="Arial" w:cs="Arial"/>
          <w:i/>
          <w:iCs/>
          <w:sz w:val="21"/>
          <w:szCs w:val="21"/>
          <w:lang w:val="es-ES" w:eastAsia="en-GB"/>
        </w:rPr>
        <w:t xml:space="preserve"> </w:t>
      </w:r>
      <w:proofErr w:type="spellStart"/>
      <w:r w:rsidRPr="00454478">
        <w:rPr>
          <w:rFonts w:ascii="Arial" w:eastAsia="Times New Roman" w:hAnsi="Arial" w:cs="Arial"/>
          <w:i/>
          <w:iCs/>
          <w:sz w:val="21"/>
          <w:szCs w:val="21"/>
          <w:lang w:val="es-ES" w:eastAsia="en-GB"/>
        </w:rPr>
        <w:t>One</w:t>
      </w:r>
      <w:proofErr w:type="spellEnd"/>
      <w:r w:rsidRPr="00454478">
        <w:rPr>
          <w:rFonts w:ascii="Arial" w:eastAsia="Times New Roman" w:hAnsi="Arial" w:cs="Arial"/>
          <w:i/>
          <w:iCs/>
          <w:sz w:val="21"/>
          <w:szCs w:val="21"/>
          <w:lang w:val="es-ES" w:eastAsia="en-GB"/>
        </w:rPr>
        <w:t>, </w:t>
      </w:r>
      <w:r w:rsidRPr="00454478">
        <w:rPr>
          <w:rFonts w:ascii="Arial" w:eastAsia="Times New Roman" w:hAnsi="Arial" w:cs="Arial"/>
          <w:b/>
          <w:bCs/>
          <w:sz w:val="21"/>
          <w:szCs w:val="21"/>
          <w:lang w:val="es-ES" w:eastAsia="en-GB"/>
        </w:rPr>
        <w:t>16</w:t>
      </w:r>
      <w:r w:rsidRPr="00454478">
        <w:rPr>
          <w:rFonts w:ascii="Arial" w:eastAsia="Times New Roman" w:hAnsi="Arial" w:cs="Arial"/>
          <w:sz w:val="21"/>
          <w:szCs w:val="21"/>
          <w:lang w:val="es-ES" w:eastAsia="en-GB"/>
        </w:rPr>
        <w:t>(2), pp. e0246410.</w:t>
      </w:r>
    </w:p>
    <w:p w14:paraId="2B91F893"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val="es-ES" w:eastAsia="en-GB"/>
        </w:rPr>
        <w:t xml:space="preserve">CEGARRA-NAVARRO, J., CÓRDOBA-PACHÓN, J.R. and GARCÍA-PÉREZ, A., 2016. </w:t>
      </w:r>
      <w:r w:rsidRPr="00454478">
        <w:rPr>
          <w:rFonts w:ascii="Arial" w:eastAsia="Times New Roman" w:hAnsi="Arial" w:cs="Arial"/>
          <w:sz w:val="21"/>
          <w:szCs w:val="21"/>
          <w:lang w:eastAsia="en-GB"/>
        </w:rPr>
        <w:t>Tuning knowledge ecosystems: exploring links between hotels’ knowledge structures and online government services provision. </w:t>
      </w:r>
      <w:r w:rsidRPr="00454478">
        <w:rPr>
          <w:rFonts w:ascii="Arial" w:eastAsia="Times New Roman" w:hAnsi="Arial" w:cs="Arial"/>
          <w:i/>
          <w:iCs/>
          <w:sz w:val="21"/>
          <w:szCs w:val="21"/>
          <w:lang w:eastAsia="en-GB"/>
        </w:rPr>
        <w:t>The Journal of technology transfer, </w:t>
      </w:r>
      <w:r w:rsidRPr="00454478">
        <w:rPr>
          <w:rFonts w:ascii="Arial" w:eastAsia="Times New Roman" w:hAnsi="Arial" w:cs="Arial"/>
          <w:b/>
          <w:bCs/>
          <w:sz w:val="21"/>
          <w:szCs w:val="21"/>
          <w:lang w:eastAsia="en-GB"/>
        </w:rPr>
        <w:t>42</w:t>
      </w:r>
      <w:r w:rsidRPr="00454478">
        <w:rPr>
          <w:rFonts w:ascii="Arial" w:eastAsia="Times New Roman" w:hAnsi="Arial" w:cs="Arial"/>
          <w:sz w:val="21"/>
          <w:szCs w:val="21"/>
          <w:lang w:eastAsia="en-GB"/>
        </w:rPr>
        <w:t>(2), pp. 302-319.</w:t>
      </w:r>
    </w:p>
    <w:p w14:paraId="19F9FB44"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DORAN, R. and LARSEN, S., 2016. The Relative Importance of Social and Personal Norms in Explaining Intentions to Choose Eco-Friendly Travel Options. </w:t>
      </w:r>
      <w:r w:rsidRPr="00454478">
        <w:rPr>
          <w:rFonts w:ascii="Arial" w:eastAsia="Times New Roman" w:hAnsi="Arial" w:cs="Arial"/>
          <w:i/>
          <w:iCs/>
          <w:sz w:val="21"/>
          <w:szCs w:val="21"/>
          <w:lang w:eastAsia="en-GB"/>
        </w:rPr>
        <w:t xml:space="preserve">The international journal of tourism research; </w:t>
      </w:r>
      <w:proofErr w:type="spellStart"/>
      <w:proofErr w:type="gramStart"/>
      <w:r w:rsidRPr="00454478">
        <w:rPr>
          <w:rFonts w:ascii="Arial" w:eastAsia="Times New Roman" w:hAnsi="Arial" w:cs="Arial"/>
          <w:i/>
          <w:iCs/>
          <w:sz w:val="21"/>
          <w:szCs w:val="21"/>
          <w:lang w:eastAsia="en-GB"/>
        </w:rPr>
        <w:t>Int.J.Tourism</w:t>
      </w:r>
      <w:proofErr w:type="spellEnd"/>
      <w:proofErr w:type="gramEnd"/>
      <w:r w:rsidRPr="00454478">
        <w:rPr>
          <w:rFonts w:ascii="Arial" w:eastAsia="Times New Roman" w:hAnsi="Arial" w:cs="Arial"/>
          <w:i/>
          <w:iCs/>
          <w:sz w:val="21"/>
          <w:szCs w:val="21"/>
          <w:lang w:eastAsia="en-GB"/>
        </w:rPr>
        <w:t xml:space="preserve"> Res, </w:t>
      </w:r>
      <w:r w:rsidRPr="00454478">
        <w:rPr>
          <w:rFonts w:ascii="Arial" w:eastAsia="Times New Roman" w:hAnsi="Arial" w:cs="Arial"/>
          <w:b/>
          <w:bCs/>
          <w:sz w:val="21"/>
          <w:szCs w:val="21"/>
          <w:lang w:eastAsia="en-GB"/>
        </w:rPr>
        <w:t>18</w:t>
      </w:r>
      <w:r w:rsidRPr="00454478">
        <w:rPr>
          <w:rFonts w:ascii="Arial" w:eastAsia="Times New Roman" w:hAnsi="Arial" w:cs="Arial"/>
          <w:sz w:val="21"/>
          <w:szCs w:val="21"/>
          <w:lang w:eastAsia="en-GB"/>
        </w:rPr>
        <w:t>(2), pp. 159-166.</w:t>
      </w:r>
    </w:p>
    <w:p w14:paraId="26292DB5"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ERRMANN, A., KIM, J., LEE, D.C., SEO, Y., LEE, J. and KIM, S.S., 2021. Mindfulness and pro-environmental hotel preference. </w:t>
      </w:r>
      <w:r w:rsidRPr="00454478">
        <w:rPr>
          <w:rFonts w:ascii="Arial" w:eastAsia="Times New Roman" w:hAnsi="Arial" w:cs="Arial"/>
          <w:i/>
          <w:iCs/>
          <w:sz w:val="21"/>
          <w:szCs w:val="21"/>
          <w:lang w:eastAsia="en-GB"/>
        </w:rPr>
        <w:t>Annals of Tourism Research, </w:t>
      </w:r>
      <w:r w:rsidRPr="00454478">
        <w:rPr>
          <w:rFonts w:ascii="Arial" w:eastAsia="Times New Roman" w:hAnsi="Arial" w:cs="Arial"/>
          <w:b/>
          <w:bCs/>
          <w:sz w:val="21"/>
          <w:szCs w:val="21"/>
          <w:lang w:eastAsia="en-GB"/>
        </w:rPr>
        <w:t>90</w:t>
      </w:r>
      <w:r w:rsidRPr="00454478">
        <w:rPr>
          <w:rFonts w:ascii="Arial" w:eastAsia="Times New Roman" w:hAnsi="Arial" w:cs="Arial"/>
          <w:sz w:val="21"/>
          <w:szCs w:val="21"/>
          <w:lang w:eastAsia="en-GB"/>
        </w:rPr>
        <w:t>, pp. 103263.</w:t>
      </w:r>
    </w:p>
    <w:p w14:paraId="14CB2F9B"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HOQUE, K., 2000. </w:t>
      </w:r>
      <w:r w:rsidRPr="00454478">
        <w:rPr>
          <w:rFonts w:ascii="Arial" w:eastAsia="Times New Roman" w:hAnsi="Arial" w:cs="Arial"/>
          <w:i/>
          <w:iCs/>
          <w:sz w:val="21"/>
          <w:szCs w:val="21"/>
          <w:lang w:eastAsia="en-GB"/>
        </w:rPr>
        <w:t>Human resource management in the hotel industry: strategy, innovation, and performance. </w:t>
      </w:r>
      <w:proofErr w:type="gramStart"/>
      <w:r w:rsidRPr="00454478">
        <w:rPr>
          <w:rFonts w:ascii="Arial" w:eastAsia="Times New Roman" w:hAnsi="Arial" w:cs="Arial"/>
          <w:sz w:val="21"/>
          <w:szCs w:val="21"/>
          <w:lang w:eastAsia="en-GB"/>
        </w:rPr>
        <w:t>London;:</w:t>
      </w:r>
      <w:proofErr w:type="gramEnd"/>
      <w:r w:rsidRPr="00454478">
        <w:rPr>
          <w:rFonts w:ascii="Arial" w:eastAsia="Times New Roman" w:hAnsi="Arial" w:cs="Arial"/>
          <w:sz w:val="21"/>
          <w:szCs w:val="21"/>
          <w:lang w:eastAsia="en-GB"/>
        </w:rPr>
        <w:t xml:space="preserve"> Routledge.</w:t>
      </w:r>
    </w:p>
    <w:p w14:paraId="51EDFF49"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HWANG, J., KIM, H. and CHOE, J.Y., 2020a. The Role of Eco-Friendly Edible Insect Restaurants in the Field of Sustainable Tourism. </w:t>
      </w:r>
      <w:r w:rsidRPr="00454478">
        <w:rPr>
          <w:rFonts w:ascii="Arial" w:eastAsia="Times New Roman" w:hAnsi="Arial" w:cs="Arial"/>
          <w:i/>
          <w:iCs/>
          <w:sz w:val="21"/>
          <w:szCs w:val="21"/>
          <w:lang w:eastAsia="en-GB"/>
        </w:rPr>
        <w:t>International journal of environmental research and public health, </w:t>
      </w:r>
      <w:r w:rsidRPr="00454478">
        <w:rPr>
          <w:rFonts w:ascii="Arial" w:eastAsia="Times New Roman" w:hAnsi="Arial" w:cs="Arial"/>
          <w:b/>
          <w:bCs/>
          <w:sz w:val="21"/>
          <w:szCs w:val="21"/>
          <w:lang w:eastAsia="en-GB"/>
        </w:rPr>
        <w:t>17</w:t>
      </w:r>
      <w:r w:rsidRPr="00454478">
        <w:rPr>
          <w:rFonts w:ascii="Arial" w:eastAsia="Times New Roman" w:hAnsi="Arial" w:cs="Arial"/>
          <w:sz w:val="21"/>
          <w:szCs w:val="21"/>
          <w:lang w:eastAsia="en-GB"/>
        </w:rPr>
        <w:t>(11), pp. 4064.</w:t>
      </w:r>
    </w:p>
    <w:p w14:paraId="32677347"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 xml:space="preserve">HWANG, J., KIM, I. and GULZAR, M.A., 2020b. Understanding the Eco-Friendly Role of Drone Food Delivery Services: Deepening the Theory of Planned </w:t>
      </w:r>
      <w:proofErr w:type="spellStart"/>
      <w:r w:rsidRPr="00454478">
        <w:rPr>
          <w:rFonts w:ascii="Arial" w:eastAsia="Times New Roman" w:hAnsi="Arial" w:cs="Arial"/>
          <w:sz w:val="21"/>
          <w:szCs w:val="21"/>
          <w:lang w:eastAsia="en-GB"/>
        </w:rPr>
        <w:t>Behavior</w:t>
      </w:r>
      <w:proofErr w:type="spellEnd"/>
      <w:r w:rsidRPr="00454478">
        <w:rPr>
          <w:rFonts w:ascii="Arial" w:eastAsia="Times New Roman" w:hAnsi="Arial" w:cs="Arial"/>
          <w:sz w:val="21"/>
          <w:szCs w:val="21"/>
          <w:lang w:eastAsia="en-GB"/>
        </w:rPr>
        <w:t>. </w:t>
      </w:r>
      <w:r w:rsidRPr="00454478">
        <w:rPr>
          <w:rFonts w:ascii="Arial" w:eastAsia="Times New Roman" w:hAnsi="Arial" w:cs="Arial"/>
          <w:i/>
          <w:iCs/>
          <w:sz w:val="21"/>
          <w:szCs w:val="21"/>
          <w:lang w:eastAsia="en-GB"/>
        </w:rPr>
        <w:t>Sustainability (Basel, Switzerland), </w:t>
      </w:r>
      <w:r w:rsidRPr="00454478">
        <w:rPr>
          <w:rFonts w:ascii="Arial" w:eastAsia="Times New Roman" w:hAnsi="Arial" w:cs="Arial"/>
          <w:b/>
          <w:bCs/>
          <w:sz w:val="21"/>
          <w:szCs w:val="21"/>
          <w:lang w:eastAsia="en-GB"/>
        </w:rPr>
        <w:t>12</w:t>
      </w:r>
      <w:r w:rsidRPr="00454478">
        <w:rPr>
          <w:rFonts w:ascii="Arial" w:eastAsia="Times New Roman" w:hAnsi="Arial" w:cs="Arial"/>
          <w:sz w:val="21"/>
          <w:szCs w:val="21"/>
          <w:lang w:eastAsia="en-GB"/>
        </w:rPr>
        <w:t>(4), pp. 1440.</w:t>
      </w:r>
    </w:p>
    <w:p w14:paraId="45BE49E0"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LEONIDOU, L.C., CHRISTODOULIDES, P. and THWAITES, D., 2016. External Determinants and Financial Outcomes of an Eco-friendly Orientation in Smaller Manufacturing Firms. </w:t>
      </w:r>
      <w:r w:rsidRPr="00454478">
        <w:rPr>
          <w:rFonts w:ascii="Arial" w:eastAsia="Times New Roman" w:hAnsi="Arial" w:cs="Arial"/>
          <w:i/>
          <w:iCs/>
          <w:sz w:val="21"/>
          <w:szCs w:val="21"/>
          <w:lang w:eastAsia="en-GB"/>
        </w:rPr>
        <w:t>Journal of Small Business Management; Journal of Small Business Management, </w:t>
      </w:r>
      <w:r w:rsidRPr="00454478">
        <w:rPr>
          <w:rFonts w:ascii="Arial" w:eastAsia="Times New Roman" w:hAnsi="Arial" w:cs="Arial"/>
          <w:b/>
          <w:bCs/>
          <w:sz w:val="21"/>
          <w:szCs w:val="21"/>
          <w:lang w:eastAsia="en-GB"/>
        </w:rPr>
        <w:t>54</w:t>
      </w:r>
      <w:r w:rsidRPr="00454478">
        <w:rPr>
          <w:rFonts w:ascii="Arial" w:eastAsia="Times New Roman" w:hAnsi="Arial" w:cs="Arial"/>
          <w:sz w:val="21"/>
          <w:szCs w:val="21"/>
          <w:lang w:eastAsia="en-GB"/>
        </w:rPr>
        <w:t>(1), pp. 5-25.</w:t>
      </w:r>
    </w:p>
    <w:p w14:paraId="30250379"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O'FALLON, M.J. and RUTHERFORD, D.G., 2011. </w:t>
      </w:r>
      <w:r w:rsidRPr="00454478">
        <w:rPr>
          <w:rFonts w:ascii="Arial" w:eastAsia="Times New Roman" w:hAnsi="Arial" w:cs="Arial"/>
          <w:i/>
          <w:iCs/>
          <w:sz w:val="21"/>
          <w:szCs w:val="21"/>
          <w:lang w:eastAsia="en-GB"/>
        </w:rPr>
        <w:t>Hotel management and operations. </w:t>
      </w:r>
      <w:r w:rsidRPr="00454478">
        <w:rPr>
          <w:rFonts w:ascii="Arial" w:eastAsia="Times New Roman" w:hAnsi="Arial" w:cs="Arial"/>
          <w:sz w:val="21"/>
          <w:szCs w:val="21"/>
          <w:lang w:eastAsia="en-GB"/>
        </w:rPr>
        <w:t xml:space="preserve">5 </w:t>
      </w:r>
      <w:proofErr w:type="spellStart"/>
      <w:r w:rsidRPr="00454478">
        <w:rPr>
          <w:rFonts w:ascii="Arial" w:eastAsia="Times New Roman" w:hAnsi="Arial" w:cs="Arial"/>
          <w:sz w:val="21"/>
          <w:szCs w:val="21"/>
          <w:lang w:eastAsia="en-GB"/>
        </w:rPr>
        <w:t>edn</w:t>
      </w:r>
      <w:proofErr w:type="spellEnd"/>
      <w:r w:rsidRPr="00454478">
        <w:rPr>
          <w:rFonts w:ascii="Arial" w:eastAsia="Times New Roman" w:hAnsi="Arial" w:cs="Arial"/>
          <w:sz w:val="21"/>
          <w:szCs w:val="21"/>
          <w:lang w:eastAsia="en-GB"/>
        </w:rPr>
        <w:t>. Hoboken, N.J: Wiley.</w:t>
      </w:r>
    </w:p>
    <w:p w14:paraId="1702FE6B"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 xml:space="preserve">SHIN, J., PARK, </w:t>
      </w:r>
      <w:proofErr w:type="gramStart"/>
      <w:r w:rsidRPr="00454478">
        <w:rPr>
          <w:rFonts w:ascii="Arial" w:eastAsia="Times New Roman" w:hAnsi="Arial" w:cs="Arial"/>
          <w:sz w:val="21"/>
          <w:szCs w:val="21"/>
          <w:lang w:eastAsia="en-GB"/>
        </w:rPr>
        <w:t>M.</w:t>
      </w:r>
      <w:proofErr w:type="gramEnd"/>
      <w:r w:rsidRPr="00454478">
        <w:rPr>
          <w:rFonts w:ascii="Arial" w:eastAsia="Times New Roman" w:hAnsi="Arial" w:cs="Arial"/>
          <w:sz w:val="21"/>
          <w:szCs w:val="21"/>
          <w:lang w:eastAsia="en-GB"/>
        </w:rPr>
        <w:t xml:space="preserve"> and MOON, M.K., 2015. Do Eco-friendly VMD and Store Reputation Increase Satisfaction of Retail Customers? </w:t>
      </w:r>
      <w:r w:rsidRPr="00454478">
        <w:rPr>
          <w:rFonts w:ascii="Arial" w:eastAsia="Times New Roman" w:hAnsi="Arial" w:cs="Arial"/>
          <w:i/>
          <w:iCs/>
          <w:sz w:val="21"/>
          <w:szCs w:val="21"/>
          <w:lang w:eastAsia="en-GB"/>
        </w:rPr>
        <w:t xml:space="preserve">Psychology &amp; Marketing; </w:t>
      </w:r>
      <w:proofErr w:type="spellStart"/>
      <w:r w:rsidRPr="00454478">
        <w:rPr>
          <w:rFonts w:ascii="Arial" w:eastAsia="Times New Roman" w:hAnsi="Arial" w:cs="Arial"/>
          <w:i/>
          <w:iCs/>
          <w:sz w:val="21"/>
          <w:szCs w:val="21"/>
          <w:lang w:eastAsia="en-GB"/>
        </w:rPr>
        <w:t>Psychol.Mark</w:t>
      </w:r>
      <w:proofErr w:type="spellEnd"/>
      <w:r w:rsidRPr="00454478">
        <w:rPr>
          <w:rFonts w:ascii="Arial" w:eastAsia="Times New Roman" w:hAnsi="Arial" w:cs="Arial"/>
          <w:i/>
          <w:iCs/>
          <w:sz w:val="21"/>
          <w:szCs w:val="21"/>
          <w:lang w:eastAsia="en-GB"/>
        </w:rPr>
        <w:t>, </w:t>
      </w:r>
      <w:r w:rsidRPr="00454478">
        <w:rPr>
          <w:rFonts w:ascii="Arial" w:eastAsia="Times New Roman" w:hAnsi="Arial" w:cs="Arial"/>
          <w:b/>
          <w:bCs/>
          <w:sz w:val="21"/>
          <w:szCs w:val="21"/>
          <w:lang w:eastAsia="en-GB"/>
        </w:rPr>
        <w:t>32</w:t>
      </w:r>
      <w:r w:rsidRPr="00454478">
        <w:rPr>
          <w:rFonts w:ascii="Arial" w:eastAsia="Times New Roman" w:hAnsi="Arial" w:cs="Arial"/>
          <w:sz w:val="21"/>
          <w:szCs w:val="21"/>
          <w:lang w:eastAsia="en-GB"/>
        </w:rPr>
        <w:t>(12), pp. 1148-1157.</w:t>
      </w:r>
    </w:p>
    <w:p w14:paraId="68E710F5"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SPIGEL, B., KITAGAWA, F. and MASON, C., 2020. A manifesto for researching entrepreneurial ecosystems. </w:t>
      </w:r>
      <w:r w:rsidRPr="00454478">
        <w:rPr>
          <w:rFonts w:ascii="Arial" w:eastAsia="Times New Roman" w:hAnsi="Arial" w:cs="Arial"/>
          <w:i/>
          <w:iCs/>
          <w:sz w:val="21"/>
          <w:szCs w:val="21"/>
          <w:lang w:eastAsia="en-GB"/>
        </w:rPr>
        <w:t>The local economy, </w:t>
      </w:r>
      <w:r w:rsidRPr="00454478">
        <w:rPr>
          <w:rFonts w:ascii="Arial" w:eastAsia="Times New Roman" w:hAnsi="Arial" w:cs="Arial"/>
          <w:b/>
          <w:bCs/>
          <w:sz w:val="21"/>
          <w:szCs w:val="21"/>
          <w:lang w:eastAsia="en-GB"/>
        </w:rPr>
        <w:t>35</w:t>
      </w:r>
      <w:r w:rsidRPr="00454478">
        <w:rPr>
          <w:rFonts w:ascii="Arial" w:eastAsia="Times New Roman" w:hAnsi="Arial" w:cs="Arial"/>
          <w:sz w:val="21"/>
          <w:szCs w:val="21"/>
          <w:lang w:eastAsia="en-GB"/>
        </w:rPr>
        <w:t>(5), pp. 482-495.</w:t>
      </w:r>
    </w:p>
    <w:p w14:paraId="038268CA"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TEWARI, J.R., 2009. </w:t>
      </w:r>
      <w:r w:rsidRPr="00454478">
        <w:rPr>
          <w:rFonts w:ascii="Arial" w:eastAsia="Times New Roman" w:hAnsi="Arial" w:cs="Arial"/>
          <w:i/>
          <w:iCs/>
          <w:sz w:val="21"/>
          <w:szCs w:val="21"/>
          <w:lang w:eastAsia="en-GB"/>
        </w:rPr>
        <w:t>Hotel front office: operations and management. </w:t>
      </w:r>
      <w:r w:rsidRPr="00454478">
        <w:rPr>
          <w:rFonts w:ascii="Arial" w:eastAsia="Times New Roman" w:hAnsi="Arial" w:cs="Arial"/>
          <w:sz w:val="21"/>
          <w:szCs w:val="21"/>
          <w:lang w:eastAsia="en-GB"/>
        </w:rPr>
        <w:t>New Delhi: Oxford University Press.</w:t>
      </w:r>
    </w:p>
    <w:p w14:paraId="3CFAC26F" w14:textId="77777777" w:rsidR="005209D0" w:rsidRPr="00454478" w:rsidRDefault="005209D0" w:rsidP="005209D0">
      <w:pPr>
        <w:shd w:val="clear" w:color="auto" w:fill="FFFFFF"/>
        <w:spacing w:after="173" w:line="240" w:lineRule="auto"/>
        <w:rPr>
          <w:rFonts w:ascii="Arial" w:eastAsia="Times New Roman" w:hAnsi="Arial" w:cs="Arial"/>
          <w:sz w:val="21"/>
          <w:szCs w:val="21"/>
          <w:lang w:eastAsia="en-GB"/>
        </w:rPr>
      </w:pPr>
      <w:r w:rsidRPr="00454478">
        <w:rPr>
          <w:rFonts w:ascii="Arial" w:eastAsia="Times New Roman" w:hAnsi="Arial" w:cs="Arial"/>
          <w:sz w:val="21"/>
          <w:szCs w:val="21"/>
          <w:lang w:eastAsia="en-GB"/>
        </w:rPr>
        <w:t>TORRINGTON, D., 2010. </w:t>
      </w:r>
      <w:r w:rsidRPr="00454478">
        <w:rPr>
          <w:rFonts w:ascii="Arial" w:eastAsia="Times New Roman" w:hAnsi="Arial" w:cs="Arial"/>
          <w:i/>
          <w:iCs/>
          <w:sz w:val="21"/>
          <w:szCs w:val="21"/>
          <w:lang w:eastAsia="en-GB"/>
        </w:rPr>
        <w:t>Human resource management. </w:t>
      </w:r>
      <w:r w:rsidRPr="00454478">
        <w:rPr>
          <w:rFonts w:ascii="Arial" w:eastAsia="Times New Roman" w:hAnsi="Arial" w:cs="Arial"/>
          <w:sz w:val="21"/>
          <w:szCs w:val="21"/>
          <w:lang w:eastAsia="en-GB"/>
        </w:rPr>
        <w:t xml:space="preserve">8 </w:t>
      </w:r>
      <w:proofErr w:type="spellStart"/>
      <w:r w:rsidRPr="00454478">
        <w:rPr>
          <w:rFonts w:ascii="Arial" w:eastAsia="Times New Roman" w:hAnsi="Arial" w:cs="Arial"/>
          <w:sz w:val="21"/>
          <w:szCs w:val="21"/>
          <w:lang w:eastAsia="en-GB"/>
        </w:rPr>
        <w:t>edn</w:t>
      </w:r>
      <w:proofErr w:type="spellEnd"/>
      <w:r w:rsidRPr="00454478">
        <w:rPr>
          <w:rFonts w:ascii="Arial" w:eastAsia="Times New Roman" w:hAnsi="Arial" w:cs="Arial"/>
          <w:sz w:val="21"/>
          <w:szCs w:val="21"/>
          <w:lang w:eastAsia="en-GB"/>
        </w:rPr>
        <w:t>. Harlow: Financial Times Prentice Hall.</w:t>
      </w:r>
    </w:p>
    <w:p w14:paraId="4DBFAD5D" w14:textId="77777777" w:rsidR="00090EE7" w:rsidRPr="00454478" w:rsidRDefault="00090EE7">
      <w:pPr>
        <w:rPr>
          <w:rFonts w:ascii="Arial" w:hAnsi="Arial" w:cs="Arial"/>
        </w:rPr>
      </w:pPr>
    </w:p>
    <w:sectPr w:rsidR="00090EE7" w:rsidRPr="004544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088"/>
    <w:rsid w:val="00090EE7"/>
    <w:rsid w:val="00454478"/>
    <w:rsid w:val="005209D0"/>
    <w:rsid w:val="006A1088"/>
    <w:rsid w:val="00964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9C118"/>
  <w15:chartTrackingRefBased/>
  <w15:docId w15:val="{FC490466-4BBF-47A2-BFF3-1176F233F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9D0"/>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09D0"/>
    <w:pPr>
      <w:ind w:left="720"/>
      <w:contextualSpacing/>
    </w:pPr>
  </w:style>
  <w:style w:type="character" w:styleId="SubtleReference">
    <w:name w:val="Subtle Reference"/>
    <w:basedOn w:val="DefaultParagraphFont"/>
    <w:uiPriority w:val="31"/>
    <w:qFormat/>
    <w:rsid w:val="005209D0"/>
    <w:rPr>
      <w:smallCaps/>
      <w:color w:val="5A5A5A" w:themeColor="text1" w:themeTint="A5"/>
    </w:rPr>
  </w:style>
  <w:style w:type="character" w:customStyle="1" w:styleId="sw">
    <w:name w:val="sw"/>
    <w:basedOn w:val="DefaultParagraphFont"/>
    <w:rsid w:val="005209D0"/>
  </w:style>
  <w:style w:type="character" w:customStyle="1" w:styleId="words">
    <w:name w:val="words"/>
    <w:basedOn w:val="DefaultParagraphFont"/>
    <w:rsid w:val="005209D0"/>
  </w:style>
  <w:style w:type="character" w:styleId="Strong">
    <w:name w:val="Strong"/>
    <w:basedOn w:val="DefaultParagraphFont"/>
    <w:uiPriority w:val="22"/>
    <w:qFormat/>
    <w:rsid w:val="005209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37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2258</Words>
  <Characters>12939</Characters>
  <Application>Microsoft Office Word</Application>
  <DocSecurity>0</DocSecurity>
  <Lines>258</Lines>
  <Paragraphs>45</Paragraphs>
  <ScaleCrop>false</ScaleCrop>
  <Company/>
  <LinksUpToDate>false</LinksUpToDate>
  <CharactersWithSpaces>15152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 daniela</dc:creator>
  <cp:keywords/>
  <dc:description/>
  <cp:lastModifiedBy>serban daniela</cp:lastModifiedBy>
  <cp:revision>4</cp:revision>
  <dcterms:created xsi:type="dcterms:W3CDTF">2022-10-24T19:31:00Z</dcterms:created>
  <dcterms:modified xsi:type="dcterms:W3CDTF">2022-10-24T19:32:00Z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0dd7ba61efd88083029222637cb7686facfcd1c3f4f22e155346a5a1080053ca</vt:lpwstr>
  </property>
</Properties>
</file>