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17"/>
        <w:gridCol w:w="1595"/>
        <w:gridCol w:w="279"/>
        <w:gridCol w:w="1690"/>
      </w:tblGrid>
      <w:tr w:rsidR="00731C50" w:rsidTr="001B76AB">
        <w:trPr>
          <w:trHeight w:val="849"/>
        </w:trPr>
        <w:tc>
          <w:tcPr>
            <w:tcW w:w="8755" w:type="dxa"/>
            <w:gridSpan w:val="4"/>
            <w:tcBorders>
              <w:top w:val="single" w:sz="4" w:space="0" w:color="auto"/>
              <w:left w:val="single" w:sz="4" w:space="0" w:color="auto"/>
              <w:bottom w:val="single" w:sz="4" w:space="0" w:color="auto"/>
              <w:right w:val="single" w:sz="4" w:space="0" w:color="auto"/>
            </w:tcBorders>
          </w:tcPr>
          <w:p w:rsidR="00731C50" w:rsidRDefault="00731C50" w:rsidP="001B76AB">
            <w:pPr>
              <w:pStyle w:val="NormalWeb"/>
              <w:spacing w:before="0" w:beforeAutospacing="0" w:after="0" w:afterAutospacing="0"/>
              <w:ind w:right="34"/>
              <w:rPr>
                <w:rFonts w:ascii="Calibri" w:hAnsi="Calibri" w:cs="Calibri"/>
                <w:i/>
                <w:iCs/>
                <w:sz w:val="24"/>
                <w:szCs w:val="24"/>
                <w:lang w:val="cy-GB"/>
              </w:rPr>
            </w:pPr>
          </w:p>
          <w:p w:rsidR="00731C50" w:rsidRDefault="00731C50" w:rsidP="001B76AB">
            <w:pPr>
              <w:pStyle w:val="NormalWeb"/>
              <w:spacing w:before="0" w:beforeAutospacing="0" w:after="0" w:afterAutospacing="0"/>
              <w:ind w:right="34"/>
              <w:jc w:val="center"/>
              <w:rPr>
                <w:rFonts w:ascii="Calibri" w:hAnsi="Calibri" w:cs="Calibri"/>
                <w:b/>
                <w:bCs/>
                <w:sz w:val="24"/>
                <w:szCs w:val="24"/>
                <w:lang w:val="cy-GB"/>
              </w:rPr>
            </w:pPr>
            <w:r>
              <w:rPr>
                <w:rFonts w:ascii="Calibri" w:hAnsi="Calibri" w:cs="Calibri"/>
                <w:b/>
                <w:bCs/>
                <w:sz w:val="24"/>
                <w:szCs w:val="24"/>
                <w:lang w:val="cy-GB"/>
              </w:rPr>
              <w:t xml:space="preserve">Assignment feedback </w:t>
            </w:r>
          </w:p>
          <w:p w:rsidR="00731C50" w:rsidRDefault="00731C50" w:rsidP="001B76AB">
            <w:pPr>
              <w:pStyle w:val="NormalWeb"/>
              <w:spacing w:before="0" w:beforeAutospacing="0" w:after="0" w:afterAutospacing="0"/>
              <w:ind w:right="34"/>
              <w:jc w:val="center"/>
              <w:rPr>
                <w:rFonts w:ascii="Calibri" w:hAnsi="Calibri" w:cs="Calibri"/>
                <w:b/>
                <w:bCs/>
                <w:sz w:val="24"/>
                <w:szCs w:val="24"/>
                <w:lang w:val="cy-GB"/>
              </w:rPr>
            </w:pPr>
          </w:p>
          <w:p w:rsidR="00731C50" w:rsidRDefault="00731C50" w:rsidP="001B76AB">
            <w:pPr>
              <w:pStyle w:val="NormalWeb"/>
              <w:spacing w:before="0" w:beforeAutospacing="0" w:after="0" w:afterAutospacing="0"/>
              <w:ind w:right="34"/>
              <w:jc w:val="center"/>
              <w:rPr>
                <w:rFonts w:ascii="Calibri" w:hAnsi="Calibri" w:cs="Calibri"/>
                <w:b/>
                <w:bCs/>
                <w:sz w:val="24"/>
                <w:szCs w:val="24"/>
              </w:rPr>
            </w:pPr>
          </w:p>
        </w:tc>
      </w:tr>
      <w:tr w:rsidR="00731C50" w:rsidTr="001B76AB">
        <w:trPr>
          <w:trHeight w:val="373"/>
        </w:trPr>
        <w:tc>
          <w:tcPr>
            <w:tcW w:w="8755" w:type="dxa"/>
            <w:gridSpan w:val="4"/>
            <w:tcBorders>
              <w:top w:val="single" w:sz="4" w:space="0" w:color="auto"/>
              <w:left w:val="single" w:sz="4" w:space="0" w:color="auto"/>
              <w:bottom w:val="single" w:sz="4" w:space="0" w:color="auto"/>
              <w:right w:val="single" w:sz="4" w:space="0" w:color="auto"/>
            </w:tcBorders>
          </w:tcPr>
          <w:p w:rsidR="00731C50" w:rsidRDefault="00731C50" w:rsidP="001B76AB">
            <w:pPr>
              <w:pStyle w:val="NormalWeb"/>
              <w:spacing w:before="0" w:beforeAutospacing="0" w:after="0" w:afterAutospacing="0"/>
              <w:ind w:right="34"/>
              <w:rPr>
                <w:rFonts w:ascii="Calibri" w:hAnsi="Calibri" w:cs="Calibri"/>
                <w:i/>
                <w:iCs/>
                <w:sz w:val="24"/>
                <w:szCs w:val="24"/>
              </w:rPr>
            </w:pPr>
          </w:p>
        </w:tc>
      </w:tr>
      <w:tr w:rsidR="00731C50" w:rsidTr="001B76AB">
        <w:trPr>
          <w:trHeight w:val="373"/>
        </w:trPr>
        <w:tc>
          <w:tcPr>
            <w:tcW w:w="8755" w:type="dxa"/>
            <w:gridSpan w:val="4"/>
            <w:tcBorders>
              <w:top w:val="single" w:sz="4" w:space="0" w:color="auto"/>
              <w:left w:val="single" w:sz="4" w:space="0" w:color="auto"/>
              <w:bottom w:val="single" w:sz="4" w:space="0" w:color="auto"/>
              <w:right w:val="single" w:sz="4" w:space="0" w:color="auto"/>
            </w:tcBorders>
            <w:hideMark/>
          </w:tcPr>
          <w:p w:rsidR="00731C50" w:rsidRPr="00731C50"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Student Name: </w:t>
            </w:r>
            <w:r>
              <w:rPr>
                <w:rFonts w:ascii="Calibri" w:hAnsi="Calibri" w:cs="Calibri"/>
                <w:iCs/>
                <w:sz w:val="24"/>
                <w:szCs w:val="24"/>
              </w:rPr>
              <w:t>Rosie Nye</w:t>
            </w:r>
          </w:p>
          <w:p w:rsidR="00731C50"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Student University Email:</w:t>
            </w:r>
            <w:r>
              <w:rPr>
                <w:rFonts w:ascii="Calibri" w:hAnsi="Calibri" w:cs="Calibri"/>
                <w:iCs/>
                <w:sz w:val="24"/>
                <w:szCs w:val="24"/>
              </w:rPr>
              <w:t xml:space="preserve"> </w:t>
            </w:r>
            <w:r>
              <w:rPr>
                <w:rFonts w:ascii="Calibri" w:hAnsi="Calibri" w:cs="Calibri"/>
                <w:iCs/>
                <w:sz w:val="24"/>
                <w:szCs w:val="24"/>
              </w:rPr>
              <w:t>1400683@student.uwtsd.ac.uk</w:t>
            </w:r>
          </w:p>
        </w:tc>
      </w:tr>
      <w:tr w:rsidR="00731C50" w:rsidTr="001B76AB">
        <w:trPr>
          <w:trHeight w:val="849"/>
        </w:trPr>
        <w:tc>
          <w:tcPr>
            <w:tcW w:w="5148" w:type="dxa"/>
            <w:tcBorders>
              <w:top w:val="single" w:sz="4" w:space="0" w:color="auto"/>
              <w:left w:val="single" w:sz="4" w:space="0" w:color="auto"/>
              <w:bottom w:val="single" w:sz="4" w:space="0" w:color="auto"/>
              <w:right w:val="single" w:sz="4" w:space="0" w:color="auto"/>
            </w:tcBorders>
          </w:tcPr>
          <w:p w:rsidR="00731C50" w:rsidRPr="003457BE"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Module code: </w:t>
            </w:r>
            <w:r w:rsidR="003457BE">
              <w:rPr>
                <w:rFonts w:ascii="Calibri" w:hAnsi="Calibri" w:cs="Calibri"/>
                <w:iCs/>
                <w:sz w:val="24"/>
                <w:szCs w:val="24"/>
              </w:rPr>
              <w:t>AHAN7028</w:t>
            </w:r>
          </w:p>
          <w:p w:rsidR="00731C50" w:rsidRDefault="00731C50" w:rsidP="001B76AB">
            <w:pPr>
              <w:pStyle w:val="NormalWeb"/>
              <w:spacing w:before="0" w:beforeAutospacing="0" w:after="0" w:afterAutospacing="0"/>
              <w:ind w:right="34"/>
              <w:rPr>
                <w:rFonts w:ascii="Calibri" w:hAnsi="Calibri" w:cs="Calibri"/>
                <w:i/>
                <w:iCs/>
                <w:sz w:val="24"/>
                <w:szCs w:val="24"/>
              </w:rPr>
            </w:pPr>
          </w:p>
          <w:p w:rsidR="00731C50" w:rsidRPr="003457BE"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Module title:</w:t>
            </w:r>
            <w:r w:rsidR="003457BE">
              <w:rPr>
                <w:rFonts w:ascii="Calibri" w:hAnsi="Calibri" w:cs="Calibri"/>
                <w:iCs/>
                <w:sz w:val="24"/>
                <w:szCs w:val="24"/>
              </w:rPr>
              <w:t xml:space="preserve"> Heritage: Representation and Interpretation</w:t>
            </w:r>
          </w:p>
        </w:tc>
        <w:tc>
          <w:tcPr>
            <w:tcW w:w="1906" w:type="dxa"/>
            <w:gridSpan w:val="2"/>
            <w:tcBorders>
              <w:top w:val="single" w:sz="4" w:space="0" w:color="auto"/>
              <w:left w:val="single" w:sz="4" w:space="0" w:color="auto"/>
              <w:bottom w:val="single" w:sz="4" w:space="0" w:color="auto"/>
              <w:right w:val="single" w:sz="4" w:space="0" w:color="auto"/>
            </w:tcBorders>
          </w:tcPr>
          <w:p w:rsidR="00731C50"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Student ID number: </w:t>
            </w:r>
          </w:p>
          <w:p w:rsidR="00731C50" w:rsidRPr="003457BE" w:rsidRDefault="003457BE" w:rsidP="001B76AB">
            <w:pPr>
              <w:pStyle w:val="NormalWeb"/>
              <w:spacing w:before="0" w:beforeAutospacing="0" w:after="0" w:afterAutospacing="0"/>
              <w:ind w:right="34"/>
              <w:rPr>
                <w:rFonts w:ascii="Calibri" w:hAnsi="Calibri" w:cs="Calibri"/>
                <w:iCs/>
                <w:color w:val="A6A6A6"/>
                <w:sz w:val="24"/>
                <w:szCs w:val="24"/>
              </w:rPr>
            </w:pPr>
            <w:r>
              <w:rPr>
                <w:rFonts w:ascii="Calibri" w:hAnsi="Calibri" w:cs="Calibri"/>
                <w:iCs/>
                <w:color w:val="A6A6A6"/>
                <w:sz w:val="24"/>
                <w:szCs w:val="24"/>
              </w:rPr>
              <w:t>1400683</w:t>
            </w:r>
          </w:p>
        </w:tc>
        <w:tc>
          <w:tcPr>
            <w:tcW w:w="1701" w:type="dxa"/>
            <w:tcBorders>
              <w:top w:val="single" w:sz="4" w:space="0" w:color="auto"/>
              <w:left w:val="single" w:sz="4" w:space="0" w:color="auto"/>
              <w:bottom w:val="single" w:sz="4" w:space="0" w:color="auto"/>
              <w:right w:val="single" w:sz="4" w:space="0" w:color="auto"/>
            </w:tcBorders>
          </w:tcPr>
          <w:p w:rsidR="00731C50" w:rsidRDefault="00731C50" w:rsidP="001B76A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Educational support needs:</w:t>
            </w:r>
          </w:p>
          <w:p w:rsidR="00731C50" w:rsidRPr="003457BE" w:rsidRDefault="003457BE" w:rsidP="001B76AB">
            <w:pPr>
              <w:pStyle w:val="NormalWeb"/>
              <w:spacing w:before="0" w:beforeAutospacing="0" w:after="0" w:afterAutospacing="0"/>
              <w:ind w:right="34"/>
              <w:rPr>
                <w:rFonts w:ascii="Calibri" w:hAnsi="Calibri" w:cs="Calibri"/>
                <w:iCs/>
                <w:sz w:val="24"/>
                <w:szCs w:val="24"/>
              </w:rPr>
            </w:pPr>
            <w:r>
              <w:rPr>
                <w:rFonts w:ascii="Calibri" w:hAnsi="Calibri" w:cs="Calibri"/>
                <w:iCs/>
                <w:sz w:val="24"/>
                <w:szCs w:val="24"/>
              </w:rPr>
              <w:t>Yes</w:t>
            </w:r>
          </w:p>
          <w:p w:rsidR="00731C50" w:rsidRDefault="00731C50" w:rsidP="001B76AB">
            <w:pPr>
              <w:pStyle w:val="NormalWeb"/>
              <w:spacing w:before="0" w:beforeAutospacing="0" w:after="0" w:afterAutospacing="0"/>
              <w:ind w:right="34"/>
              <w:rPr>
                <w:rFonts w:ascii="Calibri" w:hAnsi="Calibri" w:cs="Calibri"/>
                <w:i/>
                <w:iCs/>
                <w:sz w:val="24"/>
                <w:szCs w:val="24"/>
              </w:rPr>
            </w:pPr>
          </w:p>
        </w:tc>
      </w:tr>
      <w:tr w:rsidR="00731C50" w:rsidTr="001B76AB">
        <w:trPr>
          <w:trHeight w:val="849"/>
        </w:trPr>
        <w:tc>
          <w:tcPr>
            <w:tcW w:w="8755" w:type="dxa"/>
            <w:gridSpan w:val="4"/>
            <w:tcBorders>
              <w:top w:val="single" w:sz="4" w:space="0" w:color="auto"/>
              <w:left w:val="single" w:sz="4" w:space="0" w:color="auto"/>
              <w:bottom w:val="single" w:sz="4" w:space="0" w:color="auto"/>
              <w:right w:val="single" w:sz="4" w:space="0" w:color="auto"/>
            </w:tcBorders>
          </w:tcPr>
          <w:p w:rsidR="00731C50" w:rsidRPr="003457BE" w:rsidRDefault="00731C50" w:rsidP="001B76AB">
            <w:pPr>
              <w:pStyle w:val="NormalWeb"/>
              <w:spacing w:before="0" w:beforeAutospacing="0" w:after="0" w:afterAutospacing="0"/>
              <w:ind w:right="34"/>
              <w:rPr>
                <w:rFonts w:ascii="Calibri" w:hAnsi="Calibri" w:cs="Calibri"/>
                <w:iCs/>
                <w:sz w:val="24"/>
                <w:szCs w:val="24"/>
                <w:lang w:val="en-US"/>
              </w:rPr>
            </w:pPr>
            <w:r>
              <w:rPr>
                <w:rFonts w:ascii="Calibri" w:hAnsi="Calibri" w:cs="Calibri"/>
                <w:i/>
                <w:iCs/>
                <w:sz w:val="24"/>
                <w:szCs w:val="24"/>
              </w:rPr>
              <w:t xml:space="preserve">Assignment title: </w:t>
            </w:r>
            <w:r w:rsidR="003457BE">
              <w:rPr>
                <w:rFonts w:ascii="Calibri" w:hAnsi="Calibri" w:cs="Calibri"/>
                <w:iCs/>
                <w:sz w:val="24"/>
                <w:szCs w:val="24"/>
              </w:rPr>
              <w:t>A commentary on the temporary exhibit at the National Museum of Wales, Cardiff: The Tim Peake Spacecraft Exhibition.</w:t>
            </w:r>
          </w:p>
          <w:p w:rsidR="00731C50" w:rsidRDefault="00731C50" w:rsidP="001B76AB">
            <w:pPr>
              <w:pStyle w:val="NormalWeb"/>
              <w:spacing w:before="0" w:beforeAutospacing="0" w:after="0" w:afterAutospacing="0"/>
              <w:ind w:right="34"/>
              <w:rPr>
                <w:rFonts w:ascii="Calibri" w:hAnsi="Calibri" w:cs="Calibri"/>
                <w:i/>
                <w:iCs/>
                <w:sz w:val="24"/>
                <w:szCs w:val="24"/>
              </w:rPr>
            </w:pPr>
          </w:p>
          <w:p w:rsidR="00731C50" w:rsidRPr="003457BE"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due date: </w:t>
            </w:r>
            <w:r w:rsidR="003457BE">
              <w:rPr>
                <w:rFonts w:ascii="Calibri" w:hAnsi="Calibri" w:cs="Calibri"/>
                <w:iCs/>
                <w:sz w:val="24"/>
                <w:szCs w:val="24"/>
              </w:rPr>
              <w:t>25/1/2019</w:t>
            </w:r>
          </w:p>
        </w:tc>
      </w:tr>
      <w:tr w:rsidR="00731C50" w:rsidTr="001B76AB">
        <w:trPr>
          <w:trHeight w:val="504"/>
        </w:trPr>
        <w:tc>
          <w:tcPr>
            <w:tcW w:w="8755" w:type="dxa"/>
            <w:gridSpan w:val="4"/>
            <w:tcBorders>
              <w:top w:val="single" w:sz="4" w:space="0" w:color="auto"/>
              <w:left w:val="single" w:sz="4" w:space="0" w:color="auto"/>
              <w:bottom w:val="single" w:sz="4" w:space="0" w:color="auto"/>
              <w:right w:val="single" w:sz="4" w:space="0" w:color="auto"/>
            </w:tcBorders>
            <w:hideMark/>
          </w:tcPr>
          <w:p w:rsidR="00731C50" w:rsidRPr="003457BE" w:rsidRDefault="00731C50" w:rsidP="001B76A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Number: </w:t>
            </w:r>
            <w:r w:rsidR="003457BE">
              <w:rPr>
                <w:rFonts w:ascii="Calibri" w:hAnsi="Calibri" w:cs="Calibri"/>
                <w:iCs/>
                <w:sz w:val="24"/>
                <w:szCs w:val="24"/>
              </w:rPr>
              <w:t>1</w:t>
            </w:r>
            <w:bookmarkStart w:id="0" w:name="_GoBack"/>
            <w:bookmarkEnd w:id="0"/>
          </w:p>
          <w:p w:rsidR="00731C50" w:rsidRDefault="00731C50" w:rsidP="001B76A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731C50" w:rsidTr="001B76AB">
        <w:trPr>
          <w:trHeight w:val="6165"/>
        </w:trPr>
        <w:tc>
          <w:tcPr>
            <w:tcW w:w="8755" w:type="dxa"/>
            <w:gridSpan w:val="4"/>
            <w:tcBorders>
              <w:top w:val="single" w:sz="4" w:space="0" w:color="auto"/>
              <w:left w:val="single" w:sz="4" w:space="0" w:color="auto"/>
              <w:bottom w:val="single" w:sz="4" w:space="0" w:color="auto"/>
              <w:right w:val="single" w:sz="4" w:space="0" w:color="auto"/>
            </w:tcBorders>
          </w:tcPr>
          <w:p w:rsidR="00731C50" w:rsidRPr="00403345" w:rsidRDefault="00731C50" w:rsidP="001B76AB">
            <w:pPr>
              <w:jc w:val="center"/>
              <w:rPr>
                <w:rFonts w:ascii="Calibri" w:hAnsi="Calibri" w:cs="Calibri"/>
                <w:i/>
                <w:iCs/>
              </w:rPr>
            </w:pPr>
          </w:p>
        </w:tc>
      </w:tr>
      <w:tr w:rsidR="00731C50" w:rsidTr="001B76AB">
        <w:tc>
          <w:tcPr>
            <w:tcW w:w="6768" w:type="dxa"/>
            <w:gridSpan w:val="2"/>
            <w:tcBorders>
              <w:top w:val="single" w:sz="4" w:space="0" w:color="auto"/>
              <w:left w:val="single" w:sz="4" w:space="0" w:color="auto"/>
              <w:bottom w:val="single" w:sz="4" w:space="0" w:color="auto"/>
              <w:right w:val="single" w:sz="4" w:space="0" w:color="auto"/>
            </w:tcBorders>
          </w:tcPr>
          <w:p w:rsidR="00731C50" w:rsidRDefault="00731C50" w:rsidP="001B76AB">
            <w:pPr>
              <w:pStyle w:val="NormalWeb"/>
              <w:spacing w:beforeAutospacing="0" w:afterAutospacing="0"/>
              <w:ind w:left="142" w:right="34"/>
              <w:rPr>
                <w:rFonts w:ascii="Calibri" w:hAnsi="Calibri" w:cs="Calibri"/>
                <w:i/>
                <w:iCs/>
                <w:sz w:val="24"/>
                <w:szCs w:val="24"/>
              </w:rPr>
            </w:pPr>
            <w:proofErr w:type="gramStart"/>
            <w:r>
              <w:rPr>
                <w:rFonts w:ascii="Calibri" w:hAnsi="Calibri" w:cs="Calibri"/>
                <w:i/>
                <w:iCs/>
                <w:sz w:val="24"/>
                <w:szCs w:val="24"/>
              </w:rPr>
              <w:t>Marker’s  signature</w:t>
            </w:r>
            <w:proofErr w:type="gramEnd"/>
            <w:r>
              <w:rPr>
                <w:rFonts w:ascii="Calibri" w:hAnsi="Calibri" w:cs="Calibri"/>
                <w:i/>
                <w:iCs/>
                <w:sz w:val="24"/>
                <w:szCs w:val="24"/>
              </w:rPr>
              <w:t xml:space="preserve">: </w:t>
            </w:r>
          </w:p>
          <w:p w:rsidR="00731C50" w:rsidRDefault="00731C50" w:rsidP="001B76AB">
            <w:pPr>
              <w:pStyle w:val="NormalWeb"/>
              <w:spacing w:beforeAutospacing="0" w:afterAutospacing="0"/>
              <w:ind w:left="142" w:right="34"/>
              <w:rPr>
                <w:rFonts w:ascii="Calibri" w:hAnsi="Calibri" w:cs="Calibri"/>
                <w:i/>
                <w:iCs/>
                <w:sz w:val="24"/>
                <w:szCs w:val="24"/>
              </w:rPr>
            </w:pPr>
          </w:p>
        </w:tc>
        <w:tc>
          <w:tcPr>
            <w:tcW w:w="1987" w:type="dxa"/>
            <w:gridSpan w:val="2"/>
            <w:tcBorders>
              <w:top w:val="single" w:sz="4" w:space="0" w:color="auto"/>
              <w:left w:val="single" w:sz="4" w:space="0" w:color="auto"/>
              <w:bottom w:val="single" w:sz="4" w:space="0" w:color="auto"/>
              <w:right w:val="single" w:sz="4" w:space="0" w:color="auto"/>
            </w:tcBorders>
          </w:tcPr>
          <w:p w:rsidR="00731C50" w:rsidRDefault="00731C50" w:rsidP="001B76AB">
            <w:pPr>
              <w:pStyle w:val="NormalWeb"/>
              <w:spacing w:beforeAutospacing="0" w:after="0" w:afterAutospacing="0"/>
              <w:ind w:left="142" w:right="34"/>
              <w:rPr>
                <w:rFonts w:ascii="Calibri" w:hAnsi="Calibri" w:cs="Calibri"/>
                <w:i/>
                <w:iCs/>
                <w:sz w:val="24"/>
                <w:szCs w:val="24"/>
              </w:rPr>
            </w:pPr>
            <w:r>
              <w:rPr>
                <w:rFonts w:ascii="Calibri" w:hAnsi="Calibri" w:cs="Calibri"/>
                <w:i/>
                <w:iCs/>
                <w:sz w:val="24"/>
                <w:szCs w:val="24"/>
              </w:rPr>
              <w:t>Date:</w:t>
            </w:r>
          </w:p>
          <w:p w:rsidR="00731C50" w:rsidRDefault="00731C50" w:rsidP="001B76AB">
            <w:pPr>
              <w:pStyle w:val="NormalWeb"/>
              <w:spacing w:beforeAutospacing="0" w:after="0" w:afterAutospacing="0"/>
              <w:ind w:left="142" w:right="34"/>
              <w:rPr>
                <w:rFonts w:ascii="Calibri" w:hAnsi="Calibri" w:cs="Calibri"/>
                <w:i/>
                <w:iCs/>
                <w:sz w:val="24"/>
                <w:szCs w:val="24"/>
              </w:rPr>
            </w:pPr>
          </w:p>
        </w:tc>
      </w:tr>
      <w:tr w:rsidR="00731C50" w:rsidTr="001B76AB">
        <w:tc>
          <w:tcPr>
            <w:tcW w:w="8755" w:type="dxa"/>
            <w:gridSpan w:val="4"/>
            <w:tcBorders>
              <w:top w:val="single" w:sz="4" w:space="0" w:color="auto"/>
              <w:left w:val="single" w:sz="4" w:space="0" w:color="auto"/>
              <w:bottom w:val="single" w:sz="4" w:space="0" w:color="auto"/>
              <w:right w:val="single" w:sz="4" w:space="0" w:color="auto"/>
            </w:tcBorders>
            <w:hideMark/>
          </w:tcPr>
          <w:p w:rsidR="00731C50" w:rsidRDefault="00731C50" w:rsidP="001B76AB">
            <w:pPr>
              <w:pStyle w:val="NormalWeb"/>
              <w:spacing w:before="0" w:beforeAutospacing="0" w:after="0" w:afterAutospacing="0"/>
              <w:ind w:left="142" w:right="34"/>
              <w:rPr>
                <w:rFonts w:ascii="Calibri" w:hAnsi="Calibri" w:cs="Calibri"/>
                <w:i/>
                <w:iCs/>
                <w:sz w:val="24"/>
                <w:szCs w:val="24"/>
              </w:rPr>
            </w:pPr>
            <w:r>
              <w:rPr>
                <w:rFonts w:ascii="Calibri" w:hAnsi="Calibri" w:cs="Calibri"/>
                <w:i/>
                <w:iCs/>
                <w:sz w:val="24"/>
                <w:szCs w:val="24"/>
              </w:rPr>
              <w:t>Provisional.</w:t>
            </w:r>
          </w:p>
          <w:p w:rsidR="00731C50" w:rsidRDefault="00731C50" w:rsidP="001B76AB">
            <w:pPr>
              <w:pStyle w:val="NormalWeb"/>
              <w:spacing w:before="0" w:beforeAutospacing="0" w:after="0" w:afterAutospacing="0"/>
              <w:ind w:left="142" w:right="34"/>
              <w:rPr>
                <w:rFonts w:ascii="Calibri" w:hAnsi="Calibri" w:cs="Calibri"/>
                <w:i/>
                <w:iCs/>
                <w:sz w:val="24"/>
                <w:szCs w:val="24"/>
              </w:rPr>
            </w:pPr>
            <w:r>
              <w:rPr>
                <w:rFonts w:ascii="Calibri" w:hAnsi="Calibri" w:cs="Calibri"/>
                <w:b/>
                <w:bCs/>
                <w:i/>
                <w:iCs/>
                <w:sz w:val="24"/>
                <w:szCs w:val="24"/>
              </w:rPr>
              <w:t>NB.</w:t>
            </w:r>
            <w:r>
              <w:rPr>
                <w:rFonts w:ascii="Calibri" w:hAnsi="Calibri" w:cs="Calibri"/>
                <w:i/>
                <w:iCs/>
                <w:sz w:val="24"/>
                <w:szCs w:val="24"/>
              </w:rPr>
              <w:t xml:space="preserve">  All marks are provisional until confirmed by the final examination board. </w:t>
            </w:r>
          </w:p>
        </w:tc>
      </w:tr>
    </w:tbl>
    <w:p w:rsidR="00731C50" w:rsidRDefault="00731C50" w:rsidP="00731C50">
      <w:pPr>
        <w:pStyle w:val="Body"/>
        <w:jc w:val="center"/>
      </w:pPr>
    </w:p>
    <w:p w:rsidR="00731C50" w:rsidRDefault="00731C50" w:rsidP="00731C50">
      <w:pPr>
        <w:jc w:val="center"/>
        <w:rPr>
          <w:rFonts w:ascii="Garamond" w:hAnsi="Garamond"/>
          <w:b/>
          <w:sz w:val="32"/>
          <w:szCs w:val="32"/>
          <w:u w:val="single"/>
        </w:rPr>
      </w:pPr>
    </w:p>
    <w:p w:rsidR="00731C50" w:rsidRDefault="00731C50" w:rsidP="00731C50">
      <w:pPr>
        <w:jc w:val="center"/>
        <w:rPr>
          <w:rFonts w:ascii="Garamond" w:hAnsi="Garamond"/>
          <w:b/>
          <w:sz w:val="32"/>
          <w:szCs w:val="32"/>
          <w:u w:val="single"/>
        </w:rPr>
      </w:pPr>
    </w:p>
    <w:p w:rsidR="009B501E" w:rsidRDefault="0095463B" w:rsidP="0095463B">
      <w:pPr>
        <w:jc w:val="center"/>
      </w:pPr>
      <w:r>
        <w:t xml:space="preserve">A Commentary on the temporary exhibit at the National Museum of Wales, Cardiff: The Tim Peake Spacecraft Exhibition. </w:t>
      </w:r>
    </w:p>
    <w:p w:rsidR="0095463B" w:rsidRDefault="0095463B" w:rsidP="0095463B">
      <w:pPr>
        <w:jc w:val="center"/>
      </w:pPr>
    </w:p>
    <w:p w:rsidR="0095463B" w:rsidRDefault="009429CC" w:rsidP="0095463B">
      <w:r>
        <w:t>There is little denying the educational benefits of museum exhibitions. Packer (2008: 33) s</w:t>
      </w:r>
      <w:r w:rsidR="00B63C42">
        <w:t>uggests</w:t>
      </w:r>
      <w:r>
        <w:t xml:space="preserve"> that museums have an irrefutable education value which contributes to the life-long learning of a community. </w:t>
      </w:r>
      <w:r w:rsidR="00912268">
        <w:t xml:space="preserve">Museums, and their exhibitions, furthers the experiences which would satisfy their visitors (Chan, 2009: 173). This commentary will focus on the Tim Peake Spacecraft Exhibition currently on display at the National Museum of Wales, Cardiff. It will identify the methods of exhibition </w:t>
      </w:r>
      <w:r w:rsidR="006D67B0">
        <w:t xml:space="preserve">used </w:t>
      </w:r>
      <w:r w:rsidR="00912268">
        <w:t xml:space="preserve">and provide a critical analysis </w:t>
      </w:r>
      <w:r w:rsidR="007228CA">
        <w:t>from an educational perspective</w:t>
      </w:r>
      <w:r w:rsidR="00912268">
        <w:t>.</w:t>
      </w:r>
    </w:p>
    <w:p w:rsidR="004C2D3B" w:rsidRDefault="004C2D3B" w:rsidP="0095463B">
      <w:r>
        <w:rPr>
          <w:noProof/>
        </w:rPr>
        <w:drawing>
          <wp:anchor distT="0" distB="0" distL="114300" distR="114300" simplePos="0" relativeHeight="251660288" behindDoc="1" locked="0" layoutInCell="1" allowOverlap="1" wp14:anchorId="62FA0E0D">
            <wp:simplePos x="0" y="0"/>
            <wp:positionH relativeFrom="column">
              <wp:posOffset>2984321</wp:posOffset>
            </wp:positionH>
            <wp:positionV relativeFrom="paragraph">
              <wp:posOffset>281940</wp:posOffset>
            </wp:positionV>
            <wp:extent cx="3070860" cy="4094480"/>
            <wp:effectExtent l="0" t="0" r="0" b="1270"/>
            <wp:wrapTight wrapText="bothSides">
              <wp:wrapPolygon edited="0">
                <wp:start x="0" y="0"/>
                <wp:lineTo x="0" y="21506"/>
                <wp:lineTo x="21439" y="21506"/>
                <wp:lineTo x="214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7580870_651549565242858_2104045070322761728_n.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70860" cy="40944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67519CD7" wp14:editId="40FAD4DF">
            <wp:simplePos x="0" y="0"/>
            <wp:positionH relativeFrom="margin">
              <wp:posOffset>-310551</wp:posOffset>
            </wp:positionH>
            <wp:positionV relativeFrom="paragraph">
              <wp:posOffset>285379</wp:posOffset>
            </wp:positionV>
            <wp:extent cx="3066415" cy="4088765"/>
            <wp:effectExtent l="0" t="0" r="635" b="6985"/>
            <wp:wrapTight wrapText="bothSides">
              <wp:wrapPolygon edited="0">
                <wp:start x="0" y="0"/>
                <wp:lineTo x="0" y="21536"/>
                <wp:lineTo x="21470" y="21536"/>
                <wp:lineTo x="214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7679593_260304271317805_167180261967003648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6415" cy="4088765"/>
                    </a:xfrm>
                    <a:prstGeom prst="rect">
                      <a:avLst/>
                    </a:prstGeom>
                  </pic:spPr>
                </pic:pic>
              </a:graphicData>
            </a:graphic>
            <wp14:sizeRelH relativeFrom="margin">
              <wp14:pctWidth>0</wp14:pctWidth>
            </wp14:sizeRelH>
            <wp14:sizeRelV relativeFrom="margin">
              <wp14:pctHeight>0</wp14:pctHeight>
            </wp14:sizeRelV>
          </wp:anchor>
        </w:drawing>
      </w:r>
    </w:p>
    <w:p w:rsidR="004C2D3B" w:rsidRDefault="00610719" w:rsidP="0095463B">
      <w:r>
        <w:rPr>
          <w:noProof/>
        </w:rPr>
        <mc:AlternateContent>
          <mc:Choice Requires="wps">
            <w:drawing>
              <wp:anchor distT="0" distB="0" distL="114300" distR="114300" simplePos="0" relativeHeight="251663360" behindDoc="0" locked="0" layoutInCell="1" allowOverlap="1" wp14:anchorId="33ED8AE4" wp14:editId="3AF628FE">
                <wp:simplePos x="0" y="0"/>
                <wp:positionH relativeFrom="column">
                  <wp:posOffset>2993366</wp:posOffset>
                </wp:positionH>
                <wp:positionV relativeFrom="paragraph">
                  <wp:posOffset>4128291</wp:posOffset>
                </wp:positionV>
                <wp:extent cx="3057789" cy="267419"/>
                <wp:effectExtent l="0" t="0" r="28575" b="18415"/>
                <wp:wrapNone/>
                <wp:docPr id="19" name="Text Box 19"/>
                <wp:cNvGraphicFramePr/>
                <a:graphic xmlns:a="http://schemas.openxmlformats.org/drawingml/2006/main">
                  <a:graphicData uri="http://schemas.microsoft.com/office/word/2010/wordprocessingShape">
                    <wps:wsp>
                      <wps:cNvSpPr txBox="1"/>
                      <wps:spPr>
                        <a:xfrm>
                          <a:off x="0" y="0"/>
                          <a:ext cx="3057789" cy="267419"/>
                        </a:xfrm>
                        <a:prstGeom prst="rect">
                          <a:avLst/>
                        </a:prstGeom>
                        <a:solidFill>
                          <a:schemeClr val="lt1"/>
                        </a:solidFill>
                        <a:ln w="6350">
                          <a:solidFill>
                            <a:prstClr val="black"/>
                          </a:solidFill>
                        </a:ln>
                      </wps:spPr>
                      <wps:txbx>
                        <w:txbxContent>
                          <w:p w:rsidR="00610719" w:rsidRPr="00610719" w:rsidRDefault="00610719" w:rsidP="00610719">
                            <w:pPr>
                              <w:rPr>
                                <w:lang w:val="en-US"/>
                              </w:rPr>
                            </w:pPr>
                            <w:r>
                              <w:rPr>
                                <w:lang w:val="en-US"/>
                              </w:rPr>
                              <w:t>Fig.2. Virtual Reality display board. (Nye, 2018)</w:t>
                            </w:r>
                            <w:r w:rsidR="003D5BF8">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ED8AE4" id="_x0000_t202" coordsize="21600,21600" o:spt="202" path="m,l,21600r21600,l21600,xe">
                <v:stroke joinstyle="miter"/>
                <v:path gradientshapeok="t" o:connecttype="rect"/>
              </v:shapetype>
              <v:shape id="Text Box 19" o:spid="_x0000_s1026" type="#_x0000_t202" style="position:absolute;margin-left:235.7pt;margin-top:325.05pt;width:240.75pt;height:21.0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8woTAIAAKMEAAAOAAAAZHJzL2Uyb0RvYy54bWysVE1vGjEQvVfqf7B8LwuEQIJYIpqIqlKU&#10;REqinI3XC6t6Pa5t2KW/vs9eIB/tqerFO19+nnkzs7OrttZsp5yvyOR80OtzpoykojLrnD8/Lb9c&#10;cOaDMIXQZFTO98rzq/nnT7PGTtWQNqQL5RhAjJ82NuebEOw0y7zcqFr4Hlll4CzJ1SJAdeuscKIB&#10;eq2zYb8/zhpyhXUklfew3nROPk/4ZalkuC9LrwLTOUduIZ0unat4ZvOZmK6dsJtKHtIQ/5BFLSqD&#10;R09QNyIItnXVH1B1JR15KkNPUp1RWVZSpRpQzaD/oZrHjbAq1QJyvD3R5P8frLzbPThWFejdJWdG&#10;1OjRk2oD+0otgwn8NNZPEfZoERha2BF7tHsYY9lt6er4RUEMfjC9P7Eb0SSMZ/3zyeQCr0j4huPJ&#10;qIPPXm9b58M3RTWLQs4dupdIFbtbH5AJQo8h8TFPuiqWldZJiROjrrVjO4Fe65ByxI13UdqwJufj&#10;s/N+An7ni9Cn+yst5I9Y5XsEaNrAGDnpao9SaFftgagVFXvw5KibNG/lsgLurfDhQTiMFqjBuoR7&#10;HKUmJEMHibMNuV9/s8d4dBxezhqMas79z61wijP93WAWLgejUZztpIzOJ0Mo7q1n9dZjtvU1gaEB&#10;FtPKJMb4oI9i6ah+wVYt4qtwCSPxds7DUbwO3QJhK6VaLFIQptmKcGserYzQsSORz6f2RTh76GfA&#10;JNzRcajF9ENbu9h409BiG6isUs8jwR2rB96xCakth62Nq/ZWT1Gv/5b5bwAAAP//AwBQSwMEFAAG&#10;AAgAAAAhAL1RWvPfAAAACwEAAA8AAABkcnMvZG93bnJldi54bWxMj8FOwzAMhu9IvENkJG4sbbWN&#10;tms6ARpcOG0gzl6TJdEap2qyrrw94QRH259+f3+znV3PJjUG60lAvsiAKeq8tKQFfH68PpTAQkSS&#10;2HtSAr5VgG17e9NgLf2V9mo6RM1SCIUaBZgYh5rz0BnlMCz8oCjdTn50GNM4ai5HvKZw1/Miy9bc&#10;oaX0weCgXozqzoeLE7B71pXuShzNrpTWTvPX6V2/CXF/Nz9tgEU1xz8YfvWTOrTJ6egvJAPrBSwf&#10;82VCBaxXWQ4sEdWqqIAd06YqCuBtw/93aH8AAAD//wMAUEsBAi0AFAAGAAgAAAAhALaDOJL+AAAA&#10;4QEAABMAAAAAAAAAAAAAAAAAAAAAAFtDb250ZW50X1R5cGVzXS54bWxQSwECLQAUAAYACAAAACEA&#10;OP0h/9YAAACUAQAACwAAAAAAAAAAAAAAAAAvAQAAX3JlbHMvLnJlbHNQSwECLQAUAAYACAAAACEA&#10;cyPMKEwCAACjBAAADgAAAAAAAAAAAAAAAAAuAgAAZHJzL2Uyb0RvYy54bWxQSwECLQAUAAYACAAA&#10;ACEAvVFa898AAAALAQAADwAAAAAAAAAAAAAAAACmBAAAZHJzL2Rvd25yZXYueG1sUEsFBgAAAAAE&#10;AAQA8wAAALIFAAAAAA==&#10;" fillcolor="white [3201]" strokeweight=".5pt">
                <v:textbox>
                  <w:txbxContent>
                    <w:p w:rsidR="00610719" w:rsidRPr="00610719" w:rsidRDefault="00610719" w:rsidP="00610719">
                      <w:pPr>
                        <w:rPr>
                          <w:lang w:val="en-US"/>
                        </w:rPr>
                      </w:pPr>
                      <w:r>
                        <w:rPr>
                          <w:lang w:val="en-US"/>
                        </w:rPr>
                        <w:t>Fig.2. Virtual Reality display board. (Nye, 2018)</w:t>
                      </w:r>
                      <w:r w:rsidR="003D5BF8">
                        <w:rPr>
                          <w:lang w:val="en-US"/>
                        </w:rPr>
                        <w:t>.</w:t>
                      </w:r>
                    </w:p>
                  </w:txbxContent>
                </v:textbox>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column">
                  <wp:posOffset>-301625</wp:posOffset>
                </wp:positionH>
                <wp:positionV relativeFrom="paragraph">
                  <wp:posOffset>4110930</wp:posOffset>
                </wp:positionV>
                <wp:extent cx="3057789" cy="474453"/>
                <wp:effectExtent l="0" t="0" r="28575" b="20955"/>
                <wp:wrapNone/>
                <wp:docPr id="18" name="Text Box 18"/>
                <wp:cNvGraphicFramePr/>
                <a:graphic xmlns:a="http://schemas.openxmlformats.org/drawingml/2006/main">
                  <a:graphicData uri="http://schemas.microsoft.com/office/word/2010/wordprocessingShape">
                    <wps:wsp>
                      <wps:cNvSpPr txBox="1"/>
                      <wps:spPr>
                        <a:xfrm>
                          <a:off x="0" y="0"/>
                          <a:ext cx="3057789" cy="474453"/>
                        </a:xfrm>
                        <a:prstGeom prst="rect">
                          <a:avLst/>
                        </a:prstGeom>
                        <a:solidFill>
                          <a:schemeClr val="lt1"/>
                        </a:solidFill>
                        <a:ln w="6350">
                          <a:solidFill>
                            <a:prstClr val="black"/>
                          </a:solidFill>
                        </a:ln>
                      </wps:spPr>
                      <wps:txbx>
                        <w:txbxContent>
                          <w:p w:rsidR="00610719" w:rsidRPr="00610719" w:rsidRDefault="00610719">
                            <w:pPr>
                              <w:rPr>
                                <w:lang w:val="en-US"/>
                              </w:rPr>
                            </w:pPr>
                            <w:r>
                              <w:rPr>
                                <w:lang w:val="en-US"/>
                              </w:rPr>
                              <w:t>Fig.1. Tim Peake’s Spacecraft, National Museum of Wales. (Nye, 2018)</w:t>
                            </w:r>
                            <w:r w:rsidR="003D5BF8">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8" o:spid="_x0000_s1027" type="#_x0000_t202" style="position:absolute;margin-left:-23.75pt;margin-top:323.7pt;width:240.75pt;height:37.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yycTwIAAKoEAAAOAAAAZHJzL2Uyb0RvYy54bWysVMFuGjEQvVfqP1i+NwsBQoKyRJQoVSWU&#10;RCJRzsbrDat6Pa5t2KVf32cvEJL2VPVixjNvn2fezHB909aabZXzFZmc9896nCkjqajMa86fn+6+&#10;XHLmgzCF0GRUznfK85vp50/XjZ2oc1qTLpRjIDF+0ticr0Owkyzzcq1q4c/IKoNgSa4WAVf3mhVO&#10;NGCvdXbe611kDbnCOpLKe3hvuyCfJv6yVDI8lKVXgemcI7eQTpfOVTyz6bWYvDph15XcpyH+IYta&#10;VAaPHqluRRBs46o/qOpKOvJUhjNJdUZlWUmVakA1/d6HapZrYVWqBeJ4e5TJ/z9aeb99dKwq0Dt0&#10;yogaPXpSbWBfqWVwQZ/G+glgSwtgaOEH9uD3cMay29LV8RcFMcSh9O6obmSTcA56o/H48oozidhw&#10;PByOBpEme/vaOh++KapZNHLu0L0kqtgufOigB0h8zJOuirtK63SJE6Pm2rGtQK91SDmC/B1KG9bk&#10;/GIw6iXid7FIffx+pYX8sU/vBAU+bZBz1KSrPVqhXbWdhgddVlTsIJejbuC8lXcV6BfCh0fhMGFQ&#10;CFsTHnCUmpAT7S3O1uR+/c0f8Wg8opw1mNic+58b4RRn+rvBSFz1h8M44ukyHI3PcXGnkdVpxGzq&#10;OUGoPvbTymRGfNAHs3RUv2C5ZvFVhISReDvn4WDOQ7dHWE6pZrMEwlBbERZmaWWkjo2Jsj61L8LZ&#10;fVsDBuKeDrMtJh+622Hjl4Zmm0BllVofde5U3cuPhUjDs1/euHGn94R6+4uZ/gYAAP//AwBQSwME&#10;FAAGAAgAAAAhAL0AuNrfAAAACwEAAA8AAABkcnMvZG93bnJldi54bWxMj8FOwzAQRO9I/IO1SNxa&#10;p8E0acimAlS4cKKgnt3YtS1iO7LdNPw95gTH1T7NvGm3sx3IJEM03iGslgUQ6XovjFMInx8vixpI&#10;TNwJPngnEb5lhG13fdXyRviLe5fTPimSQ1xsOIJOaWwojb2WlselH6XLv5MPlqd8BkVF4Jccbgda&#10;FsWaWm5cbtB8lM9a9l/7s0XYPamN6mse9K4Wxkzz4fSmXhFvb+bHByBJzukPhl/9rA5ddjr6sxOR&#10;DAgLVt1nFGHNKgYkE+yO5XVHhKosV0C7lv7f0P0AAAD//wMAUEsBAi0AFAAGAAgAAAAhALaDOJL+&#10;AAAA4QEAABMAAAAAAAAAAAAAAAAAAAAAAFtDb250ZW50X1R5cGVzXS54bWxQSwECLQAUAAYACAAA&#10;ACEAOP0h/9YAAACUAQAACwAAAAAAAAAAAAAAAAAvAQAAX3JlbHMvLnJlbHNQSwECLQAUAAYACAAA&#10;ACEARuMsnE8CAACqBAAADgAAAAAAAAAAAAAAAAAuAgAAZHJzL2Uyb0RvYy54bWxQSwECLQAUAAYA&#10;CAAAACEAvQC42t8AAAALAQAADwAAAAAAAAAAAAAAAACpBAAAZHJzL2Rvd25yZXYueG1sUEsFBgAA&#10;AAAEAAQA8wAAALUFAAAAAA==&#10;" fillcolor="white [3201]" strokeweight=".5pt">
                <v:textbox>
                  <w:txbxContent>
                    <w:p w:rsidR="00610719" w:rsidRPr="00610719" w:rsidRDefault="00610719">
                      <w:pPr>
                        <w:rPr>
                          <w:lang w:val="en-US"/>
                        </w:rPr>
                      </w:pPr>
                      <w:r>
                        <w:rPr>
                          <w:lang w:val="en-US"/>
                        </w:rPr>
                        <w:t>Fig.1. Tim Peake’s Spacecraft, National Museum of Wales. (Nye, 2018)</w:t>
                      </w:r>
                      <w:r w:rsidR="003D5BF8">
                        <w:rPr>
                          <w:lang w:val="en-US"/>
                        </w:rPr>
                        <w:t>.</w:t>
                      </w:r>
                    </w:p>
                  </w:txbxContent>
                </v:textbox>
              </v:shape>
            </w:pict>
          </mc:Fallback>
        </mc:AlternateContent>
      </w:r>
    </w:p>
    <w:p w:rsidR="004C2D3B" w:rsidRDefault="004C2D3B" w:rsidP="0095463B"/>
    <w:p w:rsidR="00610719" w:rsidRDefault="00610719" w:rsidP="0095463B"/>
    <w:p w:rsidR="00610719" w:rsidRDefault="004C2D3B" w:rsidP="0095463B">
      <w:r>
        <w:t>The exhibition is on display at the National Museum of Wales, Cardiff from the 15</w:t>
      </w:r>
      <w:r w:rsidRPr="004C2D3B">
        <w:rPr>
          <w:vertAlign w:val="superscript"/>
        </w:rPr>
        <w:t>th</w:t>
      </w:r>
      <w:r>
        <w:t xml:space="preserve"> November 2018 to the 10</w:t>
      </w:r>
      <w:r w:rsidRPr="004C2D3B">
        <w:rPr>
          <w:vertAlign w:val="superscript"/>
        </w:rPr>
        <w:t>th</w:t>
      </w:r>
      <w:r>
        <w:t xml:space="preserve"> February 2019. A free exhibition, what is most interesting about </w:t>
      </w:r>
      <w:r w:rsidR="004B34BE">
        <w:t>it</w:t>
      </w:r>
      <w:r>
        <w:t xml:space="preserve"> is that, not only are the artefacts on display within recent memory, the exhibition also provides a combination of </w:t>
      </w:r>
      <w:r w:rsidR="00610719">
        <w:t xml:space="preserve">technology, including Virtual Reality, alongside a more traditional method of display (Figure 2).  </w:t>
      </w:r>
    </w:p>
    <w:p w:rsidR="00F6244C" w:rsidRDefault="00F6244C" w:rsidP="0095463B">
      <w:r>
        <w:t xml:space="preserve">Compared to several exhibitions on display </w:t>
      </w:r>
      <w:r w:rsidR="006D67B0">
        <w:t>in</w:t>
      </w:r>
      <w:r>
        <w:t xml:space="preserve"> museums, this specific exhibition actively uses both electronic and tangible methodologies that engage a younger target audience. The National </w:t>
      </w:r>
      <w:r>
        <w:lastRenderedPageBreak/>
        <w:t xml:space="preserve">Museum of Wales provides exhibitions, such as the Natural History of Wales, which uses such combinations to engage a wide variety of individuals. However, it must be remembered that the exhibition in question is a touring exhibit. The museum it is currently situated in has little or no influence of its design. </w:t>
      </w:r>
      <w:r w:rsidR="006D67B0">
        <w:t>However, this</w:t>
      </w:r>
      <w:r>
        <w:t xml:space="preserve"> does not </w:t>
      </w:r>
      <w:r w:rsidR="009775B7">
        <w:t>d</w:t>
      </w:r>
      <w:r>
        <w:t>etract the quality of the methods of engagement; these technological methods will be further examined over the course of the commentary.</w:t>
      </w:r>
    </w:p>
    <w:p w:rsidR="0043260D" w:rsidRDefault="00F6244C" w:rsidP="0095463B">
      <w:r>
        <w:t>The</w:t>
      </w:r>
      <w:r w:rsidR="00EF0EE6">
        <w:t xml:space="preserve"> exhibition</w:t>
      </w:r>
      <w:r w:rsidR="000323FC">
        <w:t xml:space="preserve"> </w:t>
      </w:r>
      <w:r w:rsidR="00EF0EE6">
        <w:t xml:space="preserve">is not large, consisting of two conjoining rooms. </w:t>
      </w:r>
      <w:r>
        <w:t xml:space="preserve">The displays are not overfilled with artefacts, </w:t>
      </w:r>
      <w:r w:rsidR="00890A65">
        <w:t>therefore</w:t>
      </w:r>
      <w:r>
        <w:t xml:space="preserve"> not overstimulat</w:t>
      </w:r>
      <w:r w:rsidR="00890A65">
        <w:t>ing</w:t>
      </w:r>
      <w:r>
        <w:t xml:space="preserve"> the visitors. However, this may be due to the special context of the exhibition </w:t>
      </w:r>
      <w:r w:rsidR="005F7C19">
        <w:t>(Figure 3)</w:t>
      </w:r>
      <w:r w:rsidR="00EF0EE6">
        <w:t xml:space="preserve">; allowing the museum to be the very place in which, as </w:t>
      </w:r>
      <w:proofErr w:type="spellStart"/>
      <w:r w:rsidR="00EF0EE6">
        <w:t>Lehmbruck</w:t>
      </w:r>
      <w:proofErr w:type="spellEnd"/>
      <w:r w:rsidR="00EF0EE6">
        <w:t xml:space="preserve"> in 1974 states, behaviours and perceptions are intertwined. </w:t>
      </w:r>
    </w:p>
    <w:p w:rsidR="005F7C19" w:rsidRDefault="005F7C19" w:rsidP="0095463B">
      <w:r>
        <w:rPr>
          <w:noProof/>
        </w:rPr>
        <w:drawing>
          <wp:anchor distT="0" distB="0" distL="114300" distR="114300" simplePos="0" relativeHeight="251669504" behindDoc="1" locked="0" layoutInCell="1" allowOverlap="1" wp14:anchorId="658C64D9" wp14:editId="5605BC7C">
            <wp:simplePos x="0" y="0"/>
            <wp:positionH relativeFrom="margin">
              <wp:align>center</wp:align>
            </wp:positionH>
            <wp:positionV relativeFrom="paragraph">
              <wp:posOffset>206208</wp:posOffset>
            </wp:positionV>
            <wp:extent cx="2768600" cy="3691255"/>
            <wp:effectExtent l="0" t="0" r="0" b="4445"/>
            <wp:wrapTight wrapText="bothSides">
              <wp:wrapPolygon edited="0">
                <wp:start x="0" y="0"/>
                <wp:lineTo x="0" y="21515"/>
                <wp:lineTo x="21402" y="21515"/>
                <wp:lineTo x="214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7683669_214385516143206_2930108345249431552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68600" cy="3691255"/>
                    </a:xfrm>
                    <a:prstGeom prst="rect">
                      <a:avLst/>
                    </a:prstGeom>
                  </pic:spPr>
                </pic:pic>
              </a:graphicData>
            </a:graphic>
            <wp14:sizeRelH relativeFrom="margin">
              <wp14:pctWidth>0</wp14:pctWidth>
            </wp14:sizeRelH>
            <wp14:sizeRelV relativeFrom="margin">
              <wp14:pctHeight>0</wp14:pctHeight>
            </wp14:sizeRelV>
          </wp:anchor>
        </w:drawing>
      </w:r>
    </w:p>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p w:rsidR="005F7C19" w:rsidRDefault="005F7C19" w:rsidP="0095463B">
      <w:r>
        <w:rPr>
          <w:noProof/>
        </w:rPr>
        <mc:AlternateContent>
          <mc:Choice Requires="wps">
            <w:drawing>
              <wp:anchor distT="0" distB="0" distL="114300" distR="114300" simplePos="0" relativeHeight="251672576" behindDoc="0" locked="0" layoutInCell="1" allowOverlap="1" wp14:anchorId="4287C482" wp14:editId="6D8A968D">
                <wp:simplePos x="0" y="0"/>
                <wp:positionH relativeFrom="column">
                  <wp:posOffset>1440491</wp:posOffset>
                </wp:positionH>
                <wp:positionV relativeFrom="paragraph">
                  <wp:posOffset>10795</wp:posOffset>
                </wp:positionV>
                <wp:extent cx="3057789" cy="4572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3057789" cy="457200"/>
                        </a:xfrm>
                        <a:prstGeom prst="rect">
                          <a:avLst/>
                        </a:prstGeom>
                        <a:solidFill>
                          <a:schemeClr val="lt1"/>
                        </a:solidFill>
                        <a:ln w="6350">
                          <a:solidFill>
                            <a:prstClr val="black"/>
                          </a:solidFill>
                        </a:ln>
                      </wps:spPr>
                      <wps:txbx>
                        <w:txbxContent>
                          <w:p w:rsidR="005F7C19" w:rsidRPr="00610719" w:rsidRDefault="005F7C19" w:rsidP="005F7C19">
                            <w:pPr>
                              <w:rPr>
                                <w:lang w:val="en-US"/>
                              </w:rPr>
                            </w:pPr>
                            <w:r>
                              <w:rPr>
                                <w:lang w:val="en-US"/>
                              </w:rPr>
                              <w:t>Fig.3. Display cabinet showing a lack of overcrowding of artefacts. (Nye, 2018)</w:t>
                            </w:r>
                            <w:r w:rsidR="003D5BF8">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87C482" id="Text Box 2" o:spid="_x0000_s1028" type="#_x0000_t202" style="position:absolute;margin-left:113.4pt;margin-top:.85pt;width:240.75pt;height:3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XE8TQIAAKgEAAAOAAAAZHJzL2Uyb0RvYy54bWysVN1v2jAQf5+0/8Hy+0ig0I+IUDEqpkmo&#10;rQRVn43jkGi2z7MNCfvrd3YCpd2epr049+Wf7353l+l9qyQ5COtq0DkdDlJKhOZQ1HqX05fN8sst&#10;Jc4zXTAJWuT0KBy9n33+NG1MJkZQgSyEJQiiXdaYnFbemyxJHK+EYm4ARmh0lmAV86jaXVJY1iC6&#10;kskoTa+TBmxhLHDhHFofOiedRfyyFNw/laUTnsicYm4+njae23AmsynLdpaZquZ9GuwfslCs1vjo&#10;GeqBeUb2tv4DStXcgoPSDzioBMqy5iLWgNUM0w/VrCtmRKwFyXHmTJP7f7D88fBsSV3kdESJZgpb&#10;tBGtJ1+hJaPATmNchkFrg2G+RTN2+WR3aAxFt6VV4YvlEPQjz8cztwGMo/Eqndzc3N5RwtE3ntxg&#10;8wJM8nbbWOe/CVAkCDm12LtIKTusnO9CTyHhMQeyLpa1lFEJ8yIW0pIDw05LH3NE8HdRUpMmp9dX&#10;kzQCv/MF6PP9rWT8R5/eRRTiSY05B0662oPk223bM9jztYXiiHRZ6MbNGb6sEX7FnH9mFucLGcKd&#10;8U94lBIwJ+glSiqwv/5mD/HYdvRS0uC85tT93DMrKJHfNQ7E3XA8DgMelcgvJfbSs7306L1aABI1&#10;xO00PIp42Xp5EksL6hVXax5eRRfTHN/OqT+JC99tEa4mF/N5DMKRNsyv9NrwAB0aE2jdtK/Mmr6t&#10;HgfiEU6TzbIP3e1iw00N872Hso6tDzx3rPb04zrE4elXN+zbpR6j3n4ws98AAAD//wMAUEsDBBQA&#10;BgAIAAAAIQDdVxox2wAAAAgBAAAPAAAAZHJzL2Rvd25yZXYueG1sTI/BTsMwDIbvSLxDZCRuLKWT&#10;1lKaToAGF04MxNlrsiSicaom68rbY05ws/X9+v253S5hELOZko+k4HZVgDDUR+3JKvh4f76pQaSM&#10;pHGIZBR8mwTb7vKixUbHM72ZeZ+t4BJKDSpwOY+NlKl3JmBaxdEQs2OcAmZeJyv1hGcuD4Msi2Ij&#10;A3riCw5H8+RM/7U/BQW7R3tn+xont6u19/PyeXy1L0pdXy0P9yCyWfJfGH71WR06djrEE+kkBgVl&#10;uWH1zKACwbwq6jWIAw/rCmTXyv8PdD8AAAD//wMAUEsBAi0AFAAGAAgAAAAhALaDOJL+AAAA4QEA&#10;ABMAAAAAAAAAAAAAAAAAAAAAAFtDb250ZW50X1R5cGVzXS54bWxQSwECLQAUAAYACAAAACEAOP0h&#10;/9YAAACUAQAACwAAAAAAAAAAAAAAAAAvAQAAX3JlbHMvLnJlbHNQSwECLQAUAAYACAAAACEArpVx&#10;PE0CAACoBAAADgAAAAAAAAAAAAAAAAAuAgAAZHJzL2Uyb0RvYy54bWxQSwECLQAUAAYACAAAACEA&#10;3VcaMdsAAAAIAQAADwAAAAAAAAAAAAAAAACnBAAAZHJzL2Rvd25yZXYueG1sUEsFBgAAAAAEAAQA&#10;8wAAAK8FAAAAAA==&#10;" fillcolor="white [3201]" strokeweight=".5pt">
                <v:textbox>
                  <w:txbxContent>
                    <w:p w:rsidR="005F7C19" w:rsidRPr="00610719" w:rsidRDefault="005F7C19" w:rsidP="005F7C19">
                      <w:pPr>
                        <w:rPr>
                          <w:lang w:val="en-US"/>
                        </w:rPr>
                      </w:pPr>
                      <w:r>
                        <w:rPr>
                          <w:lang w:val="en-US"/>
                        </w:rPr>
                        <w:t>Fig.3. Display cabinet showing a lack of overcrowding of artefacts. (Nye, 2018)</w:t>
                      </w:r>
                      <w:r w:rsidR="003D5BF8">
                        <w:rPr>
                          <w:lang w:val="en-US"/>
                        </w:rPr>
                        <w:t>.</w:t>
                      </w:r>
                    </w:p>
                  </w:txbxContent>
                </v:textbox>
              </v:shape>
            </w:pict>
          </mc:Fallback>
        </mc:AlternateContent>
      </w:r>
    </w:p>
    <w:p w:rsidR="005F7C19" w:rsidRDefault="005F7C19" w:rsidP="0095463B"/>
    <w:p w:rsidR="005F7C19" w:rsidRDefault="005F7C19" w:rsidP="0095463B"/>
    <w:p w:rsidR="00C420D0" w:rsidRDefault="00D918A8" w:rsidP="0095463B">
      <w:r>
        <w:t xml:space="preserve">What </w:t>
      </w:r>
      <w:r w:rsidR="000323FC">
        <w:t xml:space="preserve">is also </w:t>
      </w:r>
      <w:r w:rsidR="00890A65">
        <w:t>interesting</w:t>
      </w:r>
      <w:r>
        <w:t xml:space="preserve"> is that the artefacts</w:t>
      </w:r>
      <w:r w:rsidR="000323FC">
        <w:t xml:space="preserve"> and events</w:t>
      </w:r>
      <w:r>
        <w:t xml:space="preserve"> </w:t>
      </w:r>
      <w:r w:rsidR="009775B7">
        <w:t>date from within</w:t>
      </w:r>
      <w:r>
        <w:t xml:space="preserve"> living memory. The majority of visitors will remember the events from 2015; therefore, are able to actively engage with what is </w:t>
      </w:r>
      <w:r w:rsidR="00890A65">
        <w:t>exhibited</w:t>
      </w:r>
      <w:r>
        <w:t>. This, with</w:t>
      </w:r>
      <w:r w:rsidR="001D1AD6">
        <w:t xml:space="preserve"> the use </w:t>
      </w:r>
      <w:r>
        <w:t>of Virtual Reality technology</w:t>
      </w:r>
      <w:r w:rsidR="001D1AD6">
        <w:t xml:space="preserve"> and interactive touchscreens</w:t>
      </w:r>
      <w:r w:rsidR="005F7C19">
        <w:t xml:space="preserve"> (Figure 4)</w:t>
      </w:r>
      <w:r>
        <w:t>, provides for an exhibitio</w:t>
      </w:r>
      <w:r w:rsidR="001D1AD6">
        <w:t>n which can not only be considered literally “authentic”</w:t>
      </w:r>
      <w:r w:rsidR="00B07909">
        <w:t xml:space="preserve"> (</w:t>
      </w:r>
      <w:proofErr w:type="spellStart"/>
      <w:r w:rsidR="00B07909">
        <w:t>Belhassen</w:t>
      </w:r>
      <w:proofErr w:type="spellEnd"/>
      <w:r w:rsidR="00B07909">
        <w:t>, Caton 2006: 854)</w:t>
      </w:r>
      <w:r w:rsidR="001D1AD6">
        <w:t xml:space="preserve"> but </w:t>
      </w:r>
      <w:r w:rsidR="000323FC">
        <w:t>also allows participation</w:t>
      </w:r>
      <w:r w:rsidR="001D1AD6">
        <w:t>. This is seen in the exhibition</w:t>
      </w:r>
      <w:r w:rsidR="000323FC">
        <w:t xml:space="preserve">’s promotion </w:t>
      </w:r>
      <w:r w:rsidR="001D1AD6">
        <w:t>in the entrance hall of the museum. Signs to the exhibition are the first item to draw visitors’ attention with the gift sho</w:t>
      </w:r>
      <w:r w:rsidR="009256B8">
        <w:t>p</w:t>
      </w:r>
      <w:r w:rsidR="001D1AD6">
        <w:t xml:space="preserve"> supporting the exhibition</w:t>
      </w:r>
      <w:r w:rsidR="009256B8">
        <w:t xml:space="preserve">; </w:t>
      </w:r>
      <w:r w:rsidR="001D1AD6">
        <w:t>space themed souvenirs enticing both children and adults</w:t>
      </w:r>
      <w:r w:rsidR="004E0CF2">
        <w:t>. There are stalls around the emporium from a</w:t>
      </w:r>
      <w:r w:rsidR="00F6244C">
        <w:t>stronomical</w:t>
      </w:r>
      <w:r w:rsidR="004E0CF2">
        <w:t xml:space="preserve"> societies</w:t>
      </w:r>
      <w:r w:rsidR="009256B8">
        <w:t>;</w:t>
      </w:r>
      <w:r w:rsidR="004E0CF2">
        <w:t xml:space="preserve"> the community as a whole is being engaged and communicated with. Furthermore, photographs </w:t>
      </w:r>
      <w:r w:rsidR="009256B8">
        <w:t>are</w:t>
      </w:r>
      <w:r w:rsidR="004E0CF2">
        <w:t xml:space="preserve"> encouraged which again allows the visitor to retain a souvenir of their visit; a stark contrast to some exhibitions which disallow photographs due to the nature of the artefacts on display. </w:t>
      </w:r>
      <w:r w:rsidR="001D1AD6">
        <w:t xml:space="preserve"> </w:t>
      </w:r>
    </w:p>
    <w:p w:rsidR="005F7C19" w:rsidRDefault="005F7C19" w:rsidP="005F7C19">
      <w:r>
        <w:rPr>
          <w:noProof/>
        </w:rPr>
        <w:lastRenderedPageBreak/>
        <w:drawing>
          <wp:anchor distT="0" distB="0" distL="114300" distR="114300" simplePos="0" relativeHeight="251670528" behindDoc="1" locked="0" layoutInCell="1" allowOverlap="1" wp14:anchorId="7BB12385">
            <wp:simplePos x="0" y="0"/>
            <wp:positionH relativeFrom="margin">
              <wp:align>center</wp:align>
            </wp:positionH>
            <wp:positionV relativeFrom="paragraph">
              <wp:posOffset>155</wp:posOffset>
            </wp:positionV>
            <wp:extent cx="3907766" cy="2931041"/>
            <wp:effectExtent l="0" t="0" r="0" b="3175"/>
            <wp:wrapTight wrapText="bothSides">
              <wp:wrapPolygon edited="0">
                <wp:start x="0" y="0"/>
                <wp:lineTo x="0" y="21483"/>
                <wp:lineTo x="21484" y="21483"/>
                <wp:lineTo x="2148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8277477_393626088044674_8975074870756900864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07766" cy="2931041"/>
                    </a:xfrm>
                    <a:prstGeom prst="rect">
                      <a:avLst/>
                    </a:prstGeom>
                  </pic:spPr>
                </pic:pic>
              </a:graphicData>
            </a:graphic>
          </wp:anchor>
        </w:drawing>
      </w:r>
    </w:p>
    <w:p w:rsidR="005F7C19" w:rsidRDefault="005F7C19" w:rsidP="005F7C19"/>
    <w:p w:rsidR="005F7C19" w:rsidRDefault="005F7C19" w:rsidP="005F7C19"/>
    <w:p w:rsidR="005F7C19" w:rsidRDefault="005F7C19" w:rsidP="005F7C19"/>
    <w:p w:rsidR="005F7C19" w:rsidRDefault="005F7C19" w:rsidP="005F7C19"/>
    <w:p w:rsidR="005F7C19" w:rsidRDefault="005F7C19" w:rsidP="005F7C19"/>
    <w:p w:rsidR="005F7C19" w:rsidRDefault="005F7C19" w:rsidP="005F7C19"/>
    <w:p w:rsidR="005F7C19" w:rsidRDefault="005F7C19" w:rsidP="005F7C19"/>
    <w:p w:rsidR="005F7C19" w:rsidRDefault="005F7C19" w:rsidP="005F7C19"/>
    <w:p w:rsidR="005F7C19" w:rsidRDefault="005F7C19" w:rsidP="005F7C19"/>
    <w:p w:rsidR="005F7C19" w:rsidRDefault="005F7C19" w:rsidP="005F7C19">
      <w:r>
        <w:rPr>
          <w:noProof/>
        </w:rPr>
        <mc:AlternateContent>
          <mc:Choice Requires="wps">
            <w:drawing>
              <wp:anchor distT="0" distB="0" distL="114300" distR="114300" simplePos="0" relativeHeight="251674624" behindDoc="0" locked="0" layoutInCell="1" allowOverlap="1" wp14:anchorId="4287C482" wp14:editId="6D8A968D">
                <wp:simplePos x="0" y="0"/>
                <wp:positionH relativeFrom="column">
                  <wp:posOffset>931653</wp:posOffset>
                </wp:positionH>
                <wp:positionV relativeFrom="paragraph">
                  <wp:posOffset>163015</wp:posOffset>
                </wp:positionV>
                <wp:extent cx="3873260" cy="267419"/>
                <wp:effectExtent l="0" t="0" r="13335" b="18415"/>
                <wp:wrapNone/>
                <wp:docPr id="6" name="Text Box 6"/>
                <wp:cNvGraphicFramePr/>
                <a:graphic xmlns:a="http://schemas.openxmlformats.org/drawingml/2006/main">
                  <a:graphicData uri="http://schemas.microsoft.com/office/word/2010/wordprocessingShape">
                    <wps:wsp>
                      <wps:cNvSpPr txBox="1"/>
                      <wps:spPr>
                        <a:xfrm>
                          <a:off x="0" y="0"/>
                          <a:ext cx="3873260" cy="267419"/>
                        </a:xfrm>
                        <a:prstGeom prst="rect">
                          <a:avLst/>
                        </a:prstGeom>
                        <a:solidFill>
                          <a:schemeClr val="lt1"/>
                        </a:solidFill>
                        <a:ln w="6350">
                          <a:solidFill>
                            <a:prstClr val="black"/>
                          </a:solidFill>
                        </a:ln>
                      </wps:spPr>
                      <wps:txbx>
                        <w:txbxContent>
                          <w:p w:rsidR="005F7C19" w:rsidRPr="00610719" w:rsidRDefault="005F7C19" w:rsidP="005F7C19">
                            <w:pPr>
                              <w:rPr>
                                <w:lang w:val="en-US"/>
                              </w:rPr>
                            </w:pPr>
                            <w:r>
                              <w:rPr>
                                <w:lang w:val="en-US"/>
                              </w:rPr>
                              <w:t>Fig.4. A touchscreen information point in use. (Nye, 2018)</w:t>
                            </w:r>
                            <w:r w:rsidR="003D5BF8">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7C482" id="Text Box 6" o:spid="_x0000_s1029" type="#_x0000_t202" style="position:absolute;margin-left:73.35pt;margin-top:12.85pt;width:305pt;height:21.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J/7TwIAAKgEAAAOAAAAZHJzL2Uyb0RvYy54bWysVN9v2jAQfp+0/8Hy+wi/Cm1EqBgV0yTU&#10;VoKqz8ZxwJrj82xDwv76nZ2E0m5P017M+e7L57vv7pjd16UiJ2GdBJ3RQa9PidAccqn3GX3Zrr7c&#10;UuI80zlToEVGz8LR+/nnT7PKpGIIB1C5sARJtEsrk9GD9yZNEscPomSuB0ZoDBZgS+bxavdJblmF&#10;7KVKhv3+JKnA5sYCF86h96EJ0nnkLwrB/VNROOGJyijm5uNp47kLZzKfsXRvmTlI3qbB/iGLkkmN&#10;j16oHphn5GjlH1Sl5BYcFL7HoUygKCQXsQasZtD/UM3mwIyItaA4zlxkcv+Plj+eni2ReUYnlGhW&#10;You2ovbkK9RkEtSpjEsRtDEI8zW6scud36EzFF0Xtgy/WA7BOOp8vmgbyDg6R7fT0XCCIY6x4WQ6&#10;HtwFmuTta2Od/yagJMHIqMXeRUnZae18A+0g4TEHSuYrqVS8hHkRS2XJiWGnlY85Ivk7lNKkwkJH&#10;N/1I/C4WqC/f7xTjP9r0rlDIpzTmHDRpag+Wr3d1VHDU6bKD/IxyWWjGzRm+kki/Zs4/M4vzhTLg&#10;zvgnPAoFmBO0FiUHsL/+5g94bDtGKalwXjPqfh6ZFZSo7xoH4m4wHocBj5fxzXSIF3sd2V1H9LFc&#10;Ago1wO00PJoB71VnFhbKV1ytRXgVQ0xzfDujvjOXvtkiXE0uFosIwpE2zK/1xvBAHRoTZN3Wr8ya&#10;tq0eB+IRuslm6YfuNtjwpYbF0UMhY+uDzo2qrfy4DnF42tUN+3Z9j6i3P5j5bwAAAP//AwBQSwME&#10;FAAGAAgAAAAhAEyi3fXcAAAACQEAAA8AAABkcnMvZG93bnJldi54bWxMj8FOwzAQRO9I/IO1SNyo&#10;Q0WTNMSpABUunCioZzfe2haxHdluGv6e7QlOq9kdzb5pN7Mb2IQx2eAF3C8KYOj7oKzXAr4+X+9q&#10;YClLr+QQPAr4wQSb7vqqlY0KZ/+B0y5rRiE+NVKAyXlsOE+9QSfTIozo6XYM0clMMmquojxTuBv4&#10;sihK7qT19MHIEV8M9t+7kxOwfdZr3dcymm2trJ3m/fFdvwlxezM/PQLLOOc/M1zwCR06YjqEk1eJ&#10;DaQfyoqsApYrmmSoVpfFQUBZ1cC7lv9v0P0CAAD//wMAUEsBAi0AFAAGAAgAAAAhALaDOJL+AAAA&#10;4QEAABMAAAAAAAAAAAAAAAAAAAAAAFtDb250ZW50X1R5cGVzXS54bWxQSwECLQAUAAYACAAAACEA&#10;OP0h/9YAAACUAQAACwAAAAAAAAAAAAAAAAAvAQAAX3JlbHMvLnJlbHNQSwECLQAUAAYACAAAACEA&#10;mxSf+08CAACoBAAADgAAAAAAAAAAAAAAAAAuAgAAZHJzL2Uyb0RvYy54bWxQSwECLQAUAAYACAAA&#10;ACEATKLd9dwAAAAJAQAADwAAAAAAAAAAAAAAAACpBAAAZHJzL2Rvd25yZXYueG1sUEsFBgAAAAAE&#10;AAQA8wAAALIFAAAAAA==&#10;" fillcolor="white [3201]" strokeweight=".5pt">
                <v:textbox>
                  <w:txbxContent>
                    <w:p w:rsidR="005F7C19" w:rsidRPr="00610719" w:rsidRDefault="005F7C19" w:rsidP="005F7C19">
                      <w:pPr>
                        <w:rPr>
                          <w:lang w:val="en-US"/>
                        </w:rPr>
                      </w:pPr>
                      <w:r>
                        <w:rPr>
                          <w:lang w:val="en-US"/>
                        </w:rPr>
                        <w:t>Fig.4. A touchscreen information point in use. (Nye, 2018)</w:t>
                      </w:r>
                      <w:r w:rsidR="003D5BF8">
                        <w:rPr>
                          <w:lang w:val="en-US"/>
                        </w:rPr>
                        <w:t>.</w:t>
                      </w:r>
                    </w:p>
                  </w:txbxContent>
                </v:textbox>
              </v:shape>
            </w:pict>
          </mc:Fallback>
        </mc:AlternateContent>
      </w:r>
    </w:p>
    <w:p w:rsidR="005F7C19" w:rsidRDefault="005F7C19" w:rsidP="005F7C19"/>
    <w:p w:rsidR="00610719" w:rsidRDefault="00C420D0" w:rsidP="005F7C19">
      <w:r>
        <w:t>The largest benefit of this exhibition is that it is suitable for children</w:t>
      </w:r>
      <w:r w:rsidR="00890A65">
        <w:t xml:space="preserve">; </w:t>
      </w:r>
      <w:r>
        <w:t>allow</w:t>
      </w:r>
      <w:r w:rsidR="00890A65">
        <w:t>ing</w:t>
      </w:r>
      <w:r>
        <w:t xml:space="preserve"> </w:t>
      </w:r>
      <w:r w:rsidR="009775B7">
        <w:t>a wider audience to be engaged</w:t>
      </w:r>
      <w:r w:rsidR="00890A65">
        <w:t xml:space="preserve"> and </w:t>
      </w:r>
      <w:r>
        <w:t>encourag</w:t>
      </w:r>
      <w:r w:rsidR="00890A65">
        <w:t>ing</w:t>
      </w:r>
      <w:r>
        <w:t xml:space="preserve"> children </w:t>
      </w:r>
      <w:r w:rsidR="00890A65">
        <w:t xml:space="preserve">and adults </w:t>
      </w:r>
      <w:r>
        <w:t xml:space="preserve">to actively interact with the heritage on display. However, there are negative aspects. The size of the exhibition, and the number of artefacts on display, have already been discussed. This, as has been mentioned, could be considered an advantage. However, due to the </w:t>
      </w:r>
      <w:r w:rsidR="009256B8">
        <w:t>small number of artefacts</w:t>
      </w:r>
      <w:r>
        <w:t>, it could result in people failing to actively involve themselves with the exhibit</w:t>
      </w:r>
      <w:r w:rsidR="001D1AD6">
        <w:t xml:space="preserve">. Nevertheless, the exhibition does provide unique interactive experiences with the use of Virtual Reality for </w:t>
      </w:r>
      <w:r w:rsidR="000323FC">
        <w:t>anyone</w:t>
      </w:r>
      <w:r w:rsidR="001D1AD6">
        <w:t xml:space="preserve"> over thirteen years of age</w:t>
      </w:r>
      <w:r w:rsidR="005D05A4">
        <w:t>, as can be seen on the Virtual Reality display board (Figure 2)</w:t>
      </w:r>
      <w:r w:rsidR="001D1AD6">
        <w:t>. This</w:t>
      </w:r>
      <w:r w:rsidR="000323FC">
        <w:t xml:space="preserve"> would</w:t>
      </w:r>
      <w:r w:rsidR="001D1AD6">
        <w:t xml:space="preserve"> </w:t>
      </w:r>
      <w:r w:rsidR="000323FC">
        <w:t>suggest</w:t>
      </w:r>
      <w:r w:rsidR="001D1AD6">
        <w:t xml:space="preserve"> that the exhibition is not inclusive to all age groups</w:t>
      </w:r>
      <w:r w:rsidR="000323FC">
        <w:t xml:space="preserve">, </w:t>
      </w:r>
      <w:r w:rsidR="001D1AD6">
        <w:t>if it were not for the other interactive aspects of the display. For example, the spacesuit which children are able to try on (</w:t>
      </w:r>
      <w:r w:rsidR="003D5BF8">
        <w:t>Figure 5</w:t>
      </w:r>
      <w:r w:rsidR="001D1AD6">
        <w:t>)</w:t>
      </w:r>
      <w:r w:rsidR="00362A6B">
        <w:t xml:space="preserve"> that is located near to the </w:t>
      </w:r>
      <w:r w:rsidR="000323FC">
        <w:t>physical</w:t>
      </w:r>
      <w:r w:rsidR="00362A6B">
        <w:t xml:space="preserve"> spacesuit worn by British Astronaut Tim Peak (</w:t>
      </w:r>
      <w:r w:rsidR="003D5BF8">
        <w:t>Figure 6</w:t>
      </w:r>
      <w:r w:rsidR="00362A6B">
        <w:t>).</w:t>
      </w:r>
      <w:r w:rsidR="001D1AD6">
        <w:t xml:space="preserve">  If compared to exhibitions, such as the </w:t>
      </w:r>
      <w:r w:rsidR="001D1AD6">
        <w:rPr>
          <w:i/>
        </w:rPr>
        <w:t xml:space="preserve">Greece: Minoans and </w:t>
      </w:r>
      <w:r w:rsidR="00E967AE">
        <w:rPr>
          <w:i/>
        </w:rPr>
        <w:t>Mycenaeans</w:t>
      </w:r>
      <w:r w:rsidR="001D1AD6">
        <w:t xml:space="preserve"> exhibition at the British Museum</w:t>
      </w:r>
      <w:r w:rsidR="00362A6B">
        <w:t xml:space="preserve"> (</w:t>
      </w:r>
      <w:r w:rsidR="00362A6B">
        <w:rPr>
          <w:i/>
        </w:rPr>
        <w:t>British Museum, 2017</w:t>
      </w:r>
      <w:r w:rsidR="00362A6B">
        <w:t>)</w:t>
      </w:r>
      <w:r w:rsidR="001D1AD6">
        <w:t xml:space="preserve">, the Tim Peake Spacecraft exhibition </w:t>
      </w:r>
      <w:r w:rsidR="005D05A4">
        <w:t>appears far</w:t>
      </w:r>
      <w:r w:rsidR="001D1AD6">
        <w:t xml:space="preserve"> more likely to engage </w:t>
      </w:r>
      <w:r w:rsidR="004E0CF2">
        <w:t xml:space="preserve">and educate </w:t>
      </w:r>
      <w:r w:rsidR="001D1AD6">
        <w:t>a wider audience</w:t>
      </w:r>
      <w:r w:rsidR="004E0CF2">
        <w:t xml:space="preserve">. </w:t>
      </w:r>
    </w:p>
    <w:p w:rsidR="00362A6B" w:rsidRDefault="00362A6B" w:rsidP="0095463B"/>
    <w:p w:rsidR="00362A6B" w:rsidRDefault="00362A6B" w:rsidP="0095463B"/>
    <w:p w:rsidR="00362A6B" w:rsidRDefault="00362A6B" w:rsidP="0095463B"/>
    <w:p w:rsidR="00362A6B" w:rsidRPr="001D1AD6" w:rsidRDefault="00362A6B" w:rsidP="0095463B"/>
    <w:p w:rsidR="00610719" w:rsidRDefault="003D5BF8" w:rsidP="0095463B">
      <w:r>
        <w:rPr>
          <w:noProof/>
        </w:rPr>
        <w:lastRenderedPageBreak/>
        <mc:AlternateContent>
          <mc:Choice Requires="wps">
            <w:drawing>
              <wp:anchor distT="0" distB="0" distL="114300" distR="114300" simplePos="0" relativeHeight="251678720" behindDoc="0" locked="0" layoutInCell="1" allowOverlap="1" wp14:anchorId="4287C482" wp14:editId="6D8A968D">
                <wp:simplePos x="0" y="0"/>
                <wp:positionH relativeFrom="column">
                  <wp:posOffset>3036498</wp:posOffset>
                </wp:positionH>
                <wp:positionV relativeFrom="paragraph">
                  <wp:posOffset>3907766</wp:posOffset>
                </wp:positionV>
                <wp:extent cx="2889849" cy="267419"/>
                <wp:effectExtent l="0" t="0" r="25400" b="18415"/>
                <wp:wrapNone/>
                <wp:docPr id="21" name="Text Box 21"/>
                <wp:cNvGraphicFramePr/>
                <a:graphic xmlns:a="http://schemas.openxmlformats.org/drawingml/2006/main">
                  <a:graphicData uri="http://schemas.microsoft.com/office/word/2010/wordprocessingShape">
                    <wps:wsp>
                      <wps:cNvSpPr txBox="1"/>
                      <wps:spPr>
                        <a:xfrm>
                          <a:off x="0" y="0"/>
                          <a:ext cx="2889849" cy="267419"/>
                        </a:xfrm>
                        <a:prstGeom prst="rect">
                          <a:avLst/>
                        </a:prstGeom>
                        <a:solidFill>
                          <a:schemeClr val="lt1"/>
                        </a:solidFill>
                        <a:ln w="6350">
                          <a:solidFill>
                            <a:prstClr val="black"/>
                          </a:solidFill>
                        </a:ln>
                      </wps:spPr>
                      <wps:txbx>
                        <w:txbxContent>
                          <w:p w:rsidR="003D5BF8" w:rsidRPr="00610719" w:rsidRDefault="003D5BF8" w:rsidP="003D5BF8">
                            <w:pPr>
                              <w:rPr>
                                <w:lang w:val="en-US"/>
                              </w:rPr>
                            </w:pPr>
                            <w:r>
                              <w:rPr>
                                <w:lang w:val="en-US"/>
                              </w:rPr>
                              <w:t>Fig.6. Tim Peake’s spacesuit. (Nye,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7C482" id="Text Box 21" o:spid="_x0000_s1030" type="#_x0000_t202" style="position:absolute;margin-left:239.1pt;margin-top:307.7pt;width:227.55pt;height:21.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tp6UAIAAKoEAAAOAAAAZHJzL2Uyb0RvYy54bWysVMFuGjEQvVfqP1i+NwuUEEAsEU2UqlKU&#10;RIIqZ+P1hlW9Htc27NKv77MXCEl7qnox45m3zzNvZphdt7VmO+V8RSbn/YseZ8pIKirzkvPvq7tP&#10;Y858EKYQmozK+V55fj3/+GHW2Kka0IZ0oRwDifHTxuZ8E4KdZpmXG1ULf0FWGQRLcrUIuLqXrHCi&#10;AXuts0GvN8oacoV1JJX38N52QT5P/GWpZHgsS68C0zlHbiGdLp3reGbzmZi+OGE3lTykIf4hi1pU&#10;Bo+eqG5FEGzrqj+o6ko68lSGC0l1RmVZSZVqQDX93rtqlhthVaoF4nh7ksn/P1r5sHtyrCpyPuhz&#10;ZkSNHq1UG9gXahlc0KexfgrY0gIYWvjR56PfwxnLbktXx18UxBCH0vuTupFNwjkYjyfj4YQzidhg&#10;dDXsTyJN9vq1dT58VVSzaOTcoXtJVLG796GDHiHxMU+6Ku4qrdMlToy60Y7tBHqtQ8oR5G9Q2rAm&#10;56PPl71E/CYWqU/fr7WQPw7pnaHApw1yjpp0tUcrtOs2aTg86rKmYg+5HHUD5628q0B/L3x4Eg4T&#10;BoWwNeERR6kJOdHB4mxD7tff/BGPxiPKWYOJzbn/uRVOcaa/GYzEpD8cxhFPl+Hl1QAXdx5Zn0fM&#10;tr4hCIWuI7tkRnzQR7N0VD9juRbxVYSEkXg75+Fo3oRuj7CcUi0WCYShtiLcm6WVkTo2Jsq6ap+F&#10;s4e2BgzEAx1nW0zfdbfDxi8NLbaByiq1PurcqXqQHwuRhuewvHHjzu8J9foXM/8NAAD//wMAUEsD&#10;BBQABgAIAAAAIQDq7D3X4AAAAAsBAAAPAAAAZHJzL2Rvd25yZXYueG1sTI/BTsMwDIbvSLxDZCRu&#10;LN26bl3XdAI0uHBioJ2zxksimqRqsq68PeYER9uffn9/vZtcx0Ycog1ewHyWAUPfBmW9FvD58fJQ&#10;AotJeiW74FHAN0bYNbc3taxUuPp3HA9JMwrxsZICTEp9xXlsDToZZ6FHT7dzGJxMNA6aq0FeKdx1&#10;fJFlK+6k9fTByB6fDbZfh4sTsH/SG92WcjD7Ulk7Tsfzm34V4v5uetwCSzilPxh+9UkdGnI6hYtX&#10;kXUClutyQaiA1bxYAiNik+c5sBNtinUBvKn5/w7NDwAAAP//AwBQSwECLQAUAAYACAAAACEAtoM4&#10;kv4AAADhAQAAEwAAAAAAAAAAAAAAAAAAAAAAW0NvbnRlbnRfVHlwZXNdLnhtbFBLAQItABQABgAI&#10;AAAAIQA4/SH/1gAAAJQBAAALAAAAAAAAAAAAAAAAAC8BAABfcmVscy8ucmVsc1BLAQItABQABgAI&#10;AAAAIQCIXtp6UAIAAKoEAAAOAAAAAAAAAAAAAAAAAC4CAABkcnMvZTJvRG9jLnhtbFBLAQItABQA&#10;BgAIAAAAIQDq7D3X4AAAAAsBAAAPAAAAAAAAAAAAAAAAAKoEAABkcnMvZG93bnJldi54bWxQSwUG&#10;AAAAAAQABADzAAAAtwUAAAAA&#10;" fillcolor="white [3201]" strokeweight=".5pt">
                <v:textbox>
                  <w:txbxContent>
                    <w:p w:rsidR="003D5BF8" w:rsidRPr="00610719" w:rsidRDefault="003D5BF8" w:rsidP="003D5BF8">
                      <w:pPr>
                        <w:rPr>
                          <w:lang w:val="en-US"/>
                        </w:rPr>
                      </w:pPr>
                      <w:r>
                        <w:rPr>
                          <w:lang w:val="en-US"/>
                        </w:rPr>
                        <w:t>Fig.6. Tim Peake’s spacesuit. (Nye, 2018).</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4287C482" wp14:editId="6D8A968D">
                <wp:simplePos x="0" y="0"/>
                <wp:positionH relativeFrom="margin">
                  <wp:align>left</wp:align>
                </wp:positionH>
                <wp:positionV relativeFrom="paragraph">
                  <wp:posOffset>3889902</wp:posOffset>
                </wp:positionV>
                <wp:extent cx="2786332" cy="508635"/>
                <wp:effectExtent l="0" t="0" r="14605" b="24765"/>
                <wp:wrapNone/>
                <wp:docPr id="12" name="Text Box 12"/>
                <wp:cNvGraphicFramePr/>
                <a:graphic xmlns:a="http://schemas.openxmlformats.org/drawingml/2006/main">
                  <a:graphicData uri="http://schemas.microsoft.com/office/word/2010/wordprocessingShape">
                    <wps:wsp>
                      <wps:cNvSpPr txBox="1"/>
                      <wps:spPr>
                        <a:xfrm>
                          <a:off x="0" y="0"/>
                          <a:ext cx="2786332" cy="508635"/>
                        </a:xfrm>
                        <a:prstGeom prst="rect">
                          <a:avLst/>
                        </a:prstGeom>
                        <a:solidFill>
                          <a:schemeClr val="lt1"/>
                        </a:solidFill>
                        <a:ln w="6350">
                          <a:solidFill>
                            <a:prstClr val="black"/>
                          </a:solidFill>
                        </a:ln>
                      </wps:spPr>
                      <wps:txbx>
                        <w:txbxContent>
                          <w:p w:rsidR="003D5BF8" w:rsidRPr="00610719" w:rsidRDefault="003D5BF8" w:rsidP="003D5BF8">
                            <w:pPr>
                              <w:rPr>
                                <w:lang w:val="en-US"/>
                              </w:rPr>
                            </w:pPr>
                            <w:r>
                              <w:rPr>
                                <w:lang w:val="en-US"/>
                              </w:rPr>
                              <w:t xml:space="preserve">Fig.5. Children playing with the interactive </w:t>
                            </w:r>
                            <w:r w:rsidR="00890A65">
                              <w:rPr>
                                <w:lang w:val="en-US"/>
                              </w:rPr>
                              <w:t>spacesuit</w:t>
                            </w:r>
                            <w:r>
                              <w:rPr>
                                <w:lang w:val="en-US"/>
                              </w:rPr>
                              <w:t>. (Nye,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7C482" id="Text Box 12" o:spid="_x0000_s1031" type="#_x0000_t202" style="position:absolute;margin-left:0;margin-top:306.3pt;width:219.4pt;height:40.0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S8wSwIAAKoEAAAOAAAAZHJzL2Uyb0RvYy54bWysVE1v2zAMvQ/YfxB0X52kTdsZdYosRYcB&#10;RVsgHXpWZLk2JouapMTufv2e5Hy122nYReGXH8lHMlfXfavZRjnfkCn4+GTEmTKSysa8FPz70+2n&#10;S858EKYUmowq+Kvy/Hr28cNVZ3M1oZp0qRwDiPF5Zwteh2DzLPOyVq3wJ2SVgbMi14oA1b1kpRMd&#10;0FudTUaj86wjV1pHUnkP683g5LOEX1VKhoeq8iowXXDUFtLr0ruKbza7EvmLE7Zu5LYM8Q9VtKIx&#10;SLqHuhFBsLVr/oBqG+nIUxVOJLUZVVUjVeoB3YxH77pZ1sKq1AvI8XZPk/9/sPJ+8+hYU2J2E86M&#10;aDGjJ9UH9oV6BhP46azPEba0CAw97Ijd2T2Mse2+cm38RUMMfjD9umc3okkYJxeX56enyCLhm46g&#10;TCNMdvjaOh++KmpZFAruML1Eqtjc+TCE7kJiMk+6KW8brZMSN0YttGMbgVnrkGoE+JsobVhXcGQe&#10;JeA3vgi9/36lhfyxLe8oCnjaoObIydB7lEK/6hOHqaFoWVH5CrocDQvnrbxtAH8nfHgUDhsGhnA1&#10;4QFPpQk10VbirCb362/2GI/Bw8tZh40tuP+5Fk5xpr8ZrMTn8dlZXPGknE0vJlDcsWd17DHrdkEg&#10;aoz7tDKJMT7onVg5ap9xXPOYFS5hJHIXPOzERRjuCMcp1XyegrDUVoQ7s7QyQsfBRFqf+mfh7Has&#10;AQtxT7vdFvm76Q6x8UtD83WgqkmjP7C6pR8HkZZne7zx4o71FHX4i5n9BgAA//8DAFBLAwQUAAYA&#10;CAAAACEAO56aVNwAAAAIAQAADwAAAGRycy9kb3ducmV2LnhtbEyPwU7DMAyG70i8Q2QkbixdQaXr&#10;mk6ABhdOG4hz1mRJtMapkqwrb485wdH+rd/f125mP7BJx+QCClguCmAa+6AcGgGfH693NbCUJSo5&#10;BNQCvnWCTXd91cpGhQvu9LTPhlEJpkYKsDmPDeept9rLtAijRsqOIXqZaYyGqygvVO4HXhZFxb10&#10;SB+sHPWL1f1pf/YCts9mZfpaRrutlXPT/HV8N29C3N7MT2tgWc/57xh+8QkdOmI6hDOqxAYBJJIF&#10;VMuyAkbxw31NJgfarMpH4F3L/wt0PwAAAP//AwBQSwECLQAUAAYACAAAACEAtoM4kv4AAADhAQAA&#10;EwAAAAAAAAAAAAAAAAAAAAAAW0NvbnRlbnRfVHlwZXNdLnhtbFBLAQItABQABgAIAAAAIQA4/SH/&#10;1gAAAJQBAAALAAAAAAAAAAAAAAAAAC8BAABfcmVscy8ucmVsc1BLAQItABQABgAIAAAAIQCF4S8w&#10;SwIAAKoEAAAOAAAAAAAAAAAAAAAAAC4CAABkcnMvZTJvRG9jLnhtbFBLAQItABQABgAIAAAAIQA7&#10;nppU3AAAAAgBAAAPAAAAAAAAAAAAAAAAAKUEAABkcnMvZG93bnJldi54bWxQSwUGAAAAAAQABADz&#10;AAAArgUAAAAA&#10;" fillcolor="white [3201]" strokeweight=".5pt">
                <v:textbox>
                  <w:txbxContent>
                    <w:p w:rsidR="003D5BF8" w:rsidRPr="00610719" w:rsidRDefault="003D5BF8" w:rsidP="003D5BF8">
                      <w:pPr>
                        <w:rPr>
                          <w:lang w:val="en-US"/>
                        </w:rPr>
                      </w:pPr>
                      <w:r>
                        <w:rPr>
                          <w:lang w:val="en-US"/>
                        </w:rPr>
                        <w:t xml:space="preserve">Fig.5. Children playing with the interactive </w:t>
                      </w:r>
                      <w:r w:rsidR="00890A65">
                        <w:rPr>
                          <w:lang w:val="en-US"/>
                        </w:rPr>
                        <w:t>spacesuit</w:t>
                      </w:r>
                      <w:r>
                        <w:rPr>
                          <w:lang w:val="en-US"/>
                        </w:rPr>
                        <w:t>. (Nye, 2018).</w:t>
                      </w:r>
                    </w:p>
                  </w:txbxContent>
                </v:textbox>
                <w10:wrap anchorx="margin"/>
              </v:shape>
            </w:pict>
          </mc:Fallback>
        </mc:AlternateContent>
      </w:r>
      <w:r w:rsidR="005F7C19">
        <w:rPr>
          <w:noProof/>
        </w:rPr>
        <w:drawing>
          <wp:anchor distT="0" distB="0" distL="114300" distR="114300" simplePos="0" relativeHeight="251666432" behindDoc="1" locked="0" layoutInCell="1" allowOverlap="1" wp14:anchorId="3105667D" wp14:editId="3739A1D4">
            <wp:simplePos x="0" y="0"/>
            <wp:positionH relativeFrom="margin">
              <wp:posOffset>3027141</wp:posOffset>
            </wp:positionH>
            <wp:positionV relativeFrom="paragraph">
              <wp:posOffset>0</wp:posOffset>
            </wp:positionV>
            <wp:extent cx="2833699" cy="3778370"/>
            <wp:effectExtent l="0" t="0" r="5080" b="0"/>
            <wp:wrapTight wrapText="bothSides">
              <wp:wrapPolygon edited="0">
                <wp:start x="0" y="0"/>
                <wp:lineTo x="0" y="21455"/>
                <wp:lineTo x="21494" y="21455"/>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7504665_499301420557343_780411818429382656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3699" cy="3778370"/>
                    </a:xfrm>
                    <a:prstGeom prst="rect">
                      <a:avLst/>
                    </a:prstGeom>
                  </pic:spPr>
                </pic:pic>
              </a:graphicData>
            </a:graphic>
          </wp:anchor>
        </w:drawing>
      </w:r>
      <w:r w:rsidR="005F7C19">
        <w:rPr>
          <w:noProof/>
        </w:rPr>
        <w:drawing>
          <wp:anchor distT="0" distB="0" distL="114300" distR="114300" simplePos="0" relativeHeight="251664384" behindDoc="1" locked="0" layoutInCell="1" allowOverlap="1" wp14:anchorId="19190578">
            <wp:simplePos x="0" y="0"/>
            <wp:positionH relativeFrom="margin">
              <wp:posOffset>-26131</wp:posOffset>
            </wp:positionH>
            <wp:positionV relativeFrom="paragraph">
              <wp:posOffset>0</wp:posOffset>
            </wp:positionV>
            <wp:extent cx="2837815" cy="3783965"/>
            <wp:effectExtent l="0" t="0" r="635" b="6985"/>
            <wp:wrapTight wrapText="bothSides">
              <wp:wrapPolygon edited="0">
                <wp:start x="0" y="0"/>
                <wp:lineTo x="0" y="21531"/>
                <wp:lineTo x="21460" y="21531"/>
                <wp:lineTo x="2146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7686780_739316916461243_7211060802185330688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37815" cy="3783965"/>
                    </a:xfrm>
                    <a:prstGeom prst="rect">
                      <a:avLst/>
                    </a:prstGeom>
                  </pic:spPr>
                </pic:pic>
              </a:graphicData>
            </a:graphic>
            <wp14:sizeRelH relativeFrom="page">
              <wp14:pctWidth>0</wp14:pctWidth>
            </wp14:sizeRelH>
            <wp14:sizeRelV relativeFrom="page">
              <wp14:pctHeight>0</wp14:pctHeight>
            </wp14:sizeRelV>
          </wp:anchor>
        </w:drawing>
      </w:r>
      <w:r w:rsidR="00610719">
        <w:rPr>
          <w:noProof/>
        </w:rPr>
        <w:drawing>
          <wp:inline distT="0" distB="0" distL="0" distR="0" wp14:anchorId="663388E4" wp14:editId="792316B3">
            <wp:extent cx="5658928" cy="251015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9905" r="1254" b="12194"/>
                    <a:stretch/>
                  </pic:blipFill>
                  <pic:spPr bwMode="auto">
                    <a:xfrm>
                      <a:off x="0" y="0"/>
                      <a:ext cx="5659667" cy="2510483"/>
                    </a:xfrm>
                    <a:prstGeom prst="rect">
                      <a:avLst/>
                    </a:prstGeom>
                    <a:ln>
                      <a:noFill/>
                    </a:ln>
                    <a:extLst>
                      <a:ext uri="{53640926-AAD7-44D8-BBD7-CCE9431645EC}">
                        <a14:shadowObscured xmlns:a14="http://schemas.microsoft.com/office/drawing/2010/main"/>
                      </a:ext>
                    </a:extLst>
                  </pic:spPr>
                </pic:pic>
              </a:graphicData>
            </a:graphic>
          </wp:inline>
        </w:drawing>
      </w:r>
      <w:r w:rsidR="00610719">
        <w:t xml:space="preserve"> </w:t>
      </w:r>
    </w:p>
    <w:p w:rsidR="00610719" w:rsidRDefault="003D5BF8" w:rsidP="0095463B">
      <w:r>
        <w:rPr>
          <w:noProof/>
        </w:rPr>
        <mc:AlternateContent>
          <mc:Choice Requires="wps">
            <w:drawing>
              <wp:anchor distT="0" distB="0" distL="114300" distR="114300" simplePos="0" relativeHeight="251680768" behindDoc="0" locked="0" layoutInCell="1" allowOverlap="1" wp14:anchorId="4287C482" wp14:editId="6D8A968D">
                <wp:simplePos x="0" y="0"/>
                <wp:positionH relativeFrom="margin">
                  <wp:align>center</wp:align>
                </wp:positionH>
                <wp:positionV relativeFrom="paragraph">
                  <wp:posOffset>9525</wp:posOffset>
                </wp:positionV>
                <wp:extent cx="5443268" cy="457200"/>
                <wp:effectExtent l="0" t="0" r="24130" b="19050"/>
                <wp:wrapNone/>
                <wp:docPr id="22" name="Text Box 22"/>
                <wp:cNvGraphicFramePr/>
                <a:graphic xmlns:a="http://schemas.openxmlformats.org/drawingml/2006/main">
                  <a:graphicData uri="http://schemas.microsoft.com/office/word/2010/wordprocessingShape">
                    <wps:wsp>
                      <wps:cNvSpPr txBox="1"/>
                      <wps:spPr>
                        <a:xfrm>
                          <a:off x="0" y="0"/>
                          <a:ext cx="5443268" cy="457200"/>
                        </a:xfrm>
                        <a:prstGeom prst="rect">
                          <a:avLst/>
                        </a:prstGeom>
                        <a:solidFill>
                          <a:schemeClr val="lt1"/>
                        </a:solidFill>
                        <a:ln w="6350">
                          <a:solidFill>
                            <a:prstClr val="black"/>
                          </a:solidFill>
                        </a:ln>
                      </wps:spPr>
                      <wps:txbx>
                        <w:txbxContent>
                          <w:p w:rsidR="003D5BF8" w:rsidRPr="00610719" w:rsidRDefault="003D5BF8" w:rsidP="003D5BF8">
                            <w:pPr>
                              <w:rPr>
                                <w:lang w:val="en-US"/>
                              </w:rPr>
                            </w:pPr>
                            <w:r>
                              <w:rPr>
                                <w:lang w:val="en-US"/>
                              </w:rPr>
                              <w:t>Fig.7. The webpage for the Tim Peake’s Spacecraft exhibition. (National Museum of Wales,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7C482" id="Text Box 22" o:spid="_x0000_s1032" type="#_x0000_t202" style="position:absolute;margin-left:0;margin-top:.75pt;width:428.6pt;height:36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Kj4TgIAAKoEAAAOAAAAZHJzL2Uyb0RvYy54bWysVMFuGjEQvVfqP1i+NwuE0BaxRJSIqlKU&#10;RIIqZ+P1wqpej2sbdunX99kLhKQ9Vb147Znx88ybNzu5bWvN9sr5ikzO+1c9zpSRVFRmk/Pvq8WH&#10;T5z5IEwhNBmV84Py/Hb6/t2ksWM1oC3pQjkGEOPHjc35NgQ7zjIvt6oW/oqsMnCW5GoRcHSbrHCi&#10;AXqts0GvN8oacoV1JJX3sN51Tj5N+GWpZHgsS68C0zlHbiGtLq3ruGbTiRhvnLDbSh7TEP+QRS0q&#10;g0fPUHciCLZz1R9QdSUdeSrDlaQ6o7KspEo1oJp+7001y62wKtUCcrw90+T/H6x82D85VhU5Hww4&#10;M6JGj1aqDewLtQwm8NNYP0bY0iIwtLCjzye7hzGW3Zaujl8UxOAH04czuxFNwngzHF4PRtCDhG94&#10;8xHtizDZy23rfPiqqGZxk3OH7iVSxf7ehy70FBIf86SrYlFpnQ5RMWquHdsL9FqHlCPAX0Vpw5qc&#10;j65vegn4lS9Cn++vtZA/juldRAFPG+QcOelqj7vQrtvE4ejEy5qKA+hy1AnOW7moAH8vfHgSDgoD&#10;Q5ia8Iil1ISc6LjjbEvu19/sMR6Nh5ezBorNuf+5E05xpr8ZSOJzfziMEk+HxC9n7tKzvvSYXT0n&#10;ENXHfFqZtrjsgj5tS0f1M4ZrFl+FSxiJt3MeTtt56OYIwynVbJaCIGorwr1ZWhmhY2Mirav2WTh7&#10;bGuAIB7opG0xftPdLjbeNDTbBSqr1PrIc8fqkX4MRBLPcXjjxF2eU9TLL2b6GwAA//8DAFBLAwQU&#10;AAYACAAAACEAqauHYNkAAAAFAQAADwAAAGRycy9kb3ducmV2LnhtbEyPwU7DMBBE70j8g7VI3KhD&#10;UWga4lSAChdOFNSzG29ti3gdxW4a/p7lBMedGc28bTZz6MWEY/KRFNwuChBIXTSerILPj5ebCkTK&#10;mozuI6GCb0ywaS8vGl2beKZ3nHbZCi6hVGsFLuehljJ1DoNOizggsXeMY9CZz9FKM+ozl4deLovi&#10;XgbtiRecHvDZYfe1OwUF2ye7tl2lR7etjPfTvD++2Velrq/mxwcQGef8F4ZffEaHlpkO8UQmiV4B&#10;P5JZLUGwWZWrJYiDgtVdCbJt5H/69gcAAP//AwBQSwECLQAUAAYACAAAACEAtoM4kv4AAADhAQAA&#10;EwAAAAAAAAAAAAAAAAAAAAAAW0NvbnRlbnRfVHlwZXNdLnhtbFBLAQItABQABgAIAAAAIQA4/SH/&#10;1gAAAJQBAAALAAAAAAAAAAAAAAAAAC8BAABfcmVscy8ucmVsc1BLAQItABQABgAIAAAAIQCG1Kj4&#10;TgIAAKoEAAAOAAAAAAAAAAAAAAAAAC4CAABkcnMvZTJvRG9jLnhtbFBLAQItABQABgAIAAAAIQCp&#10;q4dg2QAAAAUBAAAPAAAAAAAAAAAAAAAAAKgEAABkcnMvZG93bnJldi54bWxQSwUGAAAAAAQABADz&#10;AAAArgUAAAAA&#10;" fillcolor="white [3201]" strokeweight=".5pt">
                <v:textbox>
                  <w:txbxContent>
                    <w:p w:rsidR="003D5BF8" w:rsidRPr="00610719" w:rsidRDefault="003D5BF8" w:rsidP="003D5BF8">
                      <w:pPr>
                        <w:rPr>
                          <w:lang w:val="en-US"/>
                        </w:rPr>
                      </w:pPr>
                      <w:r>
                        <w:rPr>
                          <w:lang w:val="en-US"/>
                        </w:rPr>
                        <w:t>Fig.7. The webpage for the Tim Peake’s Spacecraft exhibition. (National Museum of Wales, 2018).</w:t>
                      </w:r>
                    </w:p>
                  </w:txbxContent>
                </v:textbox>
                <w10:wrap anchorx="margin"/>
              </v:shape>
            </w:pict>
          </mc:Fallback>
        </mc:AlternateContent>
      </w:r>
    </w:p>
    <w:p w:rsidR="003D5BF8" w:rsidRDefault="003D5BF8" w:rsidP="0095463B"/>
    <w:p w:rsidR="00610719" w:rsidRDefault="009B0D22" w:rsidP="0095463B">
      <w:r>
        <w:t xml:space="preserve">There is a stark contrast between the style and suitability of the exhibition itself and its online counterpart. Figure </w:t>
      </w:r>
      <w:r w:rsidR="00E967AE">
        <w:t>7</w:t>
      </w:r>
      <w:r>
        <w:t xml:space="preserve"> is a screenshot of the website page from the National Museum of Wales website. The harsh black text on a white background is far from child friendly, with the language </w:t>
      </w:r>
      <w:r>
        <w:lastRenderedPageBreak/>
        <w:t>being used aimed at an older audience. The photograph of the capsule, visible on the website page, is designed in such a way that only half the capsule can be seen</w:t>
      </w:r>
      <w:r w:rsidR="000323FC">
        <w:t>; an artistic licence being taken</w:t>
      </w:r>
      <w:r>
        <w:t xml:space="preserve">. Although the information boards of the </w:t>
      </w:r>
      <w:r w:rsidR="005D05A4">
        <w:t xml:space="preserve">museum </w:t>
      </w:r>
      <w:r>
        <w:t>exhibition itself is predominantly black text on a white background, the font that is used, in conjuncture with the variety of font sizes provides a more child friendly approach</w:t>
      </w:r>
      <w:r w:rsidR="005F7C19">
        <w:t xml:space="preserve"> (</w:t>
      </w:r>
      <w:r w:rsidR="003D5BF8">
        <w:t>Figure 8</w:t>
      </w:r>
      <w:r w:rsidR="005F7C19">
        <w:t>)</w:t>
      </w:r>
      <w:r>
        <w:t xml:space="preserve">. Furthermore, the images on the information boards show the articles in their entirety rather than a promotional photo to entice parents. </w:t>
      </w:r>
      <w:r w:rsidR="00EF0EE6">
        <w:t>The website itself has a polished appearance; making it clear that</w:t>
      </w:r>
      <w:r w:rsidR="005D05A4">
        <w:t xml:space="preserve"> online</w:t>
      </w:r>
      <w:r w:rsidR="00EF0EE6">
        <w:t xml:space="preserve"> the museu</w:t>
      </w:r>
      <w:r w:rsidR="000323FC">
        <w:t>m</w:t>
      </w:r>
      <w:r w:rsidR="005D05A4">
        <w:t xml:space="preserve"> aims to</w:t>
      </w:r>
      <w:r w:rsidR="000323FC">
        <w:t xml:space="preserve"> address</w:t>
      </w:r>
      <w:r w:rsidR="00EF0EE6">
        <w:t xml:space="preserve"> the parents of the children whom they wish to engage. There are no links to any webpages which could offer a child-friendly approach. However, social media is actively used with links to sites such as Facebook</w:t>
      </w:r>
      <w:r w:rsidR="000323FC">
        <w:t xml:space="preserve"> and Twitter</w:t>
      </w:r>
      <w:r w:rsidR="00EF0EE6">
        <w:t xml:space="preserve"> to name a few. </w:t>
      </w:r>
      <w:r w:rsidR="00B16686">
        <w:t>Therefore, it is clear that the museum is acknowledging the shift in online technologies</w:t>
      </w:r>
      <w:r w:rsidR="009256B8">
        <w:t xml:space="preserve"> (Kidd, 2011: 65)</w:t>
      </w:r>
      <w:r w:rsidR="00B16686">
        <w:t xml:space="preserve"> and is addressing the fact that the majority of the visitors now have an extensive online knowledge, despite the stark contrast of suitability towards children between the exhibition and the website. </w:t>
      </w:r>
    </w:p>
    <w:p w:rsidR="005F7C19" w:rsidRDefault="003D5BF8" w:rsidP="0095463B">
      <w:r>
        <w:rPr>
          <w:noProof/>
        </w:rPr>
        <w:drawing>
          <wp:anchor distT="0" distB="0" distL="114300" distR="114300" simplePos="0" relativeHeight="251667456" behindDoc="1" locked="0" layoutInCell="1" allowOverlap="1" wp14:anchorId="4A7F98DC">
            <wp:simplePos x="0" y="0"/>
            <wp:positionH relativeFrom="margin">
              <wp:align>center</wp:align>
            </wp:positionH>
            <wp:positionV relativeFrom="paragraph">
              <wp:posOffset>9777</wp:posOffset>
            </wp:positionV>
            <wp:extent cx="4373245" cy="3280410"/>
            <wp:effectExtent l="0" t="0" r="8255" b="0"/>
            <wp:wrapTight wrapText="bothSides">
              <wp:wrapPolygon edited="0">
                <wp:start x="0" y="0"/>
                <wp:lineTo x="0" y="21449"/>
                <wp:lineTo x="21547" y="21449"/>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7581045_722036408175994_3388570987128684544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3245" cy="3280410"/>
                    </a:xfrm>
                    <a:prstGeom prst="rect">
                      <a:avLst/>
                    </a:prstGeom>
                  </pic:spPr>
                </pic:pic>
              </a:graphicData>
            </a:graphic>
            <wp14:sizeRelH relativeFrom="page">
              <wp14:pctWidth>0</wp14:pctWidth>
            </wp14:sizeRelH>
            <wp14:sizeRelV relativeFrom="page">
              <wp14:pctHeight>0</wp14:pctHeight>
            </wp14:sizeRelV>
          </wp:anchor>
        </w:drawing>
      </w:r>
    </w:p>
    <w:p w:rsidR="005F7C19" w:rsidRDefault="005F7C19" w:rsidP="0095463B"/>
    <w:p w:rsidR="005F7C19" w:rsidRDefault="005F7C19" w:rsidP="0095463B"/>
    <w:p w:rsidR="003D5BF8" w:rsidRDefault="003D5BF8" w:rsidP="0095463B"/>
    <w:p w:rsidR="003D5BF8" w:rsidRDefault="003D5BF8" w:rsidP="0095463B"/>
    <w:p w:rsidR="003D5BF8" w:rsidRDefault="003D5BF8" w:rsidP="0095463B"/>
    <w:p w:rsidR="003D5BF8" w:rsidRDefault="003D5BF8" w:rsidP="0095463B"/>
    <w:p w:rsidR="003D5BF8" w:rsidRDefault="003D5BF8" w:rsidP="0095463B"/>
    <w:p w:rsidR="003D5BF8" w:rsidRDefault="003D5BF8" w:rsidP="0095463B"/>
    <w:p w:rsidR="003D5BF8" w:rsidRDefault="003D5BF8" w:rsidP="0095463B"/>
    <w:p w:rsidR="003D5BF8" w:rsidRDefault="003D5BF8" w:rsidP="0095463B"/>
    <w:p w:rsidR="003D5BF8" w:rsidRDefault="003D5BF8" w:rsidP="0095463B">
      <w:r>
        <w:rPr>
          <w:noProof/>
        </w:rPr>
        <mc:AlternateContent>
          <mc:Choice Requires="wps">
            <w:drawing>
              <wp:anchor distT="0" distB="0" distL="114300" distR="114300" simplePos="0" relativeHeight="251682816" behindDoc="0" locked="0" layoutInCell="1" allowOverlap="1" wp14:anchorId="4287C482" wp14:editId="6D8A968D">
                <wp:simplePos x="0" y="0"/>
                <wp:positionH relativeFrom="column">
                  <wp:posOffset>681487</wp:posOffset>
                </wp:positionH>
                <wp:positionV relativeFrom="paragraph">
                  <wp:posOffset>232698</wp:posOffset>
                </wp:positionV>
                <wp:extent cx="4373592" cy="474452"/>
                <wp:effectExtent l="0" t="0" r="27305" b="20955"/>
                <wp:wrapNone/>
                <wp:docPr id="23" name="Text Box 23"/>
                <wp:cNvGraphicFramePr/>
                <a:graphic xmlns:a="http://schemas.openxmlformats.org/drawingml/2006/main">
                  <a:graphicData uri="http://schemas.microsoft.com/office/word/2010/wordprocessingShape">
                    <wps:wsp>
                      <wps:cNvSpPr txBox="1"/>
                      <wps:spPr>
                        <a:xfrm>
                          <a:off x="0" y="0"/>
                          <a:ext cx="4373592" cy="474452"/>
                        </a:xfrm>
                        <a:prstGeom prst="rect">
                          <a:avLst/>
                        </a:prstGeom>
                        <a:solidFill>
                          <a:schemeClr val="lt1"/>
                        </a:solidFill>
                        <a:ln w="6350">
                          <a:solidFill>
                            <a:prstClr val="black"/>
                          </a:solidFill>
                        </a:ln>
                      </wps:spPr>
                      <wps:txbx>
                        <w:txbxContent>
                          <w:p w:rsidR="003D5BF8" w:rsidRPr="00610719" w:rsidRDefault="003D5BF8" w:rsidP="003D5BF8">
                            <w:pPr>
                              <w:rPr>
                                <w:lang w:val="en-US"/>
                              </w:rPr>
                            </w:pPr>
                            <w:r>
                              <w:rPr>
                                <w:lang w:val="en-US"/>
                              </w:rPr>
                              <w:t>Fig.8. Exhibition display board showing child-friendly nature of the exhibition (Nye,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7C482" id="Text Box 23" o:spid="_x0000_s1033" type="#_x0000_t202" style="position:absolute;margin-left:53.65pt;margin-top:18.3pt;width:344.4pt;height:37.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5E6UQIAAKoEAAAOAAAAZHJzL2Uyb0RvYy54bWysVFFv2jAQfp+0/2D5fQRCKGtEqBgV06Sq&#10;rQRTn43jkGiOz7MNCfv1OzsJpd2epr2Y892Xz3ff3bG4a2tJTsLYClRGJ6MxJUJxyCt1yOj33ebT&#10;Z0qsYypnEpTI6FlYerf8+GHR6FTEUILMhSFIomza6IyWzuk0iiwvRc3sCLRQGCzA1Mzh1Ryi3LAG&#10;2WsZxePxTdSAybUBLqxF730XpMvAXxSCu6eisMIRmVHMzYXThHPvz2i5YOnBMF1WvE+D/UMWNasU&#10;PnqhumeOkaOp/qCqK27AQuFGHOoIiqLiItSA1UzG76rZlkyLUAuKY/VFJvv/aPnj6dmQKs9oPKVE&#10;sRp7tBOtI1+gJehCfRptU4RtNQJdi37s8+C36PRlt4Wp/S8WRDCOSp8v6no2js5kOp/ObmNKOMaS&#10;eZLMYk8TvX6tjXVfBdTEGxk12L0gKjs9WNdBB4h/zIKs8k0lZbj4iRFraciJYa+lCzki+RuUVKTJ&#10;6M10Ng7Eb2Ke+vL9XjL+o0/vCoV8UmHOXpOudm+5dt8GDeeDLnvIzyiXgW7grOabCukfmHXPzOCE&#10;oUK4Ne4Jj0IC5gS9RUkJ5tff/B6PjccoJQ1ObEbtzyMzghL5TeFI3E6SxI94uCSzeYwXcx3ZX0fU&#10;sV4DCjXB/dQ8mB7v5GAWBuoXXK6VfxVDTHF8O6NuMNeu2yNcTi5WqwDCodbMPait5p7aN8bLumtf&#10;mNF9Wx0OxCMMs83Sd93tsP5LBaujg6IKrfc6d6r28uNChOHpl9dv3PU9oF7/Ypa/AQAA//8DAFBL&#10;AwQUAAYACAAAACEAS+mBAtwAAAAKAQAADwAAAGRycy9kb3ducmV2LnhtbEyPwU7DMBBE70j8g7VI&#10;3KgTIqVpiFMBKlw40SLO29i1LWI7st00/D3LCY6jeZp9220XN7JZxWSDF1CuCmDKD0FarwV8HF7u&#10;GmApo5c4Bq8EfKsE2/76qsNWhot/V/M+a0YjPrUowOQ8tZynwSiHaRUm5ak7hegwU4yay4gXGncj&#10;vy+Kmju0ni4YnNSzUcPX/uwE7J70Rg8NRrNrpLXz8nl6069C3N4sjw/AslryHwy/+qQOPTkdw9nL&#10;xEbKxboiVEBV18AIWG/qEtiRmrKsgPcd//9C/wMAAP//AwBQSwECLQAUAAYACAAAACEAtoM4kv4A&#10;AADhAQAAEwAAAAAAAAAAAAAAAAAAAAAAW0NvbnRlbnRfVHlwZXNdLnhtbFBLAQItABQABgAIAAAA&#10;IQA4/SH/1gAAAJQBAAALAAAAAAAAAAAAAAAAAC8BAABfcmVscy8ucmVsc1BLAQItABQABgAIAAAA&#10;IQBhW5E6UQIAAKoEAAAOAAAAAAAAAAAAAAAAAC4CAABkcnMvZTJvRG9jLnhtbFBLAQItABQABgAI&#10;AAAAIQBL6YEC3AAAAAoBAAAPAAAAAAAAAAAAAAAAAKsEAABkcnMvZG93bnJldi54bWxQSwUGAAAA&#10;AAQABADzAAAAtAUAAAAA&#10;" fillcolor="white [3201]" strokeweight=".5pt">
                <v:textbox>
                  <w:txbxContent>
                    <w:p w:rsidR="003D5BF8" w:rsidRPr="00610719" w:rsidRDefault="003D5BF8" w:rsidP="003D5BF8">
                      <w:pPr>
                        <w:rPr>
                          <w:lang w:val="en-US"/>
                        </w:rPr>
                      </w:pPr>
                      <w:r>
                        <w:rPr>
                          <w:lang w:val="en-US"/>
                        </w:rPr>
                        <w:t>Fig.8. Exhibition display board showing child-friendly nature of the exhibition (Nye, 2018).</w:t>
                      </w:r>
                    </w:p>
                  </w:txbxContent>
                </v:textbox>
              </v:shape>
            </w:pict>
          </mc:Fallback>
        </mc:AlternateContent>
      </w:r>
    </w:p>
    <w:p w:rsidR="003D5BF8" w:rsidRDefault="003D5BF8" w:rsidP="0095463B"/>
    <w:p w:rsidR="003D5BF8" w:rsidRDefault="003D5BF8" w:rsidP="0095463B"/>
    <w:p w:rsidR="004E0CF2" w:rsidRDefault="009256B8" w:rsidP="0095463B">
      <w:r>
        <w:t xml:space="preserve">In conclusion, from this commentary it can be seen that the exhibition has been designed to engage a broad range of ages from an educational perspective. A comparison between the webpage of and the exhibition itself notes how the two very different types of display are altered to appeal and </w:t>
      </w:r>
      <w:r w:rsidR="005D05A4">
        <w:t>interest</w:t>
      </w:r>
      <w:r>
        <w:t xml:space="preserve"> the age range the museum wishes to address. Such attempts to engage can be clearly seen in the methods of exhibition chosen, which has been critically discussed. </w:t>
      </w:r>
    </w:p>
    <w:p w:rsidR="009256B8" w:rsidRDefault="009256B8" w:rsidP="0095463B">
      <w:r>
        <w:t xml:space="preserve">The Tim Peake Spacecraft exhibition is one that is most engage and offers a combination of physical and electronical technologies to educate and </w:t>
      </w:r>
      <w:r w:rsidR="005D05A4">
        <w:t>appeal to</w:t>
      </w:r>
      <w:r>
        <w:t xml:space="preserve"> its audience.</w:t>
      </w:r>
    </w:p>
    <w:p w:rsidR="00912268" w:rsidRDefault="00912268" w:rsidP="0095463B">
      <w:pPr>
        <w:rPr>
          <w:noProof/>
        </w:rPr>
      </w:pPr>
    </w:p>
    <w:p w:rsidR="00C9769B" w:rsidRDefault="00C9769B" w:rsidP="0095463B"/>
    <w:p w:rsidR="00C9769B" w:rsidRDefault="00C9769B" w:rsidP="0095463B"/>
    <w:p w:rsidR="00C9769B" w:rsidRDefault="00C9769B" w:rsidP="0095463B"/>
    <w:p w:rsidR="00C9769B" w:rsidRDefault="00C9769B" w:rsidP="0095463B"/>
    <w:p w:rsidR="00B07909" w:rsidRDefault="00C9769B" w:rsidP="0095463B">
      <w:pPr>
        <w:rPr>
          <w:u w:val="single"/>
        </w:rPr>
      </w:pPr>
      <w:r w:rsidRPr="00E967AE">
        <w:rPr>
          <w:u w:val="single"/>
        </w:rPr>
        <w:t>Bibliography</w:t>
      </w:r>
    </w:p>
    <w:p w:rsidR="009256B8" w:rsidRPr="009256B8" w:rsidRDefault="009256B8" w:rsidP="0095463B">
      <w:proofErr w:type="spellStart"/>
      <w:r>
        <w:t>Belhassen</w:t>
      </w:r>
      <w:proofErr w:type="spellEnd"/>
      <w:r>
        <w:t xml:space="preserve">, Y., and Caton, K., (2006). Authenticity Matters. </w:t>
      </w:r>
      <w:r>
        <w:rPr>
          <w:i/>
        </w:rPr>
        <w:t>Annals of Tourism Research.</w:t>
      </w:r>
      <w:r>
        <w:t xml:space="preserve"> 33(3): 853-856.</w:t>
      </w:r>
    </w:p>
    <w:p w:rsidR="00E967AE" w:rsidRPr="00E967AE" w:rsidRDefault="00E967AE" w:rsidP="0095463B">
      <w:pPr>
        <w:rPr>
          <w:u w:val="single"/>
        </w:rPr>
      </w:pPr>
      <w:r w:rsidRPr="00E967AE">
        <w:t>British Museum</w:t>
      </w:r>
      <w:r>
        <w:rPr>
          <w:i/>
        </w:rPr>
        <w:t xml:space="preserve">., </w:t>
      </w:r>
      <w:r w:rsidRPr="00E967AE">
        <w:t>(2017</w:t>
      </w:r>
      <w:r>
        <w:t xml:space="preserve">). </w:t>
      </w:r>
      <w:r>
        <w:rPr>
          <w:i/>
        </w:rPr>
        <w:t xml:space="preserve">Greece: Minoans and Mycenaeans. </w:t>
      </w:r>
      <w:hyperlink r:id="rId12" w:history="1">
        <w:r w:rsidRPr="00E967AE">
          <w:rPr>
            <w:rStyle w:val="Hyperlink"/>
          </w:rPr>
          <w:t>https://www.britishmuseum.org/visiting/galleries/ancient_greece_and_rome/room_12_minoan_and_mycenaean.aspx</w:t>
        </w:r>
      </w:hyperlink>
      <w:r w:rsidRPr="00E967AE">
        <w:t>.</w:t>
      </w:r>
      <w:r>
        <w:rPr>
          <w:i/>
        </w:rPr>
        <w:t xml:space="preserve"> </w:t>
      </w:r>
      <w:r>
        <w:t>Accessed 18/12/2018.</w:t>
      </w:r>
    </w:p>
    <w:p w:rsidR="00C9769B" w:rsidRDefault="00C9769B" w:rsidP="0095463B">
      <w:r>
        <w:t>Communications Design Team, Royal Ontario Museum.</w:t>
      </w:r>
      <w:r w:rsidR="00E967AE">
        <w:t>,</w:t>
      </w:r>
      <w:r>
        <w:t xml:space="preserve"> (1994). Spatial Considerations. In Hooper-Greenhill, E., (Ed) (1994). </w:t>
      </w:r>
      <w:r>
        <w:rPr>
          <w:i/>
        </w:rPr>
        <w:t>The Educational Role of the Museum (2</w:t>
      </w:r>
      <w:r w:rsidRPr="00C9769B">
        <w:rPr>
          <w:i/>
          <w:vertAlign w:val="superscript"/>
        </w:rPr>
        <w:t>nd</w:t>
      </w:r>
      <w:r>
        <w:rPr>
          <w:i/>
        </w:rPr>
        <w:t xml:space="preserve"> Edition). </w:t>
      </w:r>
      <w:r>
        <w:t>London: Routledge.</w:t>
      </w:r>
    </w:p>
    <w:p w:rsidR="00CB6B50" w:rsidRDefault="00CB6B50" w:rsidP="0095463B">
      <w:r>
        <w:t xml:space="preserve">Chan, J, K, L., (2009). The </w:t>
      </w:r>
      <w:r w:rsidR="00A073DB">
        <w:t>Consumption</w:t>
      </w:r>
      <w:r>
        <w:t xml:space="preserve"> of museum Ser</w:t>
      </w:r>
      <w:r w:rsidR="00A073DB">
        <w:t xml:space="preserve">vice Experiences. </w:t>
      </w:r>
      <w:r w:rsidR="00A073DB">
        <w:rPr>
          <w:i/>
        </w:rPr>
        <w:t>Journal of Hospitality Marketing and Management.</w:t>
      </w:r>
      <w:r w:rsidR="00A073DB">
        <w:t xml:space="preserve"> 18: 173-196.</w:t>
      </w:r>
    </w:p>
    <w:p w:rsidR="009256B8" w:rsidRPr="009256B8" w:rsidRDefault="009256B8" w:rsidP="0095463B">
      <w:r>
        <w:t xml:space="preserve">Kidd, J., (2011). Enacting Engagement Online: Framing Social Media Use for the Museum. </w:t>
      </w:r>
      <w:r>
        <w:rPr>
          <w:i/>
        </w:rPr>
        <w:t>Information, Technology and People.</w:t>
      </w:r>
      <w:r>
        <w:t xml:space="preserve"> 24(1): 64-77.</w:t>
      </w:r>
    </w:p>
    <w:p w:rsidR="00E967AE" w:rsidRPr="00A073DB" w:rsidRDefault="00A073DB" w:rsidP="0095463B">
      <w:r>
        <w:t xml:space="preserve">Parker, J., (2008). Beyond Learning: Exploring Visitors’ Perceptions of the Value and Benefits of Museum Experiences. </w:t>
      </w:r>
      <w:r>
        <w:rPr>
          <w:i/>
        </w:rPr>
        <w:t>Curator.</w:t>
      </w:r>
      <w:r>
        <w:t xml:space="preserve"> 51(1): 33-54.</w:t>
      </w:r>
    </w:p>
    <w:p w:rsidR="00E967AE" w:rsidRDefault="00E967AE" w:rsidP="0095463B">
      <w:pPr>
        <w:rPr>
          <w:i/>
        </w:rPr>
      </w:pPr>
    </w:p>
    <w:p w:rsidR="00C9769B" w:rsidRPr="00E967AE" w:rsidRDefault="00C9769B" w:rsidP="0095463B">
      <w:pPr>
        <w:rPr>
          <w:u w:val="single"/>
        </w:rPr>
      </w:pPr>
      <w:r w:rsidRPr="00E967AE">
        <w:rPr>
          <w:u w:val="single"/>
        </w:rPr>
        <w:t>Figures</w:t>
      </w:r>
    </w:p>
    <w:p w:rsidR="00E967AE" w:rsidRPr="00E967AE" w:rsidRDefault="00E967AE" w:rsidP="0095463B">
      <w:r>
        <w:t xml:space="preserve">National Museum of Wales., (2018). </w:t>
      </w:r>
      <w:r>
        <w:rPr>
          <w:i/>
        </w:rPr>
        <w:t>Tim Peake’s Spacecraft Webpage.</w:t>
      </w:r>
      <w:r>
        <w:t xml:space="preserve"> </w:t>
      </w:r>
      <w:hyperlink r:id="rId13" w:history="1">
        <w:r w:rsidRPr="00F67DEA">
          <w:rPr>
            <w:rStyle w:val="Hyperlink"/>
          </w:rPr>
          <w:t>https://museum.wales/cardiff/whatson/10260/Tim-Peakes-Spacecraft/</w:t>
        </w:r>
      </w:hyperlink>
      <w:r>
        <w:t>. Accessed 12/12/2018.</w:t>
      </w:r>
    </w:p>
    <w:p w:rsidR="00E967AE" w:rsidRDefault="00E967AE" w:rsidP="0095463B">
      <w:r>
        <w:t xml:space="preserve">Nye, R., (2018). </w:t>
      </w:r>
      <w:r>
        <w:rPr>
          <w:i/>
        </w:rPr>
        <w:t>A touchscreen information point in use.</w:t>
      </w:r>
      <w:r>
        <w:t xml:space="preserve"> Unpublished.</w:t>
      </w:r>
    </w:p>
    <w:p w:rsidR="00E967AE" w:rsidRDefault="00E967AE" w:rsidP="0095463B">
      <w:r>
        <w:t xml:space="preserve">Nye, R., (2018). </w:t>
      </w:r>
      <w:r>
        <w:rPr>
          <w:i/>
        </w:rPr>
        <w:t xml:space="preserve">Children playing with the interactive spacesuit. </w:t>
      </w:r>
      <w:r>
        <w:t>Unpublished.</w:t>
      </w:r>
    </w:p>
    <w:p w:rsidR="00E967AE" w:rsidRDefault="00E967AE" w:rsidP="0095463B">
      <w:r>
        <w:t xml:space="preserve">Nye, R., (2018). </w:t>
      </w:r>
      <w:r>
        <w:rPr>
          <w:i/>
        </w:rPr>
        <w:t>Display cabinet showing a lack of overcrowding of artefacts.</w:t>
      </w:r>
      <w:r>
        <w:t xml:space="preserve"> Unpublished.</w:t>
      </w:r>
    </w:p>
    <w:p w:rsidR="00E967AE" w:rsidRDefault="00E967AE" w:rsidP="0095463B">
      <w:r>
        <w:t xml:space="preserve">Nye, R., (2018). </w:t>
      </w:r>
      <w:r>
        <w:rPr>
          <w:i/>
        </w:rPr>
        <w:t>Exhibition display board showing child-friendly nature of the exhibition.</w:t>
      </w:r>
      <w:r>
        <w:t xml:space="preserve"> Unpublished.</w:t>
      </w:r>
    </w:p>
    <w:p w:rsidR="00E967AE" w:rsidRDefault="00E967AE" w:rsidP="0095463B">
      <w:r>
        <w:t xml:space="preserve">Nye, R., (2018). </w:t>
      </w:r>
      <w:r>
        <w:rPr>
          <w:i/>
        </w:rPr>
        <w:t>Tim Peake’s Spacecraft, National Museum of Wales.</w:t>
      </w:r>
      <w:r>
        <w:t xml:space="preserve"> Unpublished.</w:t>
      </w:r>
    </w:p>
    <w:p w:rsidR="00E967AE" w:rsidRDefault="00E967AE" w:rsidP="0095463B">
      <w:r>
        <w:t xml:space="preserve">Nye, R., (2018). </w:t>
      </w:r>
      <w:r>
        <w:rPr>
          <w:i/>
        </w:rPr>
        <w:t>Tim Peake’s spacesuit.</w:t>
      </w:r>
      <w:r>
        <w:t xml:space="preserve"> Unpublished.</w:t>
      </w:r>
    </w:p>
    <w:p w:rsidR="00E967AE" w:rsidRDefault="00E967AE" w:rsidP="0095463B">
      <w:r>
        <w:t xml:space="preserve">Nye, R., (2018). </w:t>
      </w:r>
      <w:r>
        <w:rPr>
          <w:i/>
        </w:rPr>
        <w:t>Virtual Reality Display Board.</w:t>
      </w:r>
      <w:r>
        <w:t xml:space="preserve"> Unpublished.</w:t>
      </w:r>
    </w:p>
    <w:sectPr w:rsidR="00E96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63B"/>
    <w:rsid w:val="000323FC"/>
    <w:rsid w:val="001D1AD6"/>
    <w:rsid w:val="002D537A"/>
    <w:rsid w:val="003457BE"/>
    <w:rsid w:val="00362A6B"/>
    <w:rsid w:val="003D5BF8"/>
    <w:rsid w:val="0043260D"/>
    <w:rsid w:val="004B34BE"/>
    <w:rsid w:val="004C2D3B"/>
    <w:rsid w:val="004E0CF2"/>
    <w:rsid w:val="0059274F"/>
    <w:rsid w:val="005D05A4"/>
    <w:rsid w:val="005F7C19"/>
    <w:rsid w:val="00610719"/>
    <w:rsid w:val="006D67B0"/>
    <w:rsid w:val="007228CA"/>
    <w:rsid w:val="00731C50"/>
    <w:rsid w:val="00861458"/>
    <w:rsid w:val="00890A65"/>
    <w:rsid w:val="00912268"/>
    <w:rsid w:val="009256B8"/>
    <w:rsid w:val="009429CC"/>
    <w:rsid w:val="0095463B"/>
    <w:rsid w:val="009775B7"/>
    <w:rsid w:val="009B0D22"/>
    <w:rsid w:val="00A073DB"/>
    <w:rsid w:val="00A67C4F"/>
    <w:rsid w:val="00B07909"/>
    <w:rsid w:val="00B16686"/>
    <w:rsid w:val="00B63C42"/>
    <w:rsid w:val="00BA3602"/>
    <w:rsid w:val="00C420D0"/>
    <w:rsid w:val="00C9769B"/>
    <w:rsid w:val="00CB6B50"/>
    <w:rsid w:val="00CD5F0B"/>
    <w:rsid w:val="00D918A8"/>
    <w:rsid w:val="00E967AE"/>
    <w:rsid w:val="00EF0EE6"/>
    <w:rsid w:val="00F62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7CFD5"/>
  <w15:chartTrackingRefBased/>
  <w15:docId w15:val="{0FDF8B45-B8D1-48E4-999B-8BA293201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67AE"/>
    <w:rPr>
      <w:color w:val="0563C1" w:themeColor="hyperlink"/>
      <w:u w:val="single"/>
    </w:rPr>
  </w:style>
  <w:style w:type="character" w:styleId="UnresolvedMention">
    <w:name w:val="Unresolved Mention"/>
    <w:basedOn w:val="DefaultParagraphFont"/>
    <w:uiPriority w:val="99"/>
    <w:semiHidden/>
    <w:unhideWhenUsed/>
    <w:rsid w:val="00E967AE"/>
    <w:rPr>
      <w:color w:val="605E5C"/>
      <w:shd w:val="clear" w:color="auto" w:fill="E1DFDD"/>
    </w:rPr>
  </w:style>
  <w:style w:type="paragraph" w:styleId="NormalWeb">
    <w:name w:val="Normal (Web)"/>
    <w:basedOn w:val="Normal"/>
    <w:uiPriority w:val="99"/>
    <w:unhideWhenUsed/>
    <w:rsid w:val="00731C50"/>
    <w:pPr>
      <w:spacing w:before="100" w:beforeAutospacing="1" w:after="100" w:afterAutospacing="1" w:line="240" w:lineRule="auto"/>
    </w:pPr>
    <w:rPr>
      <w:rFonts w:ascii="Georgia" w:eastAsia="SimSun" w:hAnsi="Georgia" w:cs="Times New Roman"/>
      <w:color w:val="000000"/>
      <w:sz w:val="21"/>
      <w:szCs w:val="21"/>
      <w:lang w:eastAsia="zh-CN"/>
    </w:rPr>
  </w:style>
  <w:style w:type="paragraph" w:customStyle="1" w:styleId="Body">
    <w:name w:val="Body"/>
    <w:uiPriority w:val="99"/>
    <w:rsid w:val="00731C50"/>
    <w:pPr>
      <w:spacing w:after="0" w:line="240" w:lineRule="auto"/>
    </w:pPr>
    <w:rPr>
      <w:rFonts w:ascii="Helvetica" w:eastAsia="Arial Unicode MS" w:hAnsi="Helvetica" w:cs="Arial Unicode MS"/>
      <w:color w:val="00000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hyperlink" Target="https://museum.wales/cardiff/whatson/10260/Tim-Peakes-Spacecraft/" TargetMode="Externa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britishmuseum.org/visiting/galleries/ancient_greece_and_rome/room_12_minoan_and_mycenaean.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jp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7</Pages>
  <Words>1347</Words>
  <Characters>7681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Nye</dc:creator>
  <cp:keywords/>
  <dc:description/>
  <cp:lastModifiedBy>Rosie Nye</cp:lastModifiedBy>
  <cp:revision>16</cp:revision>
  <dcterms:created xsi:type="dcterms:W3CDTF">2018-12-09T12:17:00Z</dcterms:created>
  <dcterms:modified xsi:type="dcterms:W3CDTF">2019-01-10T14:19:00Z</dcterms:modified>
</cp:coreProperties>
</file>