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9E4CA" w14:textId="77777777" w:rsidR="00DE2872" w:rsidRPr="00825DDF" w:rsidRDefault="00DE2872" w:rsidP="00825DDF">
      <w:pPr>
        <w:spacing w:line="360" w:lineRule="auto"/>
        <w:jc w:val="both"/>
        <w:rPr>
          <w:rStyle w:val="eop"/>
          <w:rFonts w:ascii="Calibri Light" w:hAnsi="Calibri Light" w:cs="Calibri Light"/>
          <w:b/>
          <w:bCs/>
          <w:color w:val="1D2125"/>
        </w:rPr>
      </w:pPr>
      <w:r w:rsidRPr="00825DDF">
        <w:rPr>
          <w:rStyle w:val="textrun"/>
          <w:rFonts w:ascii="Calibri Light" w:hAnsi="Calibri Light" w:cs="Calibri Light"/>
          <w:b/>
          <w:bCs/>
          <w:color w:val="1D2125"/>
        </w:rPr>
        <w:t>Can virtue ethics provide us with guidance on how to act?</w:t>
      </w:r>
      <w:r w:rsidRPr="00825DDF">
        <w:rPr>
          <w:rStyle w:val="eop"/>
          <w:rFonts w:ascii="Calibri Light" w:hAnsi="Calibri Light" w:cs="Calibri Light"/>
          <w:b/>
          <w:bCs/>
          <w:color w:val="1D2125"/>
        </w:rPr>
        <w:t> </w:t>
      </w:r>
    </w:p>
    <w:p w14:paraId="54FAE2A9" w14:textId="77777777" w:rsidR="00DE2872" w:rsidRDefault="00DE2872" w:rsidP="00825DDF">
      <w:pPr>
        <w:spacing w:line="360" w:lineRule="auto"/>
        <w:jc w:val="both"/>
        <w:rPr>
          <w:rFonts w:ascii="Calibri Light" w:hAnsi="Calibri Light" w:cs="Calibri Light"/>
        </w:rPr>
      </w:pPr>
    </w:p>
    <w:p w14:paraId="134DD66B" w14:textId="282E2C41" w:rsidR="002633B2" w:rsidRPr="002633B2" w:rsidRDefault="002633B2" w:rsidP="00825DDF">
      <w:pPr>
        <w:spacing w:line="360" w:lineRule="auto"/>
        <w:jc w:val="both"/>
        <w:rPr>
          <w:rFonts w:ascii="Calibri Light" w:hAnsi="Calibri Light" w:cs="Calibri Light"/>
          <w:b/>
          <w:bCs/>
        </w:rPr>
      </w:pPr>
    </w:p>
    <w:p w14:paraId="362C2FCB" w14:textId="5AFA7EC8" w:rsidR="00DE2872" w:rsidRDefault="00DE2872" w:rsidP="001321E4">
      <w:pPr>
        <w:spacing w:line="360" w:lineRule="auto"/>
        <w:jc w:val="both"/>
        <w:rPr>
          <w:rFonts w:ascii="Calibri Light" w:hAnsi="Calibri Light" w:cs="Calibri Light"/>
        </w:rPr>
      </w:pPr>
      <w:r w:rsidRPr="001321E4">
        <w:rPr>
          <w:rFonts w:ascii="Calibri Light" w:hAnsi="Calibri Light" w:cs="Calibri Light"/>
        </w:rPr>
        <w:t>The idea that Virtue Ethics (“VE”) cannot adequately provide us with guidance on how to act is familiar and enduring.</w:t>
      </w:r>
      <w:r w:rsidRPr="00825DDF">
        <w:rPr>
          <w:rStyle w:val="FootnoteReference"/>
          <w:rFonts w:ascii="Calibri Light" w:hAnsi="Calibri Light" w:cs="Calibri Light"/>
        </w:rPr>
        <w:footnoteReference w:id="1"/>
      </w:r>
      <w:r w:rsidRPr="001321E4">
        <w:rPr>
          <w:rFonts w:ascii="Calibri Light" w:hAnsi="Calibri Light" w:cs="Calibri Light"/>
        </w:rPr>
        <w:t xml:space="preserve"> VE</w:t>
      </w:r>
      <w:r w:rsidR="001321E4" w:rsidRPr="001321E4">
        <w:rPr>
          <w:rFonts w:ascii="Calibri Light" w:hAnsi="Calibri Light" w:cs="Calibri Light"/>
        </w:rPr>
        <w:t>, says the Action-Guidance Objection (“</w:t>
      </w:r>
      <w:r w:rsidR="00A311B9">
        <w:rPr>
          <w:rFonts w:ascii="Calibri Light" w:hAnsi="Calibri Light" w:cs="Calibri Light"/>
        </w:rPr>
        <w:t>AGO</w:t>
      </w:r>
      <w:r w:rsidR="001321E4" w:rsidRPr="001321E4">
        <w:rPr>
          <w:rFonts w:ascii="Calibri Light" w:hAnsi="Calibri Light" w:cs="Calibri Light"/>
        </w:rPr>
        <w:t>”), is</w:t>
      </w:r>
      <w:r w:rsidRPr="001321E4">
        <w:rPr>
          <w:rFonts w:ascii="Calibri Light" w:hAnsi="Calibri Light" w:cs="Calibri Light"/>
        </w:rPr>
        <w:t xml:space="preserve"> structurally unable to tell us what “we ought to do”.</w:t>
      </w:r>
      <w:r w:rsidR="003D7549">
        <w:rPr>
          <w:rStyle w:val="FootnoteReference"/>
          <w:rFonts w:ascii="Calibri Light" w:hAnsi="Calibri Light" w:cs="Calibri Light"/>
        </w:rPr>
        <w:footnoteReference w:id="2"/>
      </w:r>
      <w:r w:rsidR="00740C48">
        <w:rPr>
          <w:rFonts w:ascii="Calibri Light" w:hAnsi="Calibri Light" w:cs="Calibri Light"/>
        </w:rPr>
        <w:t xml:space="preserve"> </w:t>
      </w:r>
      <w:r w:rsidR="00D86A15">
        <w:rPr>
          <w:rFonts w:ascii="Calibri Light" w:hAnsi="Calibri Light" w:cs="Calibri Light"/>
        </w:rPr>
        <w:t xml:space="preserve">Neither moral perception nor </w:t>
      </w:r>
      <w:r w:rsidR="00D86A15" w:rsidRPr="001321E4">
        <w:rPr>
          <w:rFonts w:ascii="Calibri Light" w:hAnsi="Calibri Light" w:cs="Calibri Light"/>
        </w:rPr>
        <w:t xml:space="preserve">situation-specific ‘know-how’ </w:t>
      </w:r>
      <w:r w:rsidR="00D86A15">
        <w:rPr>
          <w:rFonts w:ascii="Calibri Light" w:hAnsi="Calibri Light" w:cs="Calibri Light"/>
        </w:rPr>
        <w:t>can be reduced to rules</w:t>
      </w:r>
      <w:r w:rsidR="009A66A4">
        <w:rPr>
          <w:rFonts w:ascii="Calibri Light" w:hAnsi="Calibri Light" w:cs="Calibri Light"/>
        </w:rPr>
        <w:t xml:space="preserve">. To be applied, </w:t>
      </w:r>
      <w:r w:rsidR="00D86A15">
        <w:rPr>
          <w:rFonts w:ascii="Calibri Light" w:hAnsi="Calibri Light" w:cs="Calibri Light"/>
        </w:rPr>
        <w:t xml:space="preserve">a Normative Theory (“NT”) needs to </w:t>
      </w:r>
      <w:r w:rsidR="009A66A4">
        <w:rPr>
          <w:rFonts w:ascii="Calibri Light" w:hAnsi="Calibri Light" w:cs="Calibri Light"/>
        </w:rPr>
        <w:t>have</w:t>
      </w:r>
      <w:r w:rsidR="00D86A15">
        <w:rPr>
          <w:rFonts w:ascii="Calibri Light" w:hAnsi="Calibri Light" w:cs="Calibri Light"/>
        </w:rPr>
        <w:t xml:space="preserve"> some sort of Decision</w:t>
      </w:r>
      <w:r w:rsidR="00A311B9">
        <w:rPr>
          <w:rFonts w:ascii="Calibri Light" w:hAnsi="Calibri Light" w:cs="Calibri Light"/>
        </w:rPr>
        <w:t>-</w:t>
      </w:r>
      <w:r w:rsidR="00D86A15">
        <w:rPr>
          <w:rFonts w:ascii="Calibri Light" w:hAnsi="Calibri Light" w:cs="Calibri Light"/>
        </w:rPr>
        <w:t>Procedure. VE cannot be sufficiently codified to produce some sort of DP and is, therefore, inapplicable</w:t>
      </w:r>
      <w:r w:rsidRPr="001321E4">
        <w:rPr>
          <w:rFonts w:ascii="Calibri Light" w:hAnsi="Calibri Light" w:cs="Calibri Light"/>
        </w:rPr>
        <w:t>.</w:t>
      </w:r>
      <w:r w:rsidRPr="00825DDF">
        <w:rPr>
          <w:rStyle w:val="FootnoteReference"/>
          <w:rFonts w:ascii="Calibri Light" w:hAnsi="Calibri Light" w:cs="Calibri Light"/>
        </w:rPr>
        <w:footnoteReference w:id="3"/>
      </w:r>
      <w:r w:rsidRPr="001321E4">
        <w:rPr>
          <w:rFonts w:ascii="Calibri Light" w:hAnsi="Calibri Light" w:cs="Calibri Light"/>
        </w:rPr>
        <w:t xml:space="preserve"> </w:t>
      </w:r>
    </w:p>
    <w:p w14:paraId="347BD296" w14:textId="77777777" w:rsidR="00A311B9" w:rsidRDefault="00A311B9" w:rsidP="001321E4">
      <w:pPr>
        <w:spacing w:line="360" w:lineRule="auto"/>
        <w:jc w:val="both"/>
        <w:rPr>
          <w:rFonts w:ascii="Calibri Light" w:hAnsi="Calibri Light" w:cs="Calibri Light"/>
        </w:rPr>
      </w:pPr>
    </w:p>
    <w:p w14:paraId="4C4A1F57" w14:textId="167FDC90" w:rsidR="0068444C" w:rsidRDefault="00DE2872" w:rsidP="0068444C">
      <w:pPr>
        <w:spacing w:line="360" w:lineRule="auto"/>
        <w:jc w:val="both"/>
        <w:rPr>
          <w:rFonts w:ascii="Calibri Light" w:hAnsi="Calibri Light" w:cs="Calibri Light"/>
        </w:rPr>
      </w:pPr>
      <w:r w:rsidRPr="001321E4">
        <w:rPr>
          <w:rFonts w:ascii="Calibri Light" w:hAnsi="Calibri Light" w:cs="Calibri Light"/>
        </w:rPr>
        <w:t xml:space="preserve">That </w:t>
      </w:r>
      <w:r w:rsidR="00A311B9">
        <w:rPr>
          <w:rFonts w:ascii="Calibri Light" w:hAnsi="Calibri Light" w:cs="Calibri Light"/>
        </w:rPr>
        <w:t>AGO</w:t>
      </w:r>
      <w:r w:rsidRPr="001321E4">
        <w:rPr>
          <w:rFonts w:ascii="Calibri Light" w:hAnsi="Calibri Light" w:cs="Calibri Light"/>
        </w:rPr>
        <w:t xml:space="preserve"> persists is, perhaps, surprising. VE is well-established in applied ethics.</w:t>
      </w:r>
      <w:r w:rsidRPr="00825DDF">
        <w:rPr>
          <w:rStyle w:val="FootnoteReference"/>
          <w:rFonts w:ascii="Calibri Light" w:hAnsi="Calibri Light" w:cs="Calibri Light"/>
        </w:rPr>
        <w:footnoteReference w:id="4"/>
      </w:r>
      <w:r w:rsidRPr="001321E4">
        <w:rPr>
          <w:rFonts w:ascii="Calibri Light" w:hAnsi="Calibri Light" w:cs="Calibri Light"/>
        </w:rPr>
        <w:t xml:space="preserve"> How can VE be </w:t>
      </w:r>
      <w:r w:rsidR="009A66A4">
        <w:rPr>
          <w:rFonts w:ascii="Calibri Light" w:hAnsi="Calibri Light" w:cs="Calibri Light"/>
        </w:rPr>
        <w:t xml:space="preserve">inapplicable </w:t>
      </w:r>
      <w:r w:rsidR="00AB3ECE">
        <w:rPr>
          <w:rFonts w:ascii="Calibri Light" w:hAnsi="Calibri Light" w:cs="Calibri Light"/>
        </w:rPr>
        <w:t xml:space="preserve">when it is </w:t>
      </w:r>
      <w:r w:rsidR="009A66A4">
        <w:rPr>
          <w:rFonts w:ascii="Calibri Light" w:hAnsi="Calibri Light" w:cs="Calibri Light"/>
        </w:rPr>
        <w:t>applied</w:t>
      </w:r>
      <w:r w:rsidRPr="001321E4">
        <w:rPr>
          <w:rFonts w:ascii="Calibri Light" w:hAnsi="Calibri Light" w:cs="Calibri Light"/>
        </w:rPr>
        <w:t xml:space="preserve">? Not do what it already does? This is not facile. </w:t>
      </w:r>
      <w:r w:rsidR="00A311B9">
        <w:rPr>
          <w:rFonts w:ascii="Calibri Light" w:hAnsi="Calibri Light" w:cs="Calibri Light"/>
        </w:rPr>
        <w:t>AGO</w:t>
      </w:r>
      <w:r w:rsidR="00263845">
        <w:rPr>
          <w:rFonts w:ascii="Calibri Light" w:hAnsi="Calibri Light" w:cs="Calibri Light"/>
        </w:rPr>
        <w:t xml:space="preserve"> </w:t>
      </w:r>
      <w:r w:rsidR="00A311B9">
        <w:rPr>
          <w:rFonts w:ascii="Calibri Light" w:hAnsi="Calibri Light" w:cs="Calibri Light"/>
        </w:rPr>
        <w:t xml:space="preserve">is </w:t>
      </w:r>
      <w:r w:rsidRPr="00ED5554">
        <w:rPr>
          <w:rFonts w:ascii="Calibri Light" w:hAnsi="Calibri Light" w:cs="Calibri Light"/>
          <w:i/>
          <w:iCs/>
        </w:rPr>
        <w:t>practical</w:t>
      </w:r>
      <w:r w:rsidRPr="001321E4">
        <w:rPr>
          <w:rFonts w:ascii="Calibri Light" w:hAnsi="Calibri Light" w:cs="Calibri Light"/>
        </w:rPr>
        <w:t>.</w:t>
      </w:r>
      <w:r w:rsidRPr="00825DDF">
        <w:rPr>
          <w:rStyle w:val="FootnoteReference"/>
          <w:rFonts w:ascii="Calibri Light" w:hAnsi="Calibri Light" w:cs="Calibri Light"/>
        </w:rPr>
        <w:footnoteReference w:id="5"/>
      </w:r>
      <w:r w:rsidRPr="001321E4">
        <w:rPr>
          <w:rFonts w:ascii="Calibri Light" w:hAnsi="Calibri Light" w:cs="Calibri Light"/>
        </w:rPr>
        <w:t xml:space="preserve"> Robert Louden </w:t>
      </w:r>
      <w:r w:rsidR="009A66A4">
        <w:rPr>
          <w:rFonts w:ascii="Calibri Light" w:hAnsi="Calibri Light" w:cs="Calibri Light"/>
        </w:rPr>
        <w:t xml:space="preserve">said </w:t>
      </w:r>
      <w:r w:rsidR="00ED5554">
        <w:rPr>
          <w:rFonts w:ascii="Calibri Light" w:hAnsi="Calibri Light" w:cs="Calibri Light"/>
        </w:rPr>
        <w:t>it:</w:t>
      </w:r>
      <w:r w:rsidRPr="001321E4">
        <w:rPr>
          <w:rFonts w:ascii="Calibri Light" w:hAnsi="Calibri Light" w:cs="Calibri Light"/>
        </w:rPr>
        <w:t xml:space="preserve"> VE would be useless in applied ethics. </w:t>
      </w:r>
      <w:r w:rsidRPr="00825DDF">
        <w:rPr>
          <w:rStyle w:val="FootnoteReference"/>
          <w:rFonts w:ascii="Calibri Light" w:hAnsi="Calibri Light" w:cs="Calibri Light"/>
        </w:rPr>
        <w:footnoteReference w:id="6"/>
      </w:r>
    </w:p>
    <w:p w14:paraId="3A740A9C" w14:textId="77777777" w:rsidR="00226C32" w:rsidRDefault="00226C32" w:rsidP="0068444C">
      <w:pPr>
        <w:spacing w:line="360" w:lineRule="auto"/>
        <w:jc w:val="both"/>
        <w:rPr>
          <w:rFonts w:ascii="Calibri Light" w:hAnsi="Calibri Light" w:cs="Calibri Light"/>
        </w:rPr>
      </w:pPr>
    </w:p>
    <w:p w14:paraId="1DC33A74" w14:textId="7D781663" w:rsidR="00DE2872" w:rsidRDefault="00226C32" w:rsidP="0068444C">
      <w:pPr>
        <w:spacing w:line="360" w:lineRule="auto"/>
        <w:jc w:val="both"/>
        <w:rPr>
          <w:rFonts w:ascii="Calibri Light" w:hAnsi="Calibri Light" w:cs="Calibri Light"/>
        </w:rPr>
      </w:pPr>
      <w:r>
        <w:rPr>
          <w:rFonts w:ascii="Calibri Light" w:hAnsi="Calibri Light" w:cs="Calibri Light"/>
        </w:rPr>
        <w:lastRenderedPageBreak/>
        <w:t>AGO</w:t>
      </w:r>
      <w:r w:rsidR="006D238B">
        <w:rPr>
          <w:rFonts w:ascii="Calibri Light" w:hAnsi="Calibri Light" w:cs="Calibri Light"/>
        </w:rPr>
        <w:t xml:space="preserve"> must be </w:t>
      </w:r>
      <w:r w:rsidR="00DE2872" w:rsidRPr="0068444C">
        <w:rPr>
          <w:rFonts w:ascii="Calibri Light" w:hAnsi="Calibri Light" w:cs="Calibri Light"/>
        </w:rPr>
        <w:t>theoretical</w:t>
      </w:r>
      <w:r w:rsidR="00003F8D">
        <w:rPr>
          <w:rFonts w:ascii="Calibri Light" w:hAnsi="Calibri Light" w:cs="Calibri Light"/>
        </w:rPr>
        <w:t>.</w:t>
      </w:r>
      <w:r w:rsidR="00DE2872" w:rsidRPr="0068444C">
        <w:rPr>
          <w:rFonts w:ascii="Calibri Light" w:hAnsi="Calibri Light" w:cs="Calibri Light"/>
        </w:rPr>
        <w:t xml:space="preserve"> </w:t>
      </w:r>
      <w:r w:rsidR="006D238B">
        <w:rPr>
          <w:rFonts w:ascii="Calibri Light" w:hAnsi="Calibri Light" w:cs="Calibri Light"/>
        </w:rPr>
        <w:t>Even s</w:t>
      </w:r>
      <w:r w:rsidR="00CE74A7">
        <w:rPr>
          <w:rFonts w:ascii="Calibri Light" w:hAnsi="Calibri Light" w:cs="Calibri Light"/>
        </w:rPr>
        <w:t>till</w:t>
      </w:r>
      <w:r w:rsidR="00DE2872" w:rsidRPr="0068444C">
        <w:rPr>
          <w:rFonts w:ascii="Calibri Light" w:hAnsi="Calibri Light" w:cs="Calibri Light"/>
        </w:rPr>
        <w:t xml:space="preserve">. </w:t>
      </w:r>
      <w:r w:rsidR="0068444C">
        <w:rPr>
          <w:rFonts w:ascii="Calibri Light" w:hAnsi="Calibri Light" w:cs="Calibri Light"/>
        </w:rPr>
        <w:t xml:space="preserve">Many have offered </w:t>
      </w:r>
      <w:r w:rsidR="00086155">
        <w:rPr>
          <w:rFonts w:ascii="Calibri Light" w:hAnsi="Calibri Light" w:cs="Calibri Light"/>
        </w:rPr>
        <w:t>Action-Theories</w:t>
      </w:r>
      <w:r w:rsidR="0068444C">
        <w:rPr>
          <w:rFonts w:ascii="Calibri Light" w:hAnsi="Calibri Light" w:cs="Calibri Light"/>
        </w:rPr>
        <w:t>.</w:t>
      </w:r>
      <w:r w:rsidR="00003F8D">
        <w:rPr>
          <w:rStyle w:val="FootnoteReference"/>
          <w:rFonts w:ascii="Calibri Light" w:hAnsi="Calibri Light" w:cs="Calibri Light"/>
        </w:rPr>
        <w:footnoteReference w:id="7"/>
      </w:r>
      <w:r w:rsidR="0068444C">
        <w:rPr>
          <w:rFonts w:ascii="Calibri Light" w:hAnsi="Calibri Light" w:cs="Calibri Light"/>
        </w:rPr>
        <w:t xml:space="preserve"> </w:t>
      </w:r>
      <w:r w:rsidR="006D238B" w:rsidRPr="0068444C">
        <w:rPr>
          <w:rFonts w:ascii="Calibri Light" w:hAnsi="Calibri Light" w:cs="Calibri Light"/>
        </w:rPr>
        <w:t xml:space="preserve">VE </w:t>
      </w:r>
      <w:r w:rsidR="006D238B">
        <w:rPr>
          <w:rFonts w:ascii="Calibri Light" w:hAnsi="Calibri Light" w:cs="Calibri Light"/>
        </w:rPr>
        <w:t>largely</w:t>
      </w:r>
      <w:r w:rsidR="006D238B" w:rsidRPr="0068444C">
        <w:rPr>
          <w:rFonts w:ascii="Calibri Light" w:hAnsi="Calibri Light" w:cs="Calibri Light"/>
        </w:rPr>
        <w:t xml:space="preserve"> accedes to (some) codification. </w:t>
      </w:r>
      <w:r w:rsidR="0068444C">
        <w:rPr>
          <w:rFonts w:ascii="Calibri Light" w:hAnsi="Calibri Light" w:cs="Calibri Light"/>
        </w:rPr>
        <w:t>Few insist on Strong Codifiability</w:t>
      </w:r>
      <w:r w:rsidR="006D238B">
        <w:rPr>
          <w:rFonts w:ascii="Calibri Light" w:hAnsi="Calibri Light" w:cs="Calibri Light"/>
        </w:rPr>
        <w:t>.</w:t>
      </w:r>
      <w:r w:rsidR="00586DEE">
        <w:rPr>
          <w:rStyle w:val="FootnoteReference"/>
          <w:rFonts w:ascii="Calibri Light" w:hAnsi="Calibri Light" w:cs="Calibri Light"/>
        </w:rPr>
        <w:footnoteReference w:id="8"/>
      </w:r>
      <w:r w:rsidR="006D238B">
        <w:rPr>
          <w:rFonts w:ascii="Calibri Light" w:hAnsi="Calibri Light" w:cs="Calibri Light"/>
        </w:rPr>
        <w:t xml:space="preserve"> Few think it </w:t>
      </w:r>
      <w:r w:rsidR="00522A38">
        <w:rPr>
          <w:rFonts w:ascii="Calibri Light" w:hAnsi="Calibri Light" w:cs="Calibri Light"/>
        </w:rPr>
        <w:t xml:space="preserve">still </w:t>
      </w:r>
      <w:r w:rsidR="006D238B">
        <w:rPr>
          <w:rFonts w:ascii="Calibri Light" w:hAnsi="Calibri Light" w:cs="Calibri Light"/>
        </w:rPr>
        <w:t xml:space="preserve">the </w:t>
      </w:r>
      <w:r w:rsidR="00DE2872" w:rsidRPr="0068444C">
        <w:rPr>
          <w:rFonts w:ascii="Calibri Light" w:hAnsi="Calibri Light" w:cs="Calibri Light"/>
        </w:rPr>
        <w:t>fundamental purpose of ethics</w:t>
      </w:r>
      <w:r w:rsidR="006D238B">
        <w:rPr>
          <w:rFonts w:ascii="Calibri Light" w:hAnsi="Calibri Light" w:cs="Calibri Light"/>
        </w:rPr>
        <w:t xml:space="preserve"> to “Provide Us With Action Guidance” (“</w:t>
      </w:r>
      <w:r w:rsidR="00C44FAD">
        <w:rPr>
          <w:rFonts w:ascii="Calibri Light" w:hAnsi="Calibri Light" w:cs="Calibri Light"/>
        </w:rPr>
        <w:t>PUWAG</w:t>
      </w:r>
      <w:r w:rsidR="006D238B">
        <w:rPr>
          <w:rFonts w:ascii="Calibri Light" w:hAnsi="Calibri Light" w:cs="Calibri Light"/>
        </w:rPr>
        <w:t>”) by way of a D</w:t>
      </w:r>
      <w:r w:rsidR="008F5452">
        <w:rPr>
          <w:rFonts w:ascii="Calibri Light" w:hAnsi="Calibri Light" w:cs="Calibri Light"/>
        </w:rPr>
        <w:t>ecision-</w:t>
      </w:r>
      <w:r w:rsidR="006D238B">
        <w:rPr>
          <w:rFonts w:ascii="Calibri Light" w:hAnsi="Calibri Light" w:cs="Calibri Light"/>
        </w:rPr>
        <w:t>P</w:t>
      </w:r>
      <w:r w:rsidR="008F5452">
        <w:rPr>
          <w:rFonts w:ascii="Calibri Light" w:hAnsi="Calibri Light" w:cs="Calibri Light"/>
        </w:rPr>
        <w:t>rocedure</w:t>
      </w:r>
      <w:r w:rsidR="00DE2872" w:rsidRPr="0068444C">
        <w:rPr>
          <w:rFonts w:ascii="Calibri Light" w:hAnsi="Calibri Light" w:cs="Calibri Light"/>
        </w:rPr>
        <w:t>.</w:t>
      </w:r>
      <w:r w:rsidR="00DE2872" w:rsidRPr="00825DDF">
        <w:rPr>
          <w:rStyle w:val="FootnoteReference"/>
          <w:rFonts w:ascii="Calibri Light" w:hAnsi="Calibri Light" w:cs="Calibri Light"/>
        </w:rPr>
        <w:footnoteReference w:id="9"/>
      </w:r>
      <w:r w:rsidR="00DE2872" w:rsidRPr="0068444C">
        <w:rPr>
          <w:rFonts w:ascii="Calibri Light" w:hAnsi="Calibri Light" w:cs="Calibri Light"/>
        </w:rPr>
        <w:t xml:space="preserve">  </w:t>
      </w:r>
    </w:p>
    <w:p w14:paraId="44E7E5C3" w14:textId="77777777" w:rsidR="00003F8D" w:rsidRPr="0068444C" w:rsidRDefault="00003F8D" w:rsidP="0068444C">
      <w:pPr>
        <w:spacing w:line="360" w:lineRule="auto"/>
        <w:jc w:val="both"/>
        <w:rPr>
          <w:rFonts w:ascii="Calibri Light" w:hAnsi="Calibri Light" w:cs="Calibri Light"/>
        </w:rPr>
      </w:pPr>
    </w:p>
    <w:p w14:paraId="348C7014" w14:textId="04F4E849" w:rsidR="00DE2872" w:rsidRPr="006D238B" w:rsidRDefault="00DE2872" w:rsidP="006D238B">
      <w:pPr>
        <w:spacing w:line="360" w:lineRule="auto"/>
        <w:jc w:val="both"/>
        <w:rPr>
          <w:rFonts w:ascii="Calibri Light" w:hAnsi="Calibri Light" w:cs="Calibri Light"/>
        </w:rPr>
      </w:pPr>
      <w:r w:rsidRPr="006D238B">
        <w:rPr>
          <w:rFonts w:ascii="Calibri Light" w:hAnsi="Calibri Light" w:cs="Calibri Light"/>
        </w:rPr>
        <w:t>We will infer what we must</w:t>
      </w:r>
      <w:r w:rsidR="00003F8D">
        <w:rPr>
          <w:rFonts w:ascii="Calibri Light" w:hAnsi="Calibri Light" w:cs="Calibri Light"/>
        </w:rPr>
        <w:t>. I</w:t>
      </w:r>
      <w:r w:rsidR="006D238B">
        <w:rPr>
          <w:rFonts w:ascii="Calibri Light" w:hAnsi="Calibri Light" w:cs="Calibri Light"/>
        </w:rPr>
        <w:t>t endures</w:t>
      </w:r>
      <w:r w:rsidR="00003F8D">
        <w:rPr>
          <w:rFonts w:ascii="Calibri Light" w:hAnsi="Calibri Light" w:cs="Calibri Light"/>
        </w:rPr>
        <w:t xml:space="preserve"> </w:t>
      </w:r>
      <w:r w:rsidRPr="006D238B">
        <w:rPr>
          <w:rFonts w:ascii="Calibri Light" w:hAnsi="Calibri Light" w:cs="Calibri Light"/>
        </w:rPr>
        <w:t>because it has bite.</w:t>
      </w:r>
      <w:r w:rsidR="006D238B">
        <w:rPr>
          <w:rFonts w:ascii="Calibri Light" w:hAnsi="Calibri Light" w:cs="Calibri Light"/>
        </w:rPr>
        <w:t xml:space="preserve"> Or, </w:t>
      </w:r>
      <w:r w:rsidR="00CE74A7">
        <w:rPr>
          <w:rFonts w:ascii="Calibri Light" w:hAnsi="Calibri Light" w:cs="Calibri Light"/>
        </w:rPr>
        <w:t xml:space="preserve">VE </w:t>
      </w:r>
      <w:r w:rsidR="00133EFA">
        <w:rPr>
          <w:rFonts w:ascii="Calibri Light" w:hAnsi="Calibri Light" w:cs="Calibri Light"/>
        </w:rPr>
        <w:t>won’t give</w:t>
      </w:r>
      <w:r w:rsidR="003D7549">
        <w:rPr>
          <w:rFonts w:ascii="Calibri Light" w:hAnsi="Calibri Light" w:cs="Calibri Light"/>
        </w:rPr>
        <w:t xml:space="preserve"> the answer it wants. </w:t>
      </w:r>
      <w:r w:rsidR="00133EFA">
        <w:rPr>
          <w:rFonts w:ascii="Calibri Light" w:hAnsi="Calibri Light" w:cs="Calibri Light"/>
        </w:rPr>
        <w:t xml:space="preserve">For </w:t>
      </w:r>
      <w:r w:rsidRPr="006D238B">
        <w:rPr>
          <w:rFonts w:ascii="Calibri Light" w:hAnsi="Calibri Light" w:cs="Calibri Light"/>
        </w:rPr>
        <w:t>VE can admit such degree of codification as is compatible with its particularism</w:t>
      </w:r>
      <w:r w:rsidR="00133EFA">
        <w:rPr>
          <w:rFonts w:ascii="Calibri Light" w:hAnsi="Calibri Light" w:cs="Calibri Light"/>
        </w:rPr>
        <w:t>;</w:t>
      </w:r>
      <w:r w:rsidR="00CE74A7">
        <w:rPr>
          <w:rFonts w:ascii="Calibri Light" w:hAnsi="Calibri Light" w:cs="Calibri Light"/>
        </w:rPr>
        <w:t xml:space="preserve"> but f</w:t>
      </w:r>
      <w:r w:rsidRPr="006D238B">
        <w:rPr>
          <w:rFonts w:ascii="Calibri Light" w:hAnsi="Calibri Light" w:cs="Calibri Light"/>
        </w:rPr>
        <w:t xml:space="preserve">or as long as the objectors’ theoretical </w:t>
      </w:r>
      <w:r w:rsidR="003D7549">
        <w:rPr>
          <w:rFonts w:ascii="Calibri Light" w:hAnsi="Calibri Light" w:cs="Calibri Light"/>
        </w:rPr>
        <w:t>demands</w:t>
      </w:r>
      <w:r w:rsidRPr="006D238B">
        <w:rPr>
          <w:rFonts w:ascii="Calibri Light" w:hAnsi="Calibri Light" w:cs="Calibri Light"/>
        </w:rPr>
        <w:t xml:space="preserve"> </w:t>
      </w:r>
      <w:r w:rsidR="003D7549">
        <w:rPr>
          <w:rFonts w:ascii="Calibri Light" w:hAnsi="Calibri Light" w:cs="Calibri Light"/>
        </w:rPr>
        <w:t xml:space="preserve">require </w:t>
      </w:r>
      <w:r w:rsidR="00133EFA">
        <w:rPr>
          <w:rFonts w:ascii="Calibri Light" w:hAnsi="Calibri Light" w:cs="Calibri Light"/>
        </w:rPr>
        <w:t xml:space="preserve">such </w:t>
      </w:r>
      <w:r w:rsidRPr="006D238B">
        <w:rPr>
          <w:rFonts w:ascii="Calibri Light" w:hAnsi="Calibri Light" w:cs="Calibri Light"/>
        </w:rPr>
        <w:t>codification</w:t>
      </w:r>
      <w:r w:rsidR="00133EFA">
        <w:rPr>
          <w:rFonts w:ascii="Calibri Light" w:hAnsi="Calibri Light" w:cs="Calibri Light"/>
        </w:rPr>
        <w:t xml:space="preserve"> as</w:t>
      </w:r>
      <w:r w:rsidR="003D7549">
        <w:rPr>
          <w:rFonts w:ascii="Calibri Light" w:hAnsi="Calibri Light" w:cs="Calibri Light"/>
        </w:rPr>
        <w:t xml:space="preserve"> </w:t>
      </w:r>
      <w:r w:rsidRPr="006D238B">
        <w:rPr>
          <w:rFonts w:ascii="Calibri Light" w:hAnsi="Calibri Light" w:cs="Calibri Light"/>
        </w:rPr>
        <w:t xml:space="preserve">VE </w:t>
      </w:r>
      <w:r w:rsidR="003D7549">
        <w:rPr>
          <w:rFonts w:ascii="Calibri Light" w:hAnsi="Calibri Light" w:cs="Calibri Light"/>
        </w:rPr>
        <w:t>will not</w:t>
      </w:r>
      <w:r w:rsidRPr="006D238B">
        <w:rPr>
          <w:rFonts w:ascii="Calibri Light" w:hAnsi="Calibri Light" w:cs="Calibri Light"/>
        </w:rPr>
        <w:t xml:space="preserve"> provide, </w:t>
      </w:r>
      <w:r w:rsidR="00133EFA">
        <w:rPr>
          <w:rFonts w:ascii="Calibri Light" w:hAnsi="Calibri Light" w:cs="Calibri Light"/>
        </w:rPr>
        <w:t>AGO</w:t>
      </w:r>
      <w:r w:rsidRPr="006D238B">
        <w:rPr>
          <w:rFonts w:ascii="Calibri Light" w:hAnsi="Calibri Light" w:cs="Calibri Light"/>
        </w:rPr>
        <w:t xml:space="preserve"> survives. </w:t>
      </w:r>
    </w:p>
    <w:p w14:paraId="0AB471F5" w14:textId="77777777" w:rsidR="00DE2872" w:rsidRPr="00825DDF" w:rsidRDefault="00DE2872" w:rsidP="00825DDF">
      <w:pPr>
        <w:pStyle w:val="ListParagraph"/>
        <w:spacing w:line="360" w:lineRule="auto"/>
        <w:jc w:val="both"/>
        <w:rPr>
          <w:rFonts w:ascii="Calibri Light" w:hAnsi="Calibri Light" w:cs="Calibri Light"/>
        </w:rPr>
      </w:pPr>
    </w:p>
    <w:p w14:paraId="47846A71" w14:textId="5257C48E" w:rsidR="00DE2872" w:rsidRPr="000C3EF3" w:rsidRDefault="00133EFA" w:rsidP="000C3EF3">
      <w:pPr>
        <w:spacing w:line="360" w:lineRule="auto"/>
        <w:jc w:val="both"/>
        <w:rPr>
          <w:rFonts w:ascii="Calibri Light" w:hAnsi="Calibri Light" w:cs="Calibri Light"/>
        </w:rPr>
      </w:pPr>
      <w:r>
        <w:rPr>
          <w:rFonts w:ascii="Calibri Light" w:hAnsi="Calibri Light" w:cs="Calibri Light"/>
        </w:rPr>
        <w:t>AGO</w:t>
      </w:r>
      <w:r w:rsidR="00DE2872" w:rsidRPr="000C3EF3">
        <w:rPr>
          <w:rFonts w:ascii="Calibri Light" w:hAnsi="Calibri Light" w:cs="Calibri Light"/>
        </w:rPr>
        <w:t xml:space="preserve"> is foremost </w:t>
      </w:r>
      <w:r w:rsidR="00003F8D" w:rsidRPr="000C3EF3">
        <w:rPr>
          <w:rFonts w:ascii="Calibri Light" w:hAnsi="Calibri Light" w:cs="Calibri Light"/>
        </w:rPr>
        <w:t>epistemological</w:t>
      </w:r>
      <w:r w:rsidR="00DE2872" w:rsidRPr="000C3EF3">
        <w:rPr>
          <w:rFonts w:ascii="Calibri Light" w:hAnsi="Calibri Light" w:cs="Calibri Light"/>
        </w:rPr>
        <w:t>.</w:t>
      </w:r>
      <w:r w:rsidR="00DE2872" w:rsidRPr="00825DDF">
        <w:rPr>
          <w:rStyle w:val="FootnoteReference"/>
          <w:rFonts w:ascii="Calibri Light" w:hAnsi="Calibri Light" w:cs="Calibri Light"/>
        </w:rPr>
        <w:footnoteReference w:id="10"/>
      </w:r>
      <w:r w:rsidR="00DE2872" w:rsidRPr="000C3EF3">
        <w:rPr>
          <w:rFonts w:ascii="Calibri Light" w:hAnsi="Calibri Light" w:cs="Calibri Light"/>
        </w:rPr>
        <w:t xml:space="preserve"> </w:t>
      </w:r>
      <w:r w:rsidR="00086155">
        <w:rPr>
          <w:rFonts w:ascii="Calibri Light" w:hAnsi="Calibri Light" w:cs="Calibri Light"/>
        </w:rPr>
        <w:t>The</w:t>
      </w:r>
      <w:r w:rsidR="00003F8D" w:rsidRPr="000C3EF3">
        <w:rPr>
          <w:rFonts w:ascii="Calibri Light" w:hAnsi="Calibri Light" w:cs="Calibri Light"/>
        </w:rPr>
        <w:t xml:space="preserve"> </w:t>
      </w:r>
      <w:r w:rsidR="00086155">
        <w:rPr>
          <w:rFonts w:ascii="Calibri Light" w:hAnsi="Calibri Light" w:cs="Calibri Light"/>
        </w:rPr>
        <w:t xml:space="preserve">broad </w:t>
      </w:r>
      <w:r w:rsidR="00DE2872" w:rsidRPr="000C3EF3">
        <w:rPr>
          <w:rFonts w:ascii="Calibri Light" w:hAnsi="Calibri Light" w:cs="Calibri Light"/>
        </w:rPr>
        <w:t xml:space="preserve">epistemological </w:t>
      </w:r>
      <w:r w:rsidR="00003F8D" w:rsidRPr="000C3EF3">
        <w:rPr>
          <w:rFonts w:ascii="Calibri Light" w:hAnsi="Calibri Light" w:cs="Calibri Light"/>
        </w:rPr>
        <w:t>complaint</w:t>
      </w:r>
      <w:r w:rsidR="00086155">
        <w:rPr>
          <w:rFonts w:ascii="Calibri Light" w:hAnsi="Calibri Light" w:cs="Calibri Light"/>
        </w:rPr>
        <w:t xml:space="preserve"> is</w:t>
      </w:r>
      <w:r w:rsidR="00DE2872" w:rsidRPr="000C3EF3">
        <w:rPr>
          <w:rFonts w:ascii="Calibri Light" w:hAnsi="Calibri Light" w:cs="Calibri Light"/>
        </w:rPr>
        <w:t>: The V</w:t>
      </w:r>
      <w:r w:rsidR="00003F8D" w:rsidRPr="000C3EF3">
        <w:rPr>
          <w:rFonts w:ascii="Calibri Light" w:hAnsi="Calibri Light" w:cs="Calibri Light"/>
        </w:rPr>
        <w:t xml:space="preserve">irtuous </w:t>
      </w:r>
      <w:r w:rsidR="00DE2872" w:rsidRPr="000C3EF3">
        <w:rPr>
          <w:rFonts w:ascii="Calibri Light" w:hAnsi="Calibri Light" w:cs="Calibri Light"/>
        </w:rPr>
        <w:t>P</w:t>
      </w:r>
      <w:r w:rsidR="00003F8D" w:rsidRPr="000C3EF3">
        <w:rPr>
          <w:rFonts w:ascii="Calibri Light" w:hAnsi="Calibri Light" w:cs="Calibri Light"/>
        </w:rPr>
        <w:t>erson (“VP”)</w:t>
      </w:r>
      <w:r w:rsidR="00DE2872" w:rsidRPr="000C3EF3">
        <w:rPr>
          <w:rFonts w:ascii="Calibri Light" w:hAnsi="Calibri Light" w:cs="Calibri Light"/>
        </w:rPr>
        <w:t>, measure of right, is limited and occasionally wrong</w:t>
      </w:r>
      <w:r w:rsidR="004D1C2E">
        <w:rPr>
          <w:rFonts w:ascii="Calibri Light" w:hAnsi="Calibri Light" w:cs="Calibri Light"/>
        </w:rPr>
        <w:t xml:space="preserve"> </w:t>
      </w:r>
      <w:r w:rsidR="00086155">
        <w:rPr>
          <w:rFonts w:ascii="Calibri Light" w:hAnsi="Calibri Light" w:cs="Calibri Light"/>
        </w:rPr>
        <w:t xml:space="preserve">Their discernment is </w:t>
      </w:r>
      <w:r w:rsidR="00DE2872" w:rsidRPr="000C3EF3">
        <w:rPr>
          <w:rFonts w:ascii="Calibri Light" w:hAnsi="Calibri Light" w:cs="Calibri Light"/>
        </w:rPr>
        <w:t>beyond us</w:t>
      </w:r>
      <w:r w:rsidR="00086155">
        <w:rPr>
          <w:rFonts w:ascii="Calibri Light" w:hAnsi="Calibri Light" w:cs="Calibri Light"/>
        </w:rPr>
        <w:t>:</w:t>
      </w:r>
      <w:r w:rsidR="00DE2872" w:rsidRPr="000C3EF3">
        <w:rPr>
          <w:rFonts w:ascii="Calibri Light" w:hAnsi="Calibri Light" w:cs="Calibri Light"/>
        </w:rPr>
        <w:t xml:space="preserve"> opaque, irreducible</w:t>
      </w:r>
      <w:r w:rsidR="004D1C2E">
        <w:rPr>
          <w:rFonts w:ascii="Calibri Light" w:hAnsi="Calibri Light" w:cs="Calibri Light"/>
        </w:rPr>
        <w:t xml:space="preserve"> </w:t>
      </w:r>
      <w:r w:rsidR="004D1C2E">
        <w:rPr>
          <w:rFonts w:ascii="Calibri Light" w:hAnsi="Calibri Light" w:cs="Calibri Light"/>
        </w:rPr>
        <w:t>(E1)</w:t>
      </w:r>
      <w:r w:rsidR="004D1C2E">
        <w:rPr>
          <w:rFonts w:ascii="Calibri Light" w:hAnsi="Calibri Light" w:cs="Calibri Light"/>
        </w:rPr>
        <w:t>. Without</w:t>
      </w:r>
      <w:r w:rsidR="00DE2872" w:rsidRPr="000C3EF3">
        <w:rPr>
          <w:rFonts w:ascii="Calibri Light" w:hAnsi="Calibri Light" w:cs="Calibri Light"/>
        </w:rPr>
        <w:t xml:space="preserve"> sufficient rules, the non-VP is left to imitate</w:t>
      </w:r>
      <w:r w:rsidR="004D1C2E">
        <w:rPr>
          <w:rFonts w:ascii="Calibri Light" w:hAnsi="Calibri Light" w:cs="Calibri Light"/>
        </w:rPr>
        <w:t xml:space="preserve"> (E2</w:t>
      </w:r>
      <w:r w:rsidR="00DE2872" w:rsidRPr="000C3EF3">
        <w:rPr>
          <w:rFonts w:ascii="Calibri Light" w:hAnsi="Calibri Light" w:cs="Calibri Light"/>
        </w:rPr>
        <w:t>)</w:t>
      </w:r>
      <w:r w:rsidR="004D1C2E">
        <w:rPr>
          <w:rFonts w:ascii="Calibri Light" w:hAnsi="Calibri Light" w:cs="Calibri Light"/>
        </w:rPr>
        <w:t>.</w:t>
      </w:r>
      <w:r w:rsidR="00DE2872" w:rsidRPr="000C3EF3">
        <w:rPr>
          <w:rFonts w:ascii="Calibri Light" w:hAnsi="Calibri Light" w:cs="Calibri Light"/>
        </w:rPr>
        <w:t xml:space="preserve"> </w:t>
      </w:r>
      <w:r w:rsidR="004D1C2E">
        <w:rPr>
          <w:rFonts w:ascii="Calibri Light" w:hAnsi="Calibri Light" w:cs="Calibri Light"/>
        </w:rPr>
        <w:t>V</w:t>
      </w:r>
      <w:r w:rsidR="00086155">
        <w:rPr>
          <w:rFonts w:ascii="Calibri Light" w:hAnsi="Calibri Light" w:cs="Calibri Light"/>
        </w:rPr>
        <w:t xml:space="preserve">ague </w:t>
      </w:r>
      <w:r w:rsidR="00DE2872" w:rsidRPr="000C3EF3">
        <w:rPr>
          <w:rFonts w:ascii="Calibri Light" w:hAnsi="Calibri Light" w:cs="Calibri Light"/>
        </w:rPr>
        <w:t xml:space="preserve">virtues </w:t>
      </w:r>
      <w:r w:rsidR="004D1C2E">
        <w:rPr>
          <w:rFonts w:ascii="Calibri Light" w:hAnsi="Calibri Light" w:cs="Calibri Light"/>
        </w:rPr>
        <w:t xml:space="preserve">naturally </w:t>
      </w:r>
      <w:r w:rsidR="00086155">
        <w:rPr>
          <w:rFonts w:ascii="Calibri Light" w:hAnsi="Calibri Light" w:cs="Calibri Light"/>
        </w:rPr>
        <w:t>conflict</w:t>
      </w:r>
      <w:r w:rsidR="00DE2872" w:rsidRPr="000C3EF3">
        <w:rPr>
          <w:rFonts w:ascii="Calibri Light" w:hAnsi="Calibri Light" w:cs="Calibri Light"/>
        </w:rPr>
        <w:t xml:space="preserve"> and, wors</w:t>
      </w:r>
      <w:r w:rsidR="00586DEE">
        <w:rPr>
          <w:rFonts w:ascii="Calibri Light" w:hAnsi="Calibri Light" w:cs="Calibri Light"/>
        </w:rPr>
        <w:t>e</w:t>
      </w:r>
      <w:r w:rsidR="00DE2872" w:rsidRPr="000C3EF3">
        <w:rPr>
          <w:rFonts w:ascii="Calibri Light" w:hAnsi="Calibri Light" w:cs="Calibri Light"/>
        </w:rPr>
        <w:t xml:space="preserve">, </w:t>
      </w:r>
      <w:r w:rsidR="004D1C2E">
        <w:rPr>
          <w:rFonts w:ascii="Calibri Light" w:hAnsi="Calibri Light" w:cs="Calibri Light"/>
        </w:rPr>
        <w:t xml:space="preserve">are </w:t>
      </w:r>
      <w:r w:rsidR="00DE2872" w:rsidRPr="000C3EF3">
        <w:rPr>
          <w:rFonts w:ascii="Calibri Light" w:hAnsi="Calibri Light" w:cs="Calibri Light"/>
        </w:rPr>
        <w:t>indeterminate</w:t>
      </w:r>
      <w:r w:rsidR="004D1C2E">
        <w:rPr>
          <w:rFonts w:ascii="Calibri Light" w:hAnsi="Calibri Light" w:cs="Calibri Light"/>
        </w:rPr>
        <w:t xml:space="preserve"> (E3)</w:t>
      </w:r>
      <w:r w:rsidR="00DE2872" w:rsidRPr="000C3EF3">
        <w:rPr>
          <w:rFonts w:ascii="Calibri Light" w:hAnsi="Calibri Light" w:cs="Calibri Light"/>
        </w:rPr>
        <w:t>.</w:t>
      </w:r>
      <w:r w:rsidR="000C3EF3" w:rsidRPr="000C3EF3">
        <w:rPr>
          <w:rStyle w:val="FootnoteReference"/>
          <w:rFonts w:ascii="Calibri Light" w:hAnsi="Calibri Light" w:cs="Calibri Light"/>
        </w:rPr>
        <w:t xml:space="preserve"> </w:t>
      </w:r>
      <w:r w:rsidR="000C3EF3">
        <w:rPr>
          <w:rStyle w:val="FootnoteReference"/>
          <w:rFonts w:ascii="Calibri Light" w:hAnsi="Calibri Light" w:cs="Calibri Light"/>
        </w:rPr>
        <w:footnoteReference w:id="11"/>
      </w:r>
      <w:r w:rsidR="00DE2872" w:rsidRPr="000C3EF3">
        <w:rPr>
          <w:rFonts w:ascii="Calibri Light" w:hAnsi="Calibri Light" w:cs="Calibri Light"/>
        </w:rPr>
        <w:t xml:space="preserve"> </w:t>
      </w:r>
    </w:p>
    <w:p w14:paraId="3DF451DC" w14:textId="77777777" w:rsidR="00DE2872" w:rsidRPr="000C3EF3" w:rsidRDefault="00DE2872" w:rsidP="000C3EF3">
      <w:pPr>
        <w:spacing w:line="360" w:lineRule="auto"/>
        <w:jc w:val="both"/>
        <w:rPr>
          <w:rFonts w:ascii="Calibri Light" w:hAnsi="Calibri Light" w:cs="Calibri Light"/>
        </w:rPr>
      </w:pPr>
    </w:p>
    <w:p w14:paraId="60F53279" w14:textId="56C9CF1C" w:rsidR="00DE2872" w:rsidRDefault="00DE2872" w:rsidP="000C3EF3">
      <w:pPr>
        <w:spacing w:line="360" w:lineRule="auto"/>
        <w:jc w:val="both"/>
        <w:rPr>
          <w:rFonts w:ascii="Calibri Light" w:hAnsi="Calibri Light" w:cs="Calibri Light"/>
        </w:rPr>
      </w:pPr>
      <w:r w:rsidRPr="000C3EF3">
        <w:rPr>
          <w:rFonts w:ascii="Calibri Light" w:hAnsi="Calibri Light" w:cs="Calibri Light"/>
        </w:rPr>
        <w:t xml:space="preserve">For Eudaimonist/Neo-Aristotelian VE (‘EVE’), </w:t>
      </w:r>
      <w:r w:rsidR="00586DEE">
        <w:rPr>
          <w:rFonts w:ascii="Calibri Light" w:hAnsi="Calibri Light" w:cs="Calibri Light"/>
        </w:rPr>
        <w:t>AGO</w:t>
      </w:r>
      <w:r w:rsidRPr="000C3EF3">
        <w:rPr>
          <w:rFonts w:ascii="Calibri Light" w:hAnsi="Calibri Light" w:cs="Calibri Light"/>
        </w:rPr>
        <w:t xml:space="preserve"> </w:t>
      </w:r>
      <w:r w:rsidR="00C63896">
        <w:rPr>
          <w:rFonts w:ascii="Calibri Light" w:hAnsi="Calibri Light" w:cs="Calibri Light"/>
        </w:rPr>
        <w:t>attacks</w:t>
      </w:r>
      <w:r w:rsidRPr="000C3EF3">
        <w:rPr>
          <w:rFonts w:ascii="Calibri Light" w:hAnsi="Calibri Light" w:cs="Calibri Light"/>
        </w:rPr>
        <w:t xml:space="preserve"> the epistemological adequacy of the Virtuous Person (‘VP’) (E1 and E2). </w:t>
      </w:r>
      <w:r w:rsidR="000C3EF3" w:rsidRPr="000C3EF3">
        <w:rPr>
          <w:rFonts w:ascii="Calibri Light" w:hAnsi="Calibri Light" w:cs="Calibri Light"/>
        </w:rPr>
        <w:t xml:space="preserve">EVE </w:t>
      </w:r>
      <w:r w:rsidR="002633B2">
        <w:rPr>
          <w:rFonts w:ascii="Calibri Light" w:hAnsi="Calibri Light" w:cs="Calibri Light"/>
        </w:rPr>
        <w:t>avers</w:t>
      </w:r>
      <w:r w:rsidR="000C3EF3" w:rsidRPr="000C3EF3">
        <w:rPr>
          <w:rFonts w:ascii="Calibri Light" w:hAnsi="Calibri Light" w:cs="Calibri Light"/>
        </w:rPr>
        <w:t xml:space="preserve"> </w:t>
      </w:r>
      <w:r w:rsidR="002633B2">
        <w:rPr>
          <w:rFonts w:ascii="Calibri Light" w:hAnsi="Calibri Light" w:cs="Calibri Light"/>
        </w:rPr>
        <w:t>rules</w:t>
      </w:r>
      <w:r w:rsidR="00C63896">
        <w:rPr>
          <w:rFonts w:ascii="Calibri Light" w:hAnsi="Calibri Light" w:cs="Calibri Light"/>
        </w:rPr>
        <w:t xml:space="preserve"> but </w:t>
      </w:r>
      <w:r w:rsidR="000C3EF3">
        <w:rPr>
          <w:rFonts w:ascii="Calibri Light" w:hAnsi="Calibri Light" w:cs="Calibri Light"/>
        </w:rPr>
        <w:t xml:space="preserve">knowledge of </w:t>
      </w:r>
      <w:r w:rsidR="002633B2">
        <w:rPr>
          <w:rFonts w:ascii="Calibri Light" w:hAnsi="Calibri Light" w:cs="Calibri Light"/>
        </w:rPr>
        <w:t>them</w:t>
      </w:r>
      <w:r w:rsidR="000C3EF3">
        <w:rPr>
          <w:rFonts w:ascii="Calibri Light" w:hAnsi="Calibri Light" w:cs="Calibri Light"/>
        </w:rPr>
        <w:t xml:space="preserve"> is irrelevant to the </w:t>
      </w:r>
      <w:r w:rsidR="00C63896">
        <w:rPr>
          <w:rFonts w:ascii="Calibri Light" w:hAnsi="Calibri Light" w:cs="Calibri Light"/>
        </w:rPr>
        <w:t xml:space="preserve">VP’s </w:t>
      </w:r>
      <w:r w:rsidR="000C3EF3">
        <w:rPr>
          <w:rFonts w:ascii="Calibri Light" w:hAnsi="Calibri Light" w:cs="Calibri Light"/>
        </w:rPr>
        <w:t xml:space="preserve">moral excellence. </w:t>
      </w:r>
      <w:r w:rsidR="002633B2">
        <w:rPr>
          <w:rFonts w:ascii="Calibri Light" w:hAnsi="Calibri Light" w:cs="Calibri Light"/>
        </w:rPr>
        <w:t>T</w:t>
      </w:r>
      <w:r w:rsidR="000C3EF3">
        <w:rPr>
          <w:rFonts w:ascii="Calibri Light" w:hAnsi="Calibri Light" w:cs="Calibri Light"/>
        </w:rPr>
        <w:t>he VP has</w:t>
      </w:r>
      <w:r w:rsidRPr="000C3EF3">
        <w:rPr>
          <w:rFonts w:ascii="Calibri Light" w:hAnsi="Calibri Light" w:cs="Calibri Light"/>
        </w:rPr>
        <w:t xml:space="preserve"> superior capacities and </w:t>
      </w:r>
      <w:r w:rsidR="000C3EF3" w:rsidRPr="000C3EF3">
        <w:rPr>
          <w:rFonts w:ascii="Calibri Light" w:hAnsi="Calibri Light" w:cs="Calibri Light"/>
          <w:i/>
          <w:iCs/>
        </w:rPr>
        <w:t>phronesis</w:t>
      </w:r>
      <w:r w:rsidRPr="000C3EF3">
        <w:rPr>
          <w:rFonts w:ascii="Calibri Light" w:hAnsi="Calibri Light" w:cs="Calibri Light"/>
        </w:rPr>
        <w:t xml:space="preserve"> for that.</w:t>
      </w:r>
      <w:r w:rsidR="000C3EF3">
        <w:rPr>
          <w:rStyle w:val="FootnoteReference"/>
          <w:rFonts w:ascii="Calibri Light" w:hAnsi="Calibri Light" w:cs="Calibri Light"/>
        </w:rPr>
        <w:footnoteReference w:id="12"/>
      </w:r>
      <w:r w:rsidRPr="000C3EF3">
        <w:rPr>
          <w:rFonts w:ascii="Calibri Light" w:hAnsi="Calibri Light" w:cs="Calibri Light"/>
        </w:rPr>
        <w:t xml:space="preserve"> </w:t>
      </w:r>
      <w:r w:rsidR="00C63896">
        <w:rPr>
          <w:rFonts w:ascii="Calibri Light" w:hAnsi="Calibri Light" w:cs="Calibri Light"/>
        </w:rPr>
        <w:t xml:space="preserve">Neither </w:t>
      </w:r>
      <w:r w:rsidR="004D1C2E">
        <w:rPr>
          <w:rFonts w:ascii="Calibri Light" w:hAnsi="Calibri Light" w:cs="Calibri Light"/>
        </w:rPr>
        <w:t>of which are</w:t>
      </w:r>
      <w:r w:rsidR="00C63896">
        <w:rPr>
          <w:rFonts w:ascii="Calibri Light" w:hAnsi="Calibri Light" w:cs="Calibri Light"/>
        </w:rPr>
        <w:t xml:space="preserve"> </w:t>
      </w:r>
      <w:r w:rsidRPr="000C3EF3">
        <w:rPr>
          <w:rFonts w:ascii="Calibri Light" w:hAnsi="Calibri Light" w:cs="Calibri Light"/>
        </w:rPr>
        <w:t xml:space="preserve">codifiable. </w:t>
      </w:r>
      <w:r w:rsidR="005523ED">
        <w:rPr>
          <w:rFonts w:ascii="Calibri Light" w:hAnsi="Calibri Light" w:cs="Calibri Light"/>
        </w:rPr>
        <w:t>Leaving us to</w:t>
      </w:r>
      <w:r w:rsidRPr="000C3EF3">
        <w:rPr>
          <w:rFonts w:ascii="Calibri Light" w:hAnsi="Calibri Light" w:cs="Calibri Light"/>
        </w:rPr>
        <w:t xml:space="preserve"> </w:t>
      </w:r>
      <w:r w:rsidR="00E01780" w:rsidRPr="000C3EF3">
        <w:rPr>
          <w:rFonts w:ascii="Calibri Light" w:hAnsi="Calibri Light" w:cs="Calibri Light"/>
        </w:rPr>
        <w:t>w</w:t>
      </w:r>
      <w:r w:rsidRPr="000C3EF3">
        <w:rPr>
          <w:rFonts w:ascii="Calibri Light" w:hAnsi="Calibri Light" w:cs="Calibri Light"/>
        </w:rPr>
        <w:t xml:space="preserve">orry about our knowledge of their knowledge or, rather, their </w:t>
      </w:r>
      <w:r w:rsidR="00E01780" w:rsidRPr="000C3EF3">
        <w:rPr>
          <w:rFonts w:ascii="Calibri Light" w:hAnsi="Calibri Light" w:cs="Calibri Light"/>
        </w:rPr>
        <w:t>specia</w:t>
      </w:r>
      <w:r w:rsidR="00CC40CF">
        <w:rPr>
          <w:rFonts w:ascii="Calibri Light" w:hAnsi="Calibri Light" w:cs="Calibri Light"/>
        </w:rPr>
        <w:t>l</w:t>
      </w:r>
      <w:r w:rsidR="00E01780" w:rsidRPr="000C3EF3">
        <w:rPr>
          <w:rFonts w:ascii="Calibri Light" w:hAnsi="Calibri Light" w:cs="Calibri Light"/>
        </w:rPr>
        <w:t xml:space="preserve"> </w:t>
      </w:r>
      <w:r w:rsidRPr="000C3EF3">
        <w:rPr>
          <w:rFonts w:ascii="Calibri Light" w:hAnsi="Calibri Light" w:cs="Calibri Light"/>
        </w:rPr>
        <w:t xml:space="preserve">not-knowledge. </w:t>
      </w:r>
    </w:p>
    <w:p w14:paraId="3B90C31A" w14:textId="77777777" w:rsidR="00C63896" w:rsidRPr="000C3EF3" w:rsidRDefault="00C63896" w:rsidP="000C3EF3">
      <w:pPr>
        <w:spacing w:line="360" w:lineRule="auto"/>
        <w:jc w:val="both"/>
        <w:rPr>
          <w:rFonts w:ascii="Calibri Light" w:hAnsi="Calibri Light" w:cs="Calibri Light"/>
        </w:rPr>
      </w:pPr>
    </w:p>
    <w:p w14:paraId="0319F4EA" w14:textId="2B0B92F1" w:rsidR="00DE2872" w:rsidRPr="005523ED" w:rsidRDefault="00DE2872" w:rsidP="005523ED">
      <w:pPr>
        <w:spacing w:line="360" w:lineRule="auto"/>
        <w:jc w:val="both"/>
        <w:rPr>
          <w:rFonts w:ascii="Calibri Light" w:hAnsi="Calibri Light" w:cs="Calibri Light"/>
        </w:rPr>
      </w:pPr>
      <w:r w:rsidRPr="005523ED">
        <w:rPr>
          <w:rFonts w:ascii="Calibri Light" w:hAnsi="Calibri Light" w:cs="Calibri Light"/>
        </w:rPr>
        <w:t>For Target-</w:t>
      </w:r>
      <w:r w:rsidR="00586DEE">
        <w:rPr>
          <w:rFonts w:ascii="Calibri Light" w:hAnsi="Calibri Light" w:cs="Calibri Light"/>
        </w:rPr>
        <w:t>Centred</w:t>
      </w:r>
      <w:r w:rsidRPr="005523ED">
        <w:rPr>
          <w:rFonts w:ascii="Calibri Light" w:hAnsi="Calibri Light" w:cs="Calibri Light"/>
        </w:rPr>
        <w:t xml:space="preserve"> VE (‘</w:t>
      </w:r>
      <w:r w:rsidR="00586DEE">
        <w:rPr>
          <w:rFonts w:ascii="Calibri Light" w:hAnsi="Calibri Light" w:cs="Calibri Light"/>
        </w:rPr>
        <w:t>TVCE</w:t>
      </w:r>
      <w:r w:rsidRPr="005523ED">
        <w:rPr>
          <w:rFonts w:ascii="Calibri Light" w:hAnsi="Calibri Light" w:cs="Calibri Light"/>
        </w:rPr>
        <w:t xml:space="preserve">’), </w:t>
      </w:r>
      <w:r w:rsidR="00586DEE">
        <w:rPr>
          <w:rFonts w:ascii="Calibri Light" w:hAnsi="Calibri Light" w:cs="Calibri Light"/>
        </w:rPr>
        <w:t>AGO</w:t>
      </w:r>
      <w:r w:rsidRPr="005523ED">
        <w:rPr>
          <w:rFonts w:ascii="Calibri Light" w:hAnsi="Calibri Light" w:cs="Calibri Light"/>
        </w:rPr>
        <w:t xml:space="preserve"> </w:t>
      </w:r>
      <w:r w:rsidR="005523ED">
        <w:rPr>
          <w:rFonts w:ascii="Calibri Light" w:hAnsi="Calibri Light" w:cs="Calibri Light"/>
        </w:rPr>
        <w:t>holds that</w:t>
      </w:r>
      <w:r w:rsidRPr="005523ED">
        <w:rPr>
          <w:rFonts w:ascii="Calibri Light" w:hAnsi="Calibri Light" w:cs="Calibri Light"/>
        </w:rPr>
        <w:t xml:space="preserve"> </w:t>
      </w:r>
      <w:r w:rsidR="00586DEE">
        <w:rPr>
          <w:rFonts w:ascii="Calibri Light" w:hAnsi="Calibri Light" w:cs="Calibri Light"/>
        </w:rPr>
        <w:t>TVCE</w:t>
      </w:r>
      <w:r w:rsidRPr="005523ED">
        <w:rPr>
          <w:rFonts w:ascii="Calibri Light" w:hAnsi="Calibri Light" w:cs="Calibri Light"/>
        </w:rPr>
        <w:t xml:space="preserve"> is too radically-particularist</w:t>
      </w:r>
      <w:r w:rsidR="005523ED">
        <w:rPr>
          <w:rFonts w:ascii="Calibri Light" w:hAnsi="Calibri Light" w:cs="Calibri Light"/>
        </w:rPr>
        <w:t xml:space="preserve"> </w:t>
      </w:r>
      <w:r w:rsidR="00C63896">
        <w:rPr>
          <w:rFonts w:ascii="Calibri Light" w:hAnsi="Calibri Light" w:cs="Calibri Light"/>
        </w:rPr>
        <w:t>to PUWAG</w:t>
      </w:r>
      <w:r w:rsidRPr="005523ED">
        <w:rPr>
          <w:rFonts w:ascii="Calibri Light" w:hAnsi="Calibri Light" w:cs="Calibri Light"/>
        </w:rPr>
        <w:t>.</w:t>
      </w:r>
      <w:r w:rsidRPr="00825DDF">
        <w:rPr>
          <w:rStyle w:val="FootnoteReference"/>
          <w:rFonts w:ascii="Calibri Light" w:hAnsi="Calibri Light" w:cs="Calibri Light"/>
        </w:rPr>
        <w:footnoteReference w:id="13"/>
      </w:r>
      <w:r w:rsidRPr="005523ED">
        <w:rPr>
          <w:rFonts w:ascii="Calibri Light" w:hAnsi="Calibri Light" w:cs="Calibri Light"/>
        </w:rPr>
        <w:t xml:space="preserve"> Even if (E1</w:t>
      </w:r>
      <w:r w:rsidR="004D1C2E">
        <w:rPr>
          <w:rFonts w:ascii="Calibri Light" w:hAnsi="Calibri Light" w:cs="Calibri Light"/>
        </w:rPr>
        <w:t>-</w:t>
      </w:r>
      <w:r w:rsidRPr="005523ED">
        <w:rPr>
          <w:rFonts w:ascii="Calibri Light" w:hAnsi="Calibri Light" w:cs="Calibri Light"/>
        </w:rPr>
        <w:t xml:space="preserve">E2) are </w:t>
      </w:r>
      <w:r w:rsidR="005523ED">
        <w:rPr>
          <w:rFonts w:ascii="Calibri Light" w:hAnsi="Calibri Light" w:cs="Calibri Light"/>
        </w:rPr>
        <w:t xml:space="preserve">avoided or </w:t>
      </w:r>
      <w:r w:rsidRPr="005523ED">
        <w:rPr>
          <w:rFonts w:ascii="Calibri Light" w:hAnsi="Calibri Light" w:cs="Calibri Light"/>
        </w:rPr>
        <w:t xml:space="preserve">repaired, the </w:t>
      </w:r>
      <w:r w:rsidR="006C2ED1">
        <w:rPr>
          <w:rFonts w:ascii="Calibri Light" w:hAnsi="Calibri Light" w:cs="Calibri Light"/>
        </w:rPr>
        <w:t>threat of</w:t>
      </w:r>
      <w:r w:rsidR="004D1C2E">
        <w:rPr>
          <w:rFonts w:ascii="Calibri Light" w:hAnsi="Calibri Light" w:cs="Calibri Light"/>
        </w:rPr>
        <w:t xml:space="preserve"> </w:t>
      </w:r>
      <w:r w:rsidR="006C2ED1">
        <w:rPr>
          <w:rFonts w:ascii="Calibri Light" w:hAnsi="Calibri Light" w:cs="Calibri Light"/>
        </w:rPr>
        <w:t>indeterminate</w:t>
      </w:r>
      <w:r w:rsidR="004D1C2E">
        <w:rPr>
          <w:rFonts w:ascii="Calibri Light" w:hAnsi="Calibri Light" w:cs="Calibri Light"/>
        </w:rPr>
        <w:t xml:space="preserve"> outcomes remains</w:t>
      </w:r>
      <w:r w:rsidRPr="005523ED">
        <w:rPr>
          <w:rFonts w:ascii="Calibri Light" w:hAnsi="Calibri Light" w:cs="Calibri Light"/>
        </w:rPr>
        <w:t xml:space="preserve"> (E3).</w:t>
      </w:r>
      <w:r w:rsidRPr="00825DDF">
        <w:rPr>
          <w:rStyle w:val="FootnoteReference"/>
          <w:rFonts w:ascii="Calibri Light" w:hAnsi="Calibri Light" w:cs="Calibri Light"/>
        </w:rPr>
        <w:footnoteReference w:id="14"/>
      </w:r>
      <w:r w:rsidRPr="005523ED">
        <w:rPr>
          <w:rFonts w:ascii="Calibri Light" w:hAnsi="Calibri Light" w:cs="Calibri Light"/>
        </w:rPr>
        <w:t xml:space="preserve"> </w:t>
      </w:r>
    </w:p>
    <w:p w14:paraId="38CD82FD" w14:textId="77777777" w:rsidR="005523ED" w:rsidRDefault="005523ED" w:rsidP="005523ED">
      <w:pPr>
        <w:spacing w:line="360" w:lineRule="auto"/>
        <w:jc w:val="both"/>
        <w:rPr>
          <w:rFonts w:ascii="Calibri Light" w:hAnsi="Calibri Light" w:cs="Calibri Light"/>
        </w:rPr>
      </w:pPr>
    </w:p>
    <w:p w14:paraId="1D482843" w14:textId="28340E65" w:rsidR="0004150A" w:rsidRDefault="00DE2872" w:rsidP="0004150A">
      <w:pPr>
        <w:spacing w:line="360" w:lineRule="auto"/>
        <w:jc w:val="both"/>
        <w:rPr>
          <w:rFonts w:ascii="Calibri Light" w:hAnsi="Calibri Light" w:cs="Calibri Light"/>
        </w:rPr>
      </w:pPr>
      <w:r w:rsidRPr="005523ED">
        <w:rPr>
          <w:rFonts w:ascii="Calibri Light" w:hAnsi="Calibri Light" w:cs="Calibri Light"/>
        </w:rPr>
        <w:t>In (1), I consider ‘Action-Guidance’</w:t>
      </w:r>
      <w:r w:rsidR="005523ED">
        <w:rPr>
          <w:rFonts w:ascii="Calibri Light" w:hAnsi="Calibri Light" w:cs="Calibri Light"/>
        </w:rPr>
        <w:t xml:space="preserve"> and</w:t>
      </w:r>
      <w:r w:rsidRPr="005523ED">
        <w:rPr>
          <w:rFonts w:ascii="Calibri Light" w:hAnsi="Calibri Light" w:cs="Calibri Light"/>
        </w:rPr>
        <w:t xml:space="preserve"> the standards that VE might be measured </w:t>
      </w:r>
      <w:r w:rsidR="002633B2">
        <w:rPr>
          <w:rFonts w:ascii="Calibri Light" w:hAnsi="Calibri Light" w:cs="Calibri Light"/>
        </w:rPr>
        <w:t xml:space="preserve">against </w:t>
      </w:r>
      <w:r w:rsidRPr="005523ED">
        <w:rPr>
          <w:rFonts w:ascii="Calibri Light" w:hAnsi="Calibri Light" w:cs="Calibri Light"/>
        </w:rPr>
        <w:t xml:space="preserve">so to </w:t>
      </w:r>
      <w:r w:rsidR="005523ED">
        <w:rPr>
          <w:rFonts w:ascii="Calibri Light" w:hAnsi="Calibri Light" w:cs="Calibri Light"/>
        </w:rPr>
        <w:t>argue</w:t>
      </w:r>
      <w:r w:rsidRPr="005523ED">
        <w:rPr>
          <w:rFonts w:ascii="Calibri Light" w:hAnsi="Calibri Light" w:cs="Calibri Light"/>
        </w:rPr>
        <w:t xml:space="preserve"> that </w:t>
      </w:r>
      <w:r w:rsidR="00970B58">
        <w:rPr>
          <w:rFonts w:ascii="Calibri Light" w:hAnsi="Calibri Light" w:cs="Calibri Light"/>
        </w:rPr>
        <w:t>VE</w:t>
      </w:r>
      <w:r w:rsidR="005523ED">
        <w:rPr>
          <w:rFonts w:ascii="Calibri Light" w:hAnsi="Calibri Light" w:cs="Calibri Light"/>
        </w:rPr>
        <w:t xml:space="preserve"> </w:t>
      </w:r>
      <w:r w:rsidRPr="005523ED">
        <w:rPr>
          <w:rFonts w:ascii="Calibri Light" w:hAnsi="Calibri Light" w:cs="Calibri Light"/>
        </w:rPr>
        <w:t xml:space="preserve">can </w:t>
      </w:r>
      <w:r w:rsidR="002633B2">
        <w:rPr>
          <w:rFonts w:ascii="Calibri Light" w:hAnsi="Calibri Light" w:cs="Calibri Light"/>
        </w:rPr>
        <w:t>PUWAG</w:t>
      </w:r>
      <w:r w:rsidRPr="005523ED">
        <w:rPr>
          <w:rFonts w:ascii="Calibri Light" w:hAnsi="Calibri Light" w:cs="Calibri Light"/>
        </w:rPr>
        <w:t>. There is success by one’s own lights and by another’s.</w:t>
      </w:r>
      <w:r w:rsidR="005523ED">
        <w:rPr>
          <w:rFonts w:ascii="Calibri Light" w:hAnsi="Calibri Light" w:cs="Calibri Light"/>
        </w:rPr>
        <w:t xml:space="preserve"> I</w:t>
      </w:r>
      <w:r w:rsidR="0004150A">
        <w:rPr>
          <w:rFonts w:ascii="Calibri Light" w:hAnsi="Calibri Light" w:cs="Calibri Light"/>
        </w:rPr>
        <w:t>deally,</w:t>
      </w:r>
      <w:r w:rsidR="005523ED">
        <w:rPr>
          <w:rFonts w:ascii="Calibri Light" w:hAnsi="Calibri Light" w:cs="Calibri Light"/>
        </w:rPr>
        <w:t xml:space="preserve"> we </w:t>
      </w:r>
      <w:r w:rsidR="0004150A">
        <w:rPr>
          <w:rFonts w:ascii="Calibri Light" w:hAnsi="Calibri Light" w:cs="Calibri Light"/>
        </w:rPr>
        <w:t>would</w:t>
      </w:r>
      <w:r w:rsidR="005523ED">
        <w:rPr>
          <w:rFonts w:ascii="Calibri Light" w:hAnsi="Calibri Light" w:cs="Calibri Light"/>
        </w:rPr>
        <w:t xml:space="preserve"> identify </w:t>
      </w:r>
      <w:r w:rsidR="00970B58">
        <w:rPr>
          <w:rFonts w:ascii="Calibri Light" w:hAnsi="Calibri Light" w:cs="Calibri Light"/>
        </w:rPr>
        <w:t>some</w:t>
      </w:r>
      <w:r w:rsidR="005523ED">
        <w:rPr>
          <w:rFonts w:ascii="Calibri Light" w:hAnsi="Calibri Light" w:cs="Calibri Light"/>
        </w:rPr>
        <w:t xml:space="preserve"> objective standard</w:t>
      </w:r>
      <w:r w:rsidR="0004150A">
        <w:rPr>
          <w:rFonts w:ascii="Calibri Light" w:hAnsi="Calibri Light" w:cs="Calibri Light"/>
        </w:rPr>
        <w:t>.</w:t>
      </w:r>
    </w:p>
    <w:p w14:paraId="6F7AFFC6" w14:textId="77777777" w:rsidR="0004150A" w:rsidRDefault="0004150A" w:rsidP="0004150A">
      <w:pPr>
        <w:spacing w:line="360" w:lineRule="auto"/>
        <w:jc w:val="both"/>
        <w:rPr>
          <w:rFonts w:ascii="Calibri Light" w:hAnsi="Calibri Light" w:cs="Calibri Light"/>
        </w:rPr>
      </w:pPr>
    </w:p>
    <w:p w14:paraId="103AF842" w14:textId="0DBF5BA0" w:rsidR="00DE2872" w:rsidRPr="0004150A" w:rsidRDefault="00DE2872" w:rsidP="0004150A">
      <w:pPr>
        <w:spacing w:line="360" w:lineRule="auto"/>
        <w:jc w:val="both"/>
        <w:rPr>
          <w:rFonts w:ascii="Calibri Light" w:hAnsi="Calibri Light" w:cs="Calibri Light"/>
        </w:rPr>
      </w:pPr>
      <w:r w:rsidRPr="0004150A">
        <w:rPr>
          <w:rFonts w:ascii="Calibri Light" w:hAnsi="Calibri Light" w:cs="Calibri Light"/>
        </w:rPr>
        <w:t xml:space="preserve">I </w:t>
      </w:r>
      <w:r w:rsidR="0004150A">
        <w:rPr>
          <w:rFonts w:ascii="Calibri Light" w:hAnsi="Calibri Light" w:cs="Calibri Light"/>
        </w:rPr>
        <w:t>t</w:t>
      </w:r>
      <w:r w:rsidRPr="0004150A">
        <w:rPr>
          <w:rFonts w:ascii="Calibri Light" w:hAnsi="Calibri Light" w:cs="Calibri Light"/>
        </w:rPr>
        <w:t xml:space="preserve">hen argue </w:t>
      </w:r>
      <w:r w:rsidR="0004150A">
        <w:rPr>
          <w:rFonts w:ascii="Calibri Light" w:hAnsi="Calibri Light" w:cs="Calibri Light"/>
        </w:rPr>
        <w:t>that</w:t>
      </w:r>
      <w:r w:rsidRPr="0004150A">
        <w:rPr>
          <w:rFonts w:ascii="Calibri Light" w:hAnsi="Calibri Light" w:cs="Calibri Light"/>
        </w:rPr>
        <w:t xml:space="preserve"> (2) </w:t>
      </w:r>
      <w:r w:rsidR="00657F4F" w:rsidRPr="0004150A">
        <w:rPr>
          <w:rFonts w:ascii="Calibri Light" w:hAnsi="Calibri Light" w:cs="Calibri Light"/>
        </w:rPr>
        <w:t xml:space="preserve">Rosalind Hursthouse’s </w:t>
      </w:r>
      <w:r w:rsidRPr="0004150A">
        <w:rPr>
          <w:rFonts w:ascii="Calibri Light" w:hAnsi="Calibri Light" w:cs="Calibri Light"/>
        </w:rPr>
        <w:t xml:space="preserve">EVE and (3) Michale Slote’s Sentimentalist VE (SVE) can each </w:t>
      </w:r>
      <w:r w:rsidR="004D1C2E">
        <w:rPr>
          <w:rFonts w:ascii="Calibri Light" w:hAnsi="Calibri Light" w:cs="Calibri Light"/>
        </w:rPr>
        <w:t>PUWAG</w:t>
      </w:r>
      <w:r w:rsidR="002633B2">
        <w:rPr>
          <w:rFonts w:ascii="Calibri Light" w:hAnsi="Calibri Light" w:cs="Calibri Light"/>
        </w:rPr>
        <w:t xml:space="preserve"> </w:t>
      </w:r>
      <w:r w:rsidRPr="0004150A">
        <w:rPr>
          <w:rFonts w:ascii="Calibri Light" w:hAnsi="Calibri Light" w:cs="Calibri Light"/>
        </w:rPr>
        <w:t xml:space="preserve">in meaningful ways despite their problems and, </w:t>
      </w:r>
      <w:r w:rsidR="002633B2">
        <w:rPr>
          <w:rFonts w:ascii="Calibri Light" w:hAnsi="Calibri Light" w:cs="Calibri Light"/>
        </w:rPr>
        <w:t>in</w:t>
      </w:r>
      <w:r w:rsidRPr="0004150A">
        <w:rPr>
          <w:rFonts w:ascii="Calibri Light" w:hAnsi="Calibri Light" w:cs="Calibri Light"/>
        </w:rPr>
        <w:t xml:space="preserve"> SVE</w:t>
      </w:r>
      <w:r w:rsidR="002633B2">
        <w:rPr>
          <w:rFonts w:ascii="Calibri Light" w:hAnsi="Calibri Light" w:cs="Calibri Light"/>
        </w:rPr>
        <w:t>’s case</w:t>
      </w:r>
      <w:r w:rsidRPr="0004150A">
        <w:rPr>
          <w:rFonts w:ascii="Calibri Light" w:hAnsi="Calibri Light" w:cs="Calibri Light"/>
        </w:rPr>
        <w:t xml:space="preserve">, despite itself. I conclude with (4) Christine Swanton’s </w:t>
      </w:r>
      <w:r w:rsidR="00586DEE">
        <w:rPr>
          <w:rFonts w:ascii="Calibri Light" w:hAnsi="Calibri Light" w:cs="Calibri Light"/>
        </w:rPr>
        <w:t>TVCE</w:t>
      </w:r>
      <w:r w:rsidR="0004150A">
        <w:rPr>
          <w:rFonts w:ascii="Calibri Light" w:hAnsi="Calibri Light" w:cs="Calibri Light"/>
        </w:rPr>
        <w:t xml:space="preserve">. It can </w:t>
      </w:r>
      <w:r w:rsidR="004D1C2E">
        <w:rPr>
          <w:rFonts w:ascii="Calibri Light" w:hAnsi="Calibri Light" w:cs="Calibri Light"/>
        </w:rPr>
        <w:t>PUWAG</w:t>
      </w:r>
      <w:r w:rsidR="002633B2">
        <w:rPr>
          <w:rFonts w:ascii="Calibri Light" w:hAnsi="Calibri Light" w:cs="Calibri Light"/>
        </w:rPr>
        <w:t xml:space="preserve"> </w:t>
      </w:r>
      <w:r w:rsidRPr="0004150A">
        <w:rPr>
          <w:rFonts w:ascii="Calibri Light" w:hAnsi="Calibri Light" w:cs="Calibri Light"/>
          <w:i/>
          <w:iCs/>
        </w:rPr>
        <w:t>par excellence</w:t>
      </w:r>
      <w:r w:rsidRPr="0004150A">
        <w:rPr>
          <w:rFonts w:ascii="Calibri Light" w:hAnsi="Calibri Light" w:cs="Calibri Light"/>
        </w:rPr>
        <w:t>.</w:t>
      </w:r>
      <w:r w:rsidR="00BE79FC">
        <w:rPr>
          <w:rStyle w:val="FootnoteReference"/>
          <w:rFonts w:ascii="Calibri Light" w:hAnsi="Calibri Light" w:cs="Calibri Light"/>
        </w:rPr>
        <w:footnoteReference w:id="15"/>
      </w:r>
    </w:p>
    <w:p w14:paraId="7CBEE1AF" w14:textId="7CCD40D0" w:rsidR="0059687C" w:rsidRPr="0059687C" w:rsidRDefault="0059687C" w:rsidP="0059687C">
      <w:pPr>
        <w:spacing w:line="360" w:lineRule="auto"/>
        <w:jc w:val="both"/>
        <w:rPr>
          <w:rFonts w:ascii="Calibri Light" w:hAnsi="Calibri Light" w:cs="Calibri Light"/>
        </w:rPr>
      </w:pPr>
    </w:p>
    <w:p w14:paraId="085CAE69" w14:textId="77777777" w:rsidR="0059687C" w:rsidRPr="0059687C" w:rsidRDefault="0059687C" w:rsidP="0004150A">
      <w:pPr>
        <w:spacing w:line="360" w:lineRule="auto"/>
        <w:jc w:val="both"/>
        <w:rPr>
          <w:rFonts w:ascii="Calibri Light" w:hAnsi="Calibri Light" w:cs="Calibri Light"/>
        </w:rPr>
      </w:pPr>
      <w:r w:rsidRPr="0059687C">
        <w:rPr>
          <w:rFonts w:ascii="Calibri Light" w:hAnsi="Calibri Light" w:cs="Calibri Light"/>
        </w:rPr>
        <w:t>1.</w:t>
      </w:r>
    </w:p>
    <w:p w14:paraId="7134FEBB" w14:textId="77777777" w:rsidR="0059687C" w:rsidRDefault="0059687C" w:rsidP="0004150A">
      <w:pPr>
        <w:spacing w:line="360" w:lineRule="auto"/>
        <w:jc w:val="both"/>
        <w:rPr>
          <w:rFonts w:ascii="Calibri Light" w:hAnsi="Calibri Light" w:cs="Calibri Light"/>
          <w:b/>
          <w:bCs/>
          <w:u w:val="single"/>
        </w:rPr>
      </w:pPr>
    </w:p>
    <w:p w14:paraId="1D07BC78" w14:textId="2BD0E7E3" w:rsidR="00DE2872" w:rsidRPr="002633B2" w:rsidRDefault="00DE2872" w:rsidP="0004150A">
      <w:pPr>
        <w:spacing w:line="360" w:lineRule="auto"/>
        <w:jc w:val="both"/>
        <w:rPr>
          <w:rFonts w:ascii="Calibri Light" w:hAnsi="Calibri Light" w:cs="Calibri Light"/>
          <w:b/>
          <w:bCs/>
          <w:u w:val="single"/>
        </w:rPr>
      </w:pPr>
      <w:r w:rsidRPr="002633B2">
        <w:rPr>
          <w:rFonts w:ascii="Calibri Light" w:hAnsi="Calibri Light" w:cs="Calibri Light"/>
          <w:b/>
          <w:bCs/>
          <w:u w:val="single"/>
        </w:rPr>
        <w:t>Action Guidance</w:t>
      </w:r>
    </w:p>
    <w:p w14:paraId="57DA2B84" w14:textId="77777777" w:rsidR="0004150A" w:rsidRDefault="0004150A" w:rsidP="0004150A">
      <w:pPr>
        <w:spacing w:line="360" w:lineRule="auto"/>
        <w:jc w:val="both"/>
        <w:rPr>
          <w:rFonts w:ascii="Calibri Light" w:hAnsi="Calibri Light" w:cs="Calibri Light"/>
        </w:rPr>
      </w:pPr>
    </w:p>
    <w:p w14:paraId="4CD60A34" w14:textId="030AE6CA" w:rsidR="00DE2872" w:rsidRPr="00825DDF" w:rsidRDefault="00DE2872" w:rsidP="0004150A">
      <w:pPr>
        <w:spacing w:line="360" w:lineRule="auto"/>
        <w:jc w:val="both"/>
        <w:rPr>
          <w:rFonts w:ascii="Calibri Light" w:hAnsi="Calibri Light" w:cs="Calibri Light"/>
        </w:rPr>
      </w:pPr>
      <w:r w:rsidRPr="00825DDF">
        <w:rPr>
          <w:rFonts w:ascii="Calibri Light" w:hAnsi="Calibri Light" w:cs="Calibri Light"/>
        </w:rPr>
        <w:t xml:space="preserve">Let us say that </w:t>
      </w:r>
      <w:r w:rsidR="002633B2">
        <w:rPr>
          <w:rFonts w:ascii="Calibri Light" w:hAnsi="Calibri Light" w:cs="Calibri Light"/>
        </w:rPr>
        <w:t>an NT will</w:t>
      </w:r>
      <w:r w:rsidRPr="00825DDF">
        <w:rPr>
          <w:rFonts w:ascii="Calibri Light" w:hAnsi="Calibri Light" w:cs="Calibri Light"/>
        </w:rPr>
        <w:t xml:space="preserve"> </w:t>
      </w:r>
      <w:r w:rsidR="004D1C2E">
        <w:rPr>
          <w:rFonts w:ascii="Calibri Light" w:hAnsi="Calibri Light" w:cs="Calibri Light"/>
        </w:rPr>
        <w:t>PUWAG</w:t>
      </w:r>
      <w:r w:rsidR="002633B2">
        <w:rPr>
          <w:rFonts w:ascii="Calibri Light" w:hAnsi="Calibri Light" w:cs="Calibri Light"/>
        </w:rPr>
        <w:t xml:space="preserve"> </w:t>
      </w:r>
      <w:r w:rsidRPr="00825DDF">
        <w:rPr>
          <w:rFonts w:ascii="Calibri Light" w:hAnsi="Calibri Light" w:cs="Calibri Light"/>
        </w:rPr>
        <w:t xml:space="preserve">when it helps us to decide what to do in a given situation. </w:t>
      </w:r>
    </w:p>
    <w:p w14:paraId="6E1367A2" w14:textId="77777777" w:rsidR="0004150A" w:rsidRDefault="0004150A" w:rsidP="0004150A">
      <w:pPr>
        <w:spacing w:line="360" w:lineRule="auto"/>
        <w:jc w:val="both"/>
        <w:rPr>
          <w:rFonts w:ascii="Calibri Light" w:hAnsi="Calibri Light" w:cs="Calibri Light"/>
        </w:rPr>
      </w:pPr>
    </w:p>
    <w:p w14:paraId="01739480" w14:textId="77777777" w:rsidR="002633B2" w:rsidRDefault="00467DB3" w:rsidP="0004150A">
      <w:pPr>
        <w:spacing w:line="360" w:lineRule="auto"/>
        <w:jc w:val="both"/>
        <w:rPr>
          <w:rFonts w:ascii="Calibri Light" w:hAnsi="Calibri Light" w:cs="Calibri Light"/>
        </w:rPr>
      </w:pPr>
      <w:r w:rsidRPr="00825DDF">
        <w:rPr>
          <w:rFonts w:ascii="Calibri Light" w:hAnsi="Calibri Light" w:cs="Calibri Light"/>
        </w:rPr>
        <w:t xml:space="preserve">How might an NT begin to </w:t>
      </w:r>
      <w:r w:rsidR="002633B2">
        <w:rPr>
          <w:rFonts w:ascii="Calibri Light" w:hAnsi="Calibri Light" w:cs="Calibri Light"/>
        </w:rPr>
        <w:t>PUWAG</w:t>
      </w:r>
      <w:r w:rsidRPr="00825DDF">
        <w:rPr>
          <w:rFonts w:ascii="Calibri Light" w:hAnsi="Calibri Light" w:cs="Calibri Light"/>
        </w:rPr>
        <w:t xml:space="preserve">? </w:t>
      </w:r>
      <w:r w:rsidR="0004150A">
        <w:rPr>
          <w:rFonts w:ascii="Calibri Light" w:hAnsi="Calibri Light" w:cs="Calibri Light"/>
        </w:rPr>
        <w:t>First, our question</w:t>
      </w:r>
      <w:r w:rsidRPr="00825DDF">
        <w:rPr>
          <w:rFonts w:ascii="Calibri Light" w:hAnsi="Calibri Light" w:cs="Calibri Light"/>
        </w:rPr>
        <w:t xml:space="preserve"> (“What is the </w:t>
      </w:r>
      <w:r w:rsidRPr="00657F4F">
        <w:rPr>
          <w:rFonts w:ascii="Calibri Light" w:hAnsi="Calibri Light" w:cs="Calibri Light"/>
          <w:i/>
          <w:iCs/>
        </w:rPr>
        <w:t>right</w:t>
      </w:r>
      <w:r w:rsidRPr="00825DDF">
        <w:rPr>
          <w:rFonts w:ascii="Calibri Light" w:hAnsi="Calibri Light" w:cs="Calibri Light"/>
        </w:rPr>
        <w:t xml:space="preserve">…/What </w:t>
      </w:r>
      <w:r w:rsidRPr="00657F4F">
        <w:rPr>
          <w:rFonts w:ascii="Calibri Light" w:hAnsi="Calibri Light" w:cs="Calibri Light"/>
          <w:i/>
          <w:iCs/>
        </w:rPr>
        <w:t>ought</w:t>
      </w:r>
      <w:r w:rsidRPr="00825DDF">
        <w:rPr>
          <w:rFonts w:ascii="Calibri Light" w:hAnsi="Calibri Light" w:cs="Calibri Light"/>
        </w:rPr>
        <w:t xml:space="preserve">…?”). </w:t>
      </w:r>
    </w:p>
    <w:p w14:paraId="16A028F1" w14:textId="77777777" w:rsidR="002633B2" w:rsidRDefault="002633B2" w:rsidP="0004150A">
      <w:pPr>
        <w:spacing w:line="360" w:lineRule="auto"/>
        <w:jc w:val="both"/>
        <w:rPr>
          <w:rFonts w:ascii="Calibri Light" w:hAnsi="Calibri Light" w:cs="Calibri Light"/>
        </w:rPr>
      </w:pPr>
    </w:p>
    <w:p w14:paraId="0CF6E29D" w14:textId="12069880" w:rsidR="004B723B" w:rsidRDefault="00467DB3" w:rsidP="0004150A">
      <w:pPr>
        <w:spacing w:line="360" w:lineRule="auto"/>
        <w:jc w:val="both"/>
        <w:rPr>
          <w:rFonts w:ascii="Calibri Light" w:hAnsi="Calibri Light" w:cs="Calibri Light"/>
        </w:rPr>
      </w:pPr>
      <w:r w:rsidRPr="00825DDF">
        <w:rPr>
          <w:rFonts w:ascii="Calibri Light" w:hAnsi="Calibri Light" w:cs="Calibri Light"/>
        </w:rPr>
        <w:t xml:space="preserve">The NT responds with </w:t>
      </w:r>
      <w:r w:rsidR="0004150A">
        <w:rPr>
          <w:rFonts w:ascii="Calibri Light" w:hAnsi="Calibri Light" w:cs="Calibri Light"/>
        </w:rPr>
        <w:t xml:space="preserve">its </w:t>
      </w:r>
      <w:r w:rsidR="002633B2">
        <w:rPr>
          <w:rFonts w:ascii="Calibri Light" w:hAnsi="Calibri Light" w:cs="Calibri Light"/>
        </w:rPr>
        <w:t>Action-Theory</w:t>
      </w:r>
      <w:r w:rsidR="0004150A">
        <w:rPr>
          <w:rFonts w:ascii="Calibri Light" w:hAnsi="Calibri Light" w:cs="Calibri Light"/>
        </w:rPr>
        <w:t>.</w:t>
      </w:r>
    </w:p>
    <w:p w14:paraId="2B752FC8" w14:textId="77777777" w:rsidR="002633B2" w:rsidRDefault="002633B2" w:rsidP="0004150A">
      <w:pPr>
        <w:spacing w:line="360" w:lineRule="auto"/>
        <w:jc w:val="both"/>
        <w:rPr>
          <w:rFonts w:ascii="Calibri Light" w:hAnsi="Calibri Light" w:cs="Calibri Light"/>
        </w:rPr>
      </w:pPr>
    </w:p>
    <w:p w14:paraId="0DAE76C7" w14:textId="4838693A" w:rsidR="0004150A" w:rsidRDefault="003C7C70" w:rsidP="0004150A">
      <w:pPr>
        <w:spacing w:line="360" w:lineRule="auto"/>
        <w:jc w:val="both"/>
        <w:rPr>
          <w:rFonts w:ascii="Calibri Light" w:hAnsi="Calibri Light" w:cs="Calibri Light"/>
        </w:rPr>
      </w:pPr>
      <w:r>
        <w:rPr>
          <w:rFonts w:ascii="Calibri Light" w:hAnsi="Calibri Light" w:cs="Calibri Light"/>
        </w:rPr>
        <w:t>Already</w:t>
      </w:r>
      <w:r w:rsidR="003237F4">
        <w:rPr>
          <w:rFonts w:ascii="Calibri Light" w:hAnsi="Calibri Light" w:cs="Calibri Light"/>
        </w:rPr>
        <w:t>,</w:t>
      </w:r>
      <w:r w:rsidR="004B723B">
        <w:rPr>
          <w:rFonts w:ascii="Calibri Light" w:hAnsi="Calibri Light" w:cs="Calibri Light"/>
        </w:rPr>
        <w:t xml:space="preserve"> </w:t>
      </w:r>
      <w:r>
        <w:rPr>
          <w:rFonts w:ascii="Calibri Light" w:hAnsi="Calibri Light" w:cs="Calibri Light"/>
        </w:rPr>
        <w:t xml:space="preserve">the </w:t>
      </w:r>
      <w:r w:rsidR="003237F4">
        <w:rPr>
          <w:rFonts w:ascii="Calibri Light" w:hAnsi="Calibri Light" w:cs="Calibri Light"/>
        </w:rPr>
        <w:t xml:space="preserve">theoretical assumptions </w:t>
      </w:r>
      <w:r w:rsidR="00572327">
        <w:rPr>
          <w:rFonts w:ascii="Calibri Light" w:hAnsi="Calibri Light" w:cs="Calibri Light"/>
        </w:rPr>
        <w:t xml:space="preserve">(right/ought) </w:t>
      </w:r>
      <w:r>
        <w:rPr>
          <w:rFonts w:ascii="Calibri Light" w:hAnsi="Calibri Light" w:cs="Calibri Light"/>
        </w:rPr>
        <w:t>have got</w:t>
      </w:r>
      <w:r w:rsidR="003237F4">
        <w:rPr>
          <w:rFonts w:ascii="Calibri Light" w:hAnsi="Calibri Light" w:cs="Calibri Light"/>
        </w:rPr>
        <w:t xml:space="preserve"> through unexamined.</w:t>
      </w:r>
      <w:r>
        <w:rPr>
          <w:rFonts w:ascii="Calibri Light" w:hAnsi="Calibri Light" w:cs="Calibri Light"/>
        </w:rPr>
        <w:t xml:space="preserve"> Right. Ought.</w:t>
      </w:r>
      <w:r w:rsidR="003237F4">
        <w:rPr>
          <w:rFonts w:ascii="Calibri Light" w:hAnsi="Calibri Light" w:cs="Calibri Light"/>
        </w:rPr>
        <w:t xml:space="preserve"> The problem </w:t>
      </w:r>
      <w:r>
        <w:rPr>
          <w:rFonts w:ascii="Calibri Light" w:hAnsi="Calibri Light" w:cs="Calibri Light"/>
        </w:rPr>
        <w:t>is not</w:t>
      </w:r>
      <w:r w:rsidR="003237F4">
        <w:rPr>
          <w:rFonts w:ascii="Calibri Light" w:hAnsi="Calibri Light" w:cs="Calibri Light"/>
        </w:rPr>
        <w:t xml:space="preserve"> the deontic. VE does not have to avoid </w:t>
      </w:r>
      <w:r w:rsidR="00970B58">
        <w:rPr>
          <w:rFonts w:ascii="Calibri Light" w:hAnsi="Calibri Light" w:cs="Calibri Light"/>
        </w:rPr>
        <w:t xml:space="preserve">thin </w:t>
      </w:r>
      <w:r w:rsidR="003237F4">
        <w:rPr>
          <w:rFonts w:ascii="Calibri Light" w:hAnsi="Calibri Light" w:cs="Calibri Light"/>
        </w:rPr>
        <w:t>words. No-one owns “ought”</w:t>
      </w:r>
      <w:r w:rsidR="004B723B">
        <w:rPr>
          <w:rFonts w:ascii="Calibri Light" w:hAnsi="Calibri Light" w:cs="Calibri Light"/>
        </w:rPr>
        <w:t>. N</w:t>
      </w:r>
      <w:r w:rsidR="003237F4">
        <w:rPr>
          <w:rFonts w:ascii="Calibri Light" w:hAnsi="Calibri Light" w:cs="Calibri Light"/>
        </w:rPr>
        <w:t>o-one owns “morally ought”.</w:t>
      </w:r>
      <w:r>
        <w:rPr>
          <w:rStyle w:val="FootnoteReference"/>
          <w:rFonts w:ascii="Calibri Light" w:hAnsi="Calibri Light" w:cs="Calibri Light"/>
        </w:rPr>
        <w:footnoteReference w:id="16"/>
      </w:r>
      <w:r w:rsidR="003237F4">
        <w:rPr>
          <w:rFonts w:ascii="Calibri Light" w:hAnsi="Calibri Light" w:cs="Calibri Light"/>
        </w:rPr>
        <w:t xml:space="preserve"> VE </w:t>
      </w:r>
      <w:r w:rsidR="004B723B">
        <w:rPr>
          <w:rFonts w:ascii="Calibri Light" w:hAnsi="Calibri Light" w:cs="Calibri Light"/>
        </w:rPr>
        <w:t xml:space="preserve">can, if it remembers, </w:t>
      </w:r>
      <w:r w:rsidR="003237F4">
        <w:rPr>
          <w:rFonts w:ascii="Calibri Light" w:hAnsi="Calibri Light" w:cs="Calibri Light"/>
        </w:rPr>
        <w:t>be relaxed about “right”.</w:t>
      </w:r>
      <w:r w:rsidR="00CC40CF">
        <w:rPr>
          <w:rStyle w:val="FootnoteReference"/>
          <w:rFonts w:ascii="Calibri Light" w:hAnsi="Calibri Light" w:cs="Calibri Light"/>
        </w:rPr>
        <w:footnoteReference w:id="17"/>
      </w:r>
      <w:r w:rsidR="003237F4">
        <w:rPr>
          <w:rFonts w:ascii="Calibri Light" w:hAnsi="Calibri Light" w:cs="Calibri Light"/>
        </w:rPr>
        <w:t xml:space="preserve"> </w:t>
      </w:r>
    </w:p>
    <w:p w14:paraId="30963FE1" w14:textId="77777777" w:rsidR="00970B58" w:rsidRDefault="00970B58" w:rsidP="00970B58">
      <w:pPr>
        <w:spacing w:line="360" w:lineRule="auto"/>
        <w:jc w:val="both"/>
        <w:rPr>
          <w:rFonts w:ascii="Calibri Light" w:hAnsi="Calibri Light" w:cs="Calibri Light"/>
        </w:rPr>
      </w:pPr>
    </w:p>
    <w:p w14:paraId="3CFCF00B" w14:textId="18A7EFCE" w:rsidR="006760EE" w:rsidRDefault="006760EE" w:rsidP="006760EE">
      <w:pPr>
        <w:spacing w:line="360" w:lineRule="auto"/>
        <w:jc w:val="both"/>
        <w:rPr>
          <w:rFonts w:ascii="Calibri Light" w:hAnsi="Calibri Light" w:cs="Calibri Light"/>
        </w:rPr>
      </w:pPr>
      <w:r>
        <w:rPr>
          <w:rFonts w:ascii="Calibri Light" w:hAnsi="Calibri Light" w:cs="Calibri Light"/>
        </w:rPr>
        <w:t xml:space="preserve">The problem </w:t>
      </w:r>
      <w:r>
        <w:rPr>
          <w:rFonts w:ascii="Calibri Light" w:hAnsi="Calibri Light" w:cs="Calibri Light"/>
        </w:rPr>
        <w:t>is</w:t>
      </w:r>
      <w:r>
        <w:rPr>
          <w:rFonts w:ascii="Calibri Light" w:hAnsi="Calibri Light" w:cs="Calibri Light"/>
        </w:rPr>
        <w:t xml:space="preserve"> the</w:t>
      </w:r>
      <w:r>
        <w:rPr>
          <w:rFonts w:ascii="Calibri Light" w:hAnsi="Calibri Light" w:cs="Calibri Light"/>
        </w:rPr>
        <w:t xml:space="preserve"> presumed</w:t>
      </w:r>
      <w:r>
        <w:rPr>
          <w:rFonts w:ascii="Calibri Light" w:hAnsi="Calibri Light" w:cs="Calibri Light"/>
        </w:rPr>
        <w:t xml:space="preserve"> deontological framework</w:t>
      </w:r>
      <w:r>
        <w:rPr>
          <w:rFonts w:ascii="Calibri Light" w:hAnsi="Calibri Light" w:cs="Calibri Light"/>
        </w:rPr>
        <w:t>. A</w:t>
      </w:r>
      <w:r w:rsidRPr="00825DDF">
        <w:rPr>
          <w:rFonts w:ascii="Calibri Light" w:hAnsi="Calibri Light" w:cs="Calibri Light"/>
        </w:rPr>
        <w:t>ction</w:t>
      </w:r>
      <w:r>
        <w:rPr>
          <w:rFonts w:ascii="Calibri Light" w:hAnsi="Calibri Light" w:cs="Calibri Light"/>
        </w:rPr>
        <w:t xml:space="preserve"> is taken to </w:t>
      </w:r>
      <w:r w:rsidRPr="00825DDF">
        <w:rPr>
          <w:rFonts w:ascii="Calibri Light" w:hAnsi="Calibri Light" w:cs="Calibri Light"/>
        </w:rPr>
        <w:t>divid</w:t>
      </w:r>
      <w:r>
        <w:rPr>
          <w:rFonts w:ascii="Calibri Light" w:hAnsi="Calibri Light" w:cs="Calibri Light"/>
        </w:rPr>
        <w:t>e</w:t>
      </w:r>
      <w:r w:rsidRPr="00825DDF">
        <w:rPr>
          <w:rFonts w:ascii="Calibri Light" w:hAnsi="Calibri Light" w:cs="Calibri Light"/>
        </w:rPr>
        <w:t xml:space="preserve"> into obligatory/permissible/wrong.</w:t>
      </w:r>
      <w:r>
        <w:rPr>
          <w:rFonts w:ascii="Calibri Light" w:hAnsi="Calibri Light" w:cs="Calibri Light"/>
        </w:rPr>
        <w:t xml:space="preserve"> </w:t>
      </w:r>
      <w:r>
        <w:rPr>
          <w:rFonts w:ascii="Calibri Light" w:hAnsi="Calibri Light" w:cs="Calibri Light"/>
        </w:rPr>
        <w:t>Action-Theories</w:t>
      </w:r>
      <w:r>
        <w:rPr>
          <w:rFonts w:ascii="Calibri Light" w:hAnsi="Calibri Light" w:cs="Calibri Light"/>
        </w:rPr>
        <w:t xml:space="preserve"> </w:t>
      </w:r>
      <w:r>
        <w:rPr>
          <w:rFonts w:ascii="Calibri Light" w:hAnsi="Calibri Light" w:cs="Calibri Light"/>
        </w:rPr>
        <w:t>are</w:t>
      </w:r>
      <w:r>
        <w:rPr>
          <w:rFonts w:ascii="Calibri Light" w:hAnsi="Calibri Light" w:cs="Calibri Light"/>
        </w:rPr>
        <w:t xml:space="preserve"> concerned with identifying what we ‘ought’ to do.</w:t>
      </w:r>
      <w:r w:rsidRPr="00825DDF">
        <w:rPr>
          <w:rFonts w:ascii="Calibri Light" w:hAnsi="Calibri Light" w:cs="Calibri Light"/>
        </w:rPr>
        <w:t xml:space="preserve"> </w:t>
      </w:r>
      <w:r>
        <w:rPr>
          <w:rFonts w:ascii="Calibri Light" w:hAnsi="Calibri Light" w:cs="Calibri Light"/>
        </w:rPr>
        <w:t xml:space="preserve">These assumptions, </w:t>
      </w:r>
      <w:r>
        <w:rPr>
          <w:rFonts w:ascii="Calibri Light" w:hAnsi="Calibri Light" w:cs="Calibri Light"/>
        </w:rPr>
        <w:t>sometimes</w:t>
      </w:r>
      <w:r>
        <w:rPr>
          <w:rFonts w:ascii="Calibri Light" w:hAnsi="Calibri Light" w:cs="Calibri Light"/>
        </w:rPr>
        <w:t xml:space="preserve"> shared by V</w:t>
      </w:r>
      <w:r w:rsidR="0059687C">
        <w:rPr>
          <w:rFonts w:ascii="Calibri Light" w:hAnsi="Calibri Light" w:cs="Calibri Light"/>
        </w:rPr>
        <w:t>E</w:t>
      </w:r>
      <w:r>
        <w:rPr>
          <w:rFonts w:ascii="Calibri Light" w:hAnsi="Calibri Light" w:cs="Calibri Light"/>
        </w:rPr>
        <w:t xml:space="preserve">, underpin much of the criticism that </w:t>
      </w:r>
      <w:r>
        <w:rPr>
          <w:rFonts w:ascii="Calibri Light" w:hAnsi="Calibri Light" w:cs="Calibri Light"/>
        </w:rPr>
        <w:t xml:space="preserve">VE </w:t>
      </w:r>
      <w:r w:rsidR="00572327">
        <w:rPr>
          <w:rFonts w:ascii="Calibri Light" w:hAnsi="Calibri Light" w:cs="Calibri Light"/>
        </w:rPr>
        <w:t xml:space="preserve">is </w:t>
      </w:r>
      <w:r w:rsidR="00572327">
        <w:rPr>
          <w:rFonts w:ascii="Calibri Light" w:hAnsi="Calibri Light" w:cs="Calibri Light"/>
        </w:rPr>
        <w:lastRenderedPageBreak/>
        <w:t>inadequate</w:t>
      </w:r>
      <w:r>
        <w:rPr>
          <w:rFonts w:ascii="Calibri Light" w:hAnsi="Calibri Light" w:cs="Calibri Light"/>
        </w:rPr>
        <w:t>.</w:t>
      </w:r>
      <w:r w:rsidR="00572327">
        <w:rPr>
          <w:rStyle w:val="FootnoteReference"/>
          <w:rFonts w:ascii="Calibri Light" w:hAnsi="Calibri Light" w:cs="Calibri Light"/>
        </w:rPr>
        <w:footnoteReference w:id="18"/>
      </w:r>
      <w:r>
        <w:rPr>
          <w:rFonts w:ascii="Calibri Light" w:hAnsi="Calibri Light" w:cs="Calibri Light"/>
        </w:rPr>
        <w:t xml:space="preserve"> As Daniel Russell points out neither </w:t>
      </w:r>
      <w:r w:rsidR="00572327">
        <w:rPr>
          <w:rFonts w:ascii="Calibri Light" w:hAnsi="Calibri Light" w:cs="Calibri Light"/>
        </w:rPr>
        <w:t>‘</w:t>
      </w:r>
      <w:r>
        <w:rPr>
          <w:rFonts w:ascii="Calibri Light" w:hAnsi="Calibri Light" w:cs="Calibri Light"/>
        </w:rPr>
        <w:t>ought</w:t>
      </w:r>
      <w:r w:rsidR="00572327">
        <w:rPr>
          <w:rFonts w:ascii="Calibri Light" w:hAnsi="Calibri Light" w:cs="Calibri Light"/>
        </w:rPr>
        <w:t>’</w:t>
      </w:r>
      <w:r>
        <w:rPr>
          <w:rFonts w:ascii="Calibri Light" w:hAnsi="Calibri Light" w:cs="Calibri Light"/>
        </w:rPr>
        <w:t xml:space="preserve"> nor </w:t>
      </w:r>
      <w:r w:rsidR="00572327">
        <w:rPr>
          <w:rFonts w:ascii="Calibri Light" w:hAnsi="Calibri Light" w:cs="Calibri Light"/>
        </w:rPr>
        <w:t>‘</w:t>
      </w:r>
      <w:r>
        <w:rPr>
          <w:rFonts w:ascii="Calibri Light" w:hAnsi="Calibri Light" w:cs="Calibri Light"/>
        </w:rPr>
        <w:t>right</w:t>
      </w:r>
      <w:r w:rsidR="00572327">
        <w:rPr>
          <w:rFonts w:ascii="Calibri Light" w:hAnsi="Calibri Light" w:cs="Calibri Light"/>
        </w:rPr>
        <w:t>’</w:t>
      </w:r>
      <w:r>
        <w:rPr>
          <w:rFonts w:ascii="Calibri Light" w:hAnsi="Calibri Light" w:cs="Calibri Light"/>
        </w:rPr>
        <w:t xml:space="preserve"> need imply the other.</w:t>
      </w:r>
      <w:r w:rsidR="00572327">
        <w:rPr>
          <w:rStyle w:val="FootnoteReference"/>
          <w:rFonts w:ascii="Calibri Light" w:hAnsi="Calibri Light" w:cs="Calibri Light"/>
        </w:rPr>
        <w:footnoteReference w:id="19"/>
      </w:r>
      <w:r>
        <w:rPr>
          <w:rFonts w:ascii="Calibri Light" w:hAnsi="Calibri Light" w:cs="Calibri Light"/>
        </w:rPr>
        <w:t xml:space="preserve"> </w:t>
      </w:r>
      <w:r w:rsidR="00576CA5">
        <w:rPr>
          <w:rFonts w:ascii="Calibri Light" w:hAnsi="Calibri Light" w:cs="Calibri Light"/>
        </w:rPr>
        <w:t>I</w:t>
      </w:r>
      <w:r>
        <w:rPr>
          <w:rFonts w:ascii="Calibri Light" w:hAnsi="Calibri Light" w:cs="Calibri Light"/>
        </w:rPr>
        <w:t>f</w:t>
      </w:r>
      <w:r w:rsidR="00576CA5">
        <w:rPr>
          <w:rFonts w:ascii="Calibri Light" w:hAnsi="Calibri Light" w:cs="Calibri Light"/>
        </w:rPr>
        <w:t xml:space="preserve"> </w:t>
      </w:r>
      <w:r>
        <w:rPr>
          <w:rFonts w:ascii="Calibri Light" w:hAnsi="Calibri Light" w:cs="Calibri Light"/>
        </w:rPr>
        <w:t xml:space="preserve">VE </w:t>
      </w:r>
      <w:r w:rsidR="00576CA5">
        <w:rPr>
          <w:rFonts w:ascii="Calibri Light" w:hAnsi="Calibri Light" w:cs="Calibri Light"/>
        </w:rPr>
        <w:t>must</w:t>
      </w:r>
      <w:r>
        <w:rPr>
          <w:rFonts w:ascii="Calibri Light" w:hAnsi="Calibri Light" w:cs="Calibri Light"/>
        </w:rPr>
        <w:t xml:space="preserve"> </w:t>
      </w:r>
      <w:r w:rsidR="00576CA5">
        <w:rPr>
          <w:rFonts w:ascii="Calibri Light" w:hAnsi="Calibri Light" w:cs="Calibri Light"/>
        </w:rPr>
        <w:t>account for</w:t>
      </w:r>
      <w:r>
        <w:rPr>
          <w:rFonts w:ascii="Calibri Light" w:hAnsi="Calibri Light" w:cs="Calibri Light"/>
        </w:rPr>
        <w:t xml:space="preserve"> obligations, it has the resources.</w:t>
      </w:r>
      <w:r w:rsidR="00576CA5">
        <w:rPr>
          <w:rStyle w:val="FootnoteReference"/>
          <w:rFonts w:ascii="Calibri Light" w:hAnsi="Calibri Light" w:cs="Calibri Light"/>
        </w:rPr>
        <w:footnoteReference w:id="20"/>
      </w:r>
      <w:r>
        <w:rPr>
          <w:rFonts w:ascii="Calibri Light" w:hAnsi="Calibri Light" w:cs="Calibri Light"/>
        </w:rPr>
        <w:t xml:space="preserve"> </w:t>
      </w:r>
    </w:p>
    <w:p w14:paraId="7EB9E7C2" w14:textId="77777777" w:rsidR="006760EE" w:rsidRDefault="006760EE" w:rsidP="00970B58">
      <w:pPr>
        <w:spacing w:line="360" w:lineRule="auto"/>
        <w:jc w:val="both"/>
        <w:rPr>
          <w:rFonts w:ascii="Calibri Light" w:hAnsi="Calibri Light" w:cs="Calibri Light"/>
        </w:rPr>
      </w:pPr>
    </w:p>
    <w:p w14:paraId="28864CF0" w14:textId="4F490699" w:rsidR="00223834" w:rsidRDefault="00182C8E" w:rsidP="00970B58">
      <w:pPr>
        <w:spacing w:line="360" w:lineRule="auto"/>
        <w:jc w:val="both"/>
        <w:rPr>
          <w:rFonts w:ascii="Calibri Light" w:hAnsi="Calibri Light" w:cs="Calibri Light"/>
        </w:rPr>
      </w:pPr>
      <w:r>
        <w:rPr>
          <w:rFonts w:ascii="Calibri Light" w:hAnsi="Calibri Light" w:cs="Calibri Light"/>
        </w:rPr>
        <w:t>If anything</w:t>
      </w:r>
      <w:r w:rsidR="004B723B">
        <w:rPr>
          <w:rFonts w:ascii="Calibri Light" w:hAnsi="Calibri Light" w:cs="Calibri Light"/>
        </w:rPr>
        <w:t xml:space="preserve">, </w:t>
      </w:r>
      <w:r w:rsidR="001B0995">
        <w:rPr>
          <w:rFonts w:ascii="Calibri Light" w:hAnsi="Calibri Light" w:cs="Calibri Light"/>
        </w:rPr>
        <w:t xml:space="preserve">it is </w:t>
      </w:r>
      <w:r w:rsidR="004B723B">
        <w:rPr>
          <w:rFonts w:ascii="Calibri Light" w:hAnsi="Calibri Light" w:cs="Calibri Light"/>
        </w:rPr>
        <w:t>VE’s</w:t>
      </w:r>
      <w:r w:rsidR="004B723B" w:rsidRPr="00825DDF">
        <w:rPr>
          <w:rFonts w:ascii="Calibri Light" w:hAnsi="Calibri Light" w:cs="Calibri Light"/>
        </w:rPr>
        <w:t xml:space="preserve"> </w:t>
      </w:r>
      <w:r>
        <w:rPr>
          <w:rFonts w:ascii="Calibri Light" w:hAnsi="Calibri Light" w:cs="Calibri Light"/>
        </w:rPr>
        <w:t>language</w:t>
      </w:r>
      <w:r w:rsidR="001B0995">
        <w:rPr>
          <w:rFonts w:ascii="Calibri Light" w:hAnsi="Calibri Light" w:cs="Calibri Light"/>
        </w:rPr>
        <w:t xml:space="preserve"> that</w:t>
      </w:r>
      <w:r w:rsidR="004B723B" w:rsidRPr="00825DDF">
        <w:rPr>
          <w:rFonts w:ascii="Calibri Light" w:hAnsi="Calibri Light" w:cs="Calibri Light"/>
        </w:rPr>
        <w:t xml:space="preserve"> </w:t>
      </w:r>
      <w:r>
        <w:rPr>
          <w:rFonts w:ascii="Calibri Light" w:hAnsi="Calibri Light" w:cs="Calibri Light"/>
        </w:rPr>
        <w:t xml:space="preserve">gives it </w:t>
      </w:r>
      <w:r w:rsidR="004B723B" w:rsidRPr="00825DDF">
        <w:rPr>
          <w:rFonts w:ascii="Calibri Light" w:hAnsi="Calibri Light" w:cs="Calibri Light"/>
        </w:rPr>
        <w:t>guiding</w:t>
      </w:r>
      <w:r>
        <w:rPr>
          <w:rFonts w:ascii="Calibri Light" w:hAnsi="Calibri Light" w:cs="Calibri Light"/>
        </w:rPr>
        <w:t>-</w:t>
      </w:r>
      <w:r w:rsidR="001B0995">
        <w:rPr>
          <w:rFonts w:ascii="Calibri Light" w:hAnsi="Calibri Light" w:cs="Calibri Light"/>
        </w:rPr>
        <w:t>ness</w:t>
      </w:r>
      <w:r w:rsidR="004B723B" w:rsidRPr="00825DDF">
        <w:rPr>
          <w:rFonts w:ascii="Calibri Light" w:hAnsi="Calibri Light" w:cs="Calibri Light"/>
        </w:rPr>
        <w:t>.</w:t>
      </w:r>
      <w:r w:rsidR="004B723B">
        <w:rPr>
          <w:rFonts w:ascii="Calibri Light" w:hAnsi="Calibri Light" w:cs="Calibri Light"/>
        </w:rPr>
        <w:t xml:space="preserve"> </w:t>
      </w:r>
      <w:r w:rsidR="001B0995">
        <w:rPr>
          <w:rFonts w:ascii="Calibri Light" w:hAnsi="Calibri Light" w:cs="Calibri Light"/>
        </w:rPr>
        <w:t xml:space="preserve">By allowing for degrees of ‘rightness’, VE affords more specificity and scope for action. </w:t>
      </w:r>
      <w:r w:rsidR="001B0995">
        <w:rPr>
          <w:rFonts w:ascii="Calibri Light" w:hAnsi="Calibri Light" w:cs="Calibri Light"/>
        </w:rPr>
        <w:t xml:space="preserve">Moreover, VE’s </w:t>
      </w:r>
      <w:r w:rsidR="001B0995" w:rsidRPr="00825DDF">
        <w:rPr>
          <w:rFonts w:ascii="Calibri Light" w:hAnsi="Calibri Light" w:cs="Calibri Light"/>
        </w:rPr>
        <w:t>commitment to the aretaic</w:t>
      </w:r>
      <w:r w:rsidR="001B0995">
        <w:rPr>
          <w:rFonts w:ascii="Calibri Light" w:hAnsi="Calibri Light" w:cs="Calibri Light"/>
        </w:rPr>
        <w:t xml:space="preserve">, </w:t>
      </w:r>
      <w:r w:rsidR="001B0995">
        <w:rPr>
          <w:rFonts w:ascii="Calibri Light" w:hAnsi="Calibri Light" w:cs="Calibri Light"/>
        </w:rPr>
        <w:t>t</w:t>
      </w:r>
      <w:r w:rsidR="004B723B">
        <w:rPr>
          <w:rFonts w:ascii="Calibri Light" w:hAnsi="Calibri Light" w:cs="Calibri Light"/>
        </w:rPr>
        <w:t>he thick terms of V-</w:t>
      </w:r>
      <w:r>
        <w:rPr>
          <w:rFonts w:ascii="Calibri Light" w:hAnsi="Calibri Light" w:cs="Calibri Light"/>
        </w:rPr>
        <w:t>terms</w:t>
      </w:r>
      <w:r w:rsidR="004B723B">
        <w:rPr>
          <w:rFonts w:ascii="Calibri Light" w:hAnsi="Calibri Light" w:cs="Calibri Light"/>
        </w:rPr>
        <w:t xml:space="preserve"> are </w:t>
      </w:r>
      <w:r w:rsidR="004B723B" w:rsidRPr="00825DDF">
        <w:rPr>
          <w:rFonts w:ascii="Calibri Light" w:hAnsi="Calibri Light" w:cs="Calibri Light"/>
        </w:rPr>
        <w:t>nuanced, informative, precise.</w:t>
      </w:r>
      <w:r>
        <w:rPr>
          <w:rStyle w:val="FootnoteReference"/>
          <w:rFonts w:ascii="Calibri Light" w:hAnsi="Calibri Light" w:cs="Calibri Light"/>
        </w:rPr>
        <w:footnoteReference w:id="21"/>
      </w:r>
      <w:r w:rsidR="004B723B" w:rsidRPr="00825DDF">
        <w:rPr>
          <w:rFonts w:ascii="Calibri Light" w:hAnsi="Calibri Light" w:cs="Calibri Light"/>
        </w:rPr>
        <w:t xml:space="preserve"> </w:t>
      </w:r>
      <w:r w:rsidR="001B0995">
        <w:rPr>
          <w:rFonts w:ascii="Calibri Light" w:hAnsi="Calibri Light" w:cs="Calibri Light"/>
        </w:rPr>
        <w:t>Evaluative terms</w:t>
      </w:r>
      <w:r w:rsidR="004B723B" w:rsidRPr="00825DDF">
        <w:rPr>
          <w:rFonts w:ascii="Calibri Light" w:hAnsi="Calibri Light" w:cs="Calibri Light"/>
        </w:rPr>
        <w:t xml:space="preserve"> give reasons for action.</w:t>
      </w:r>
      <w:r w:rsidR="004B723B" w:rsidRPr="00825DDF">
        <w:rPr>
          <w:rStyle w:val="FootnoteReference"/>
          <w:rFonts w:ascii="Calibri Light" w:hAnsi="Calibri Light" w:cs="Calibri Light"/>
        </w:rPr>
        <w:footnoteReference w:id="22"/>
      </w:r>
      <w:r w:rsidR="004B723B" w:rsidRPr="00825DDF">
        <w:rPr>
          <w:rFonts w:ascii="Calibri Light" w:hAnsi="Calibri Light" w:cs="Calibri Light"/>
        </w:rPr>
        <w:t xml:space="preserve"> Unlike descriptive terms, V-</w:t>
      </w:r>
      <w:r w:rsidR="00572327">
        <w:rPr>
          <w:rFonts w:ascii="Calibri Light" w:hAnsi="Calibri Light" w:cs="Calibri Light"/>
        </w:rPr>
        <w:t>language</w:t>
      </w:r>
      <w:r w:rsidR="004B723B" w:rsidRPr="00825DDF">
        <w:rPr>
          <w:rFonts w:ascii="Calibri Light" w:hAnsi="Calibri Light" w:cs="Calibri Light"/>
        </w:rPr>
        <w:t xml:space="preserve"> </w:t>
      </w:r>
      <w:r w:rsidR="004B723B" w:rsidRPr="001B0995">
        <w:rPr>
          <w:rFonts w:ascii="Calibri Light" w:hAnsi="Calibri Light" w:cs="Calibri Light"/>
          <w:i/>
          <w:iCs/>
        </w:rPr>
        <w:t>guides</w:t>
      </w:r>
      <w:r w:rsidR="004B723B" w:rsidRPr="00825DDF">
        <w:rPr>
          <w:rFonts w:ascii="Calibri Light" w:hAnsi="Calibri Light" w:cs="Calibri Light"/>
        </w:rPr>
        <w:t>.</w:t>
      </w:r>
    </w:p>
    <w:p w14:paraId="68C0950B" w14:textId="77777777" w:rsidR="0059687C" w:rsidRDefault="0059687C" w:rsidP="00970B58">
      <w:pPr>
        <w:spacing w:line="360" w:lineRule="auto"/>
        <w:jc w:val="both"/>
        <w:rPr>
          <w:rFonts w:ascii="Calibri Light" w:hAnsi="Calibri Light" w:cs="Calibri Light"/>
        </w:rPr>
      </w:pPr>
    </w:p>
    <w:p w14:paraId="0507AE22" w14:textId="6EE3B11C" w:rsidR="006E4193" w:rsidRDefault="00223834" w:rsidP="006E4193">
      <w:pPr>
        <w:spacing w:line="360" w:lineRule="auto"/>
        <w:jc w:val="both"/>
        <w:rPr>
          <w:rFonts w:ascii="Calibri Light" w:hAnsi="Calibri Light" w:cs="Calibri Light"/>
        </w:rPr>
      </w:pPr>
      <w:r>
        <w:rPr>
          <w:rFonts w:ascii="Calibri Light" w:hAnsi="Calibri Light" w:cs="Calibri Light"/>
        </w:rPr>
        <w:t xml:space="preserve">The assumptions </w:t>
      </w:r>
      <w:r w:rsidR="00576CA5">
        <w:rPr>
          <w:rFonts w:ascii="Calibri Light" w:hAnsi="Calibri Light" w:cs="Calibri Light"/>
        </w:rPr>
        <w:t>continue</w:t>
      </w:r>
      <w:r>
        <w:rPr>
          <w:rFonts w:ascii="Calibri Light" w:hAnsi="Calibri Light" w:cs="Calibri Light"/>
        </w:rPr>
        <w:t xml:space="preserve"> to the end. </w:t>
      </w:r>
      <w:r w:rsidR="00576CA5">
        <w:rPr>
          <w:rFonts w:ascii="Calibri Light" w:hAnsi="Calibri Light" w:cs="Calibri Light"/>
        </w:rPr>
        <w:t>Guidance</w:t>
      </w:r>
      <w:r>
        <w:rPr>
          <w:rFonts w:ascii="Calibri Light" w:hAnsi="Calibri Light" w:cs="Calibri Light"/>
        </w:rPr>
        <w:t xml:space="preserve"> is expected to </w:t>
      </w:r>
      <w:r w:rsidR="009C4BFB">
        <w:rPr>
          <w:rFonts w:ascii="Calibri Light" w:hAnsi="Calibri Light" w:cs="Calibri Light"/>
        </w:rPr>
        <w:t>give</w:t>
      </w:r>
      <w:r>
        <w:rPr>
          <w:rFonts w:ascii="Calibri Light" w:hAnsi="Calibri Light" w:cs="Calibri Light"/>
        </w:rPr>
        <w:t xml:space="preserve"> </w:t>
      </w:r>
      <w:r w:rsidR="00576CA5" w:rsidRPr="00576CA5">
        <w:rPr>
          <w:rFonts w:ascii="Calibri Light" w:hAnsi="Calibri Light" w:cs="Calibri Light"/>
          <w:i/>
          <w:iCs/>
        </w:rPr>
        <w:t>the</w:t>
      </w:r>
      <w:r>
        <w:rPr>
          <w:rFonts w:ascii="Calibri Light" w:hAnsi="Calibri Light" w:cs="Calibri Light"/>
        </w:rPr>
        <w:t xml:space="preserve"> answer. There is no such answer. </w:t>
      </w:r>
      <w:r w:rsidR="00520547" w:rsidRPr="00825DDF">
        <w:rPr>
          <w:rFonts w:ascii="Calibri Light" w:hAnsi="Calibri Light" w:cs="Calibri Light"/>
        </w:rPr>
        <w:t xml:space="preserve">There </w:t>
      </w:r>
      <w:r w:rsidR="00520547" w:rsidRPr="009C4BFB">
        <w:rPr>
          <w:rFonts w:ascii="Calibri Light" w:hAnsi="Calibri Light" w:cs="Calibri Light"/>
          <w:i/>
          <w:iCs/>
        </w:rPr>
        <w:t>m</w:t>
      </w:r>
      <w:r w:rsidR="00576CA5" w:rsidRPr="009C4BFB">
        <w:rPr>
          <w:rFonts w:ascii="Calibri Light" w:hAnsi="Calibri Light" w:cs="Calibri Light"/>
          <w:i/>
          <w:iCs/>
        </w:rPr>
        <w:t>ight</w:t>
      </w:r>
      <w:r w:rsidR="00520547" w:rsidRPr="00825DDF">
        <w:rPr>
          <w:rFonts w:ascii="Calibri Light" w:hAnsi="Calibri Light" w:cs="Calibri Light"/>
        </w:rPr>
        <w:t xml:space="preserve"> be a solution.</w:t>
      </w:r>
      <w:r w:rsidR="000F1828" w:rsidRPr="00825DDF">
        <w:rPr>
          <w:rFonts w:ascii="Calibri Light" w:hAnsi="Calibri Light" w:cs="Calibri Light"/>
        </w:rPr>
        <w:t xml:space="preserve"> </w:t>
      </w:r>
      <w:r w:rsidR="00520547" w:rsidRPr="00825DDF">
        <w:rPr>
          <w:rFonts w:ascii="Calibri Light" w:hAnsi="Calibri Light" w:cs="Calibri Light"/>
        </w:rPr>
        <w:t>More likely</w:t>
      </w:r>
      <w:r>
        <w:rPr>
          <w:rFonts w:ascii="Calibri Light" w:hAnsi="Calibri Light" w:cs="Calibri Light"/>
        </w:rPr>
        <w:t xml:space="preserve">, </w:t>
      </w:r>
      <w:r w:rsidR="00520547" w:rsidRPr="00825DDF">
        <w:rPr>
          <w:rFonts w:ascii="Calibri Light" w:hAnsi="Calibri Light" w:cs="Calibri Light"/>
        </w:rPr>
        <w:t>a variety of negotiated outcomes</w:t>
      </w:r>
      <w:r w:rsidR="000F1828" w:rsidRPr="00825DDF">
        <w:rPr>
          <w:rFonts w:ascii="Calibri Light" w:hAnsi="Calibri Light" w:cs="Calibri Light"/>
        </w:rPr>
        <w:t xml:space="preserve">. </w:t>
      </w:r>
    </w:p>
    <w:p w14:paraId="7C03DCF3" w14:textId="77777777" w:rsidR="00C41C1D" w:rsidRDefault="00C41C1D" w:rsidP="006E4193">
      <w:pPr>
        <w:spacing w:line="360" w:lineRule="auto"/>
        <w:jc w:val="both"/>
        <w:rPr>
          <w:rFonts w:ascii="Calibri Light" w:hAnsi="Calibri Light" w:cs="Calibri Light"/>
        </w:rPr>
      </w:pPr>
    </w:p>
    <w:p w14:paraId="19BDC04A" w14:textId="77777777" w:rsidR="000E6B8A" w:rsidRDefault="000E6B8A" w:rsidP="006E4193">
      <w:pPr>
        <w:spacing w:line="360" w:lineRule="auto"/>
        <w:jc w:val="both"/>
        <w:rPr>
          <w:rFonts w:ascii="Calibri Light" w:hAnsi="Calibri Light" w:cs="Calibri Light"/>
        </w:rPr>
      </w:pPr>
    </w:p>
    <w:p w14:paraId="339A08B3" w14:textId="77777777" w:rsidR="0059687C" w:rsidRDefault="0059687C" w:rsidP="006E4193">
      <w:pPr>
        <w:spacing w:line="360" w:lineRule="auto"/>
        <w:jc w:val="both"/>
        <w:rPr>
          <w:rFonts w:ascii="Calibri Light" w:hAnsi="Calibri Light" w:cs="Calibri Light"/>
          <w:b/>
          <w:bCs/>
          <w:u w:val="single"/>
        </w:rPr>
      </w:pPr>
    </w:p>
    <w:p w14:paraId="1139CBD7" w14:textId="77777777" w:rsidR="0059687C" w:rsidRDefault="0059687C" w:rsidP="006E4193">
      <w:pPr>
        <w:spacing w:line="360" w:lineRule="auto"/>
        <w:jc w:val="both"/>
        <w:rPr>
          <w:rFonts w:ascii="Calibri Light" w:hAnsi="Calibri Light" w:cs="Calibri Light"/>
          <w:b/>
          <w:bCs/>
          <w:u w:val="single"/>
        </w:rPr>
      </w:pPr>
    </w:p>
    <w:p w14:paraId="4B56AAA5" w14:textId="77777777" w:rsidR="0059687C" w:rsidRDefault="0059687C" w:rsidP="006E4193">
      <w:pPr>
        <w:spacing w:line="360" w:lineRule="auto"/>
        <w:jc w:val="both"/>
        <w:rPr>
          <w:rFonts w:ascii="Calibri Light" w:hAnsi="Calibri Light" w:cs="Calibri Light"/>
          <w:b/>
          <w:bCs/>
          <w:u w:val="single"/>
        </w:rPr>
      </w:pPr>
    </w:p>
    <w:p w14:paraId="0636140E" w14:textId="77777777" w:rsidR="0059687C" w:rsidRDefault="0059687C" w:rsidP="006E4193">
      <w:pPr>
        <w:spacing w:line="360" w:lineRule="auto"/>
        <w:jc w:val="both"/>
        <w:rPr>
          <w:rFonts w:ascii="Calibri Light" w:hAnsi="Calibri Light" w:cs="Calibri Light"/>
          <w:b/>
          <w:bCs/>
          <w:u w:val="single"/>
        </w:rPr>
      </w:pPr>
    </w:p>
    <w:p w14:paraId="072640B8" w14:textId="56DD6344" w:rsidR="000E6B8A" w:rsidRPr="00C174DB" w:rsidRDefault="000E6B8A" w:rsidP="006E4193">
      <w:pPr>
        <w:spacing w:line="360" w:lineRule="auto"/>
        <w:jc w:val="both"/>
        <w:rPr>
          <w:rFonts w:ascii="Calibri Light" w:hAnsi="Calibri Light" w:cs="Calibri Light"/>
          <w:b/>
          <w:bCs/>
          <w:u w:val="single"/>
        </w:rPr>
      </w:pPr>
      <w:r w:rsidRPr="00C174DB">
        <w:rPr>
          <w:rFonts w:ascii="Calibri Light" w:hAnsi="Calibri Light" w:cs="Calibri Light"/>
          <w:b/>
          <w:bCs/>
          <w:u w:val="single"/>
        </w:rPr>
        <w:t>Standard</w:t>
      </w:r>
    </w:p>
    <w:p w14:paraId="122BCB32" w14:textId="77777777" w:rsidR="000E6B8A" w:rsidRDefault="000E6B8A" w:rsidP="006E4193">
      <w:pPr>
        <w:spacing w:line="360" w:lineRule="auto"/>
        <w:jc w:val="both"/>
        <w:rPr>
          <w:rFonts w:ascii="Calibri Light" w:hAnsi="Calibri Light" w:cs="Calibri Light"/>
          <w:b/>
          <w:bCs/>
        </w:rPr>
      </w:pPr>
    </w:p>
    <w:p w14:paraId="57B8770D" w14:textId="4419ADC3" w:rsidR="009C4BFB" w:rsidRDefault="00854D4A" w:rsidP="006E4193">
      <w:pPr>
        <w:spacing w:line="360" w:lineRule="auto"/>
        <w:jc w:val="both"/>
        <w:rPr>
          <w:rFonts w:ascii="Calibri Light" w:hAnsi="Calibri Light" w:cs="Calibri Light"/>
        </w:rPr>
      </w:pPr>
      <w:r>
        <w:rPr>
          <w:rFonts w:ascii="Calibri Light" w:hAnsi="Calibri Light" w:cs="Calibri Light"/>
        </w:rPr>
        <w:t xml:space="preserve">Not everyone </w:t>
      </w:r>
      <w:r w:rsidR="00C174DB">
        <w:rPr>
          <w:rFonts w:ascii="Calibri Light" w:hAnsi="Calibri Light" w:cs="Calibri Light"/>
        </w:rPr>
        <w:t xml:space="preserve">would </w:t>
      </w:r>
      <w:r w:rsidR="009C4BFB">
        <w:rPr>
          <w:rFonts w:ascii="Calibri Light" w:hAnsi="Calibri Light" w:cs="Calibri Light"/>
        </w:rPr>
        <w:t>agree</w:t>
      </w:r>
      <w:r>
        <w:rPr>
          <w:rFonts w:ascii="Calibri Light" w:hAnsi="Calibri Light" w:cs="Calibri Light"/>
        </w:rPr>
        <w:t xml:space="preserve"> that VE’s</w:t>
      </w:r>
      <w:r w:rsidR="009C4BFB">
        <w:rPr>
          <w:rFonts w:ascii="Calibri Light" w:hAnsi="Calibri Light" w:cs="Calibri Light"/>
        </w:rPr>
        <w:t xml:space="preserve"> ability to</w:t>
      </w:r>
      <w:r>
        <w:rPr>
          <w:rFonts w:ascii="Calibri Light" w:hAnsi="Calibri Light" w:cs="Calibri Light"/>
        </w:rPr>
        <w:t xml:space="preserve"> </w:t>
      </w:r>
      <w:r w:rsidR="009C4BFB">
        <w:rPr>
          <w:rFonts w:ascii="Calibri Light" w:hAnsi="Calibri Light" w:cs="Calibri Light"/>
        </w:rPr>
        <w:t>PUWAG</w:t>
      </w:r>
      <w:r>
        <w:rPr>
          <w:rFonts w:ascii="Calibri Light" w:hAnsi="Calibri Light" w:cs="Calibri Light"/>
        </w:rPr>
        <w:t xml:space="preserve"> should be assessed </w:t>
      </w:r>
      <w:r w:rsidR="009C4BFB">
        <w:rPr>
          <w:rFonts w:ascii="Calibri Light" w:hAnsi="Calibri Light" w:cs="Calibri Light"/>
        </w:rPr>
        <w:t>against</w:t>
      </w:r>
      <w:r>
        <w:rPr>
          <w:rFonts w:ascii="Calibri Light" w:hAnsi="Calibri Light" w:cs="Calibri Light"/>
        </w:rPr>
        <w:t xml:space="preserve"> a theoretical standard.</w:t>
      </w:r>
      <w:r>
        <w:rPr>
          <w:rStyle w:val="FootnoteReference"/>
          <w:rFonts w:ascii="Calibri Light" w:hAnsi="Calibri Light" w:cs="Calibri Light"/>
        </w:rPr>
        <w:footnoteReference w:id="23"/>
      </w:r>
      <w:r>
        <w:rPr>
          <w:rFonts w:ascii="Calibri Light" w:hAnsi="Calibri Light" w:cs="Calibri Light"/>
        </w:rPr>
        <w:t xml:space="preserve"> </w:t>
      </w:r>
      <w:r w:rsidR="009C4BFB">
        <w:rPr>
          <w:rFonts w:ascii="Calibri Light" w:hAnsi="Calibri Light" w:cs="Calibri Light"/>
        </w:rPr>
        <w:t xml:space="preserve">Nonetheless, </w:t>
      </w:r>
      <w:r w:rsidR="00C174DB">
        <w:rPr>
          <w:rFonts w:ascii="Calibri Light" w:hAnsi="Calibri Light" w:cs="Calibri Light"/>
        </w:rPr>
        <w:t>many have</w:t>
      </w:r>
      <w:r w:rsidR="009C4BFB">
        <w:rPr>
          <w:rFonts w:ascii="Calibri Light" w:hAnsi="Calibri Light" w:cs="Calibri Light"/>
        </w:rPr>
        <w:t xml:space="preserve"> engaged and it would be better to at least try.</w:t>
      </w:r>
    </w:p>
    <w:p w14:paraId="765FDB0F" w14:textId="77777777" w:rsidR="00BA40A5" w:rsidRDefault="00BA40A5" w:rsidP="006E4193">
      <w:pPr>
        <w:spacing w:line="360" w:lineRule="auto"/>
        <w:jc w:val="both"/>
        <w:rPr>
          <w:rFonts w:ascii="Calibri Light" w:hAnsi="Calibri Light" w:cs="Calibri Light"/>
        </w:rPr>
      </w:pPr>
    </w:p>
    <w:p w14:paraId="4C74C001" w14:textId="394790BE" w:rsidR="00BA40A5" w:rsidRDefault="00946CB2" w:rsidP="00E47A73">
      <w:pPr>
        <w:spacing w:line="360" w:lineRule="auto"/>
        <w:jc w:val="both"/>
        <w:rPr>
          <w:rFonts w:ascii="Calibri Light" w:hAnsi="Calibri Light" w:cs="Calibri Light"/>
        </w:rPr>
      </w:pPr>
      <w:r>
        <w:rPr>
          <w:rFonts w:ascii="Calibri Light" w:hAnsi="Calibri Light" w:cs="Calibri Light"/>
        </w:rPr>
        <w:t>A</w:t>
      </w:r>
      <w:r w:rsidR="009C4BFB">
        <w:rPr>
          <w:rFonts w:ascii="Calibri Light" w:hAnsi="Calibri Light" w:cs="Calibri Light"/>
        </w:rPr>
        <w:t xml:space="preserve">ssessing VE against </w:t>
      </w:r>
      <w:r w:rsidR="00E47A73">
        <w:rPr>
          <w:rFonts w:ascii="Calibri Light" w:hAnsi="Calibri Light" w:cs="Calibri Light"/>
        </w:rPr>
        <w:t>conventional</w:t>
      </w:r>
      <w:r w:rsidR="00854D4A">
        <w:rPr>
          <w:rFonts w:ascii="Calibri Light" w:hAnsi="Calibri Light" w:cs="Calibri Light"/>
        </w:rPr>
        <w:t xml:space="preserve"> standards is only going to beg the question</w:t>
      </w:r>
      <w:r w:rsidR="009C4BFB">
        <w:rPr>
          <w:rFonts w:ascii="Calibri Light" w:hAnsi="Calibri Light" w:cs="Calibri Light"/>
        </w:rPr>
        <w:t>.</w:t>
      </w:r>
      <w:r w:rsidR="00C174DB">
        <w:rPr>
          <w:rStyle w:val="FootnoteReference"/>
          <w:rFonts w:ascii="Calibri Light" w:hAnsi="Calibri Light" w:cs="Calibri Light"/>
        </w:rPr>
        <w:footnoteReference w:id="24"/>
      </w:r>
      <w:r w:rsidR="009C4BFB">
        <w:rPr>
          <w:rFonts w:ascii="Calibri Light" w:hAnsi="Calibri Light" w:cs="Calibri Light"/>
        </w:rPr>
        <w:t xml:space="preserve"> </w:t>
      </w:r>
      <w:r w:rsidR="00854D4A">
        <w:rPr>
          <w:rFonts w:ascii="Calibri Light" w:hAnsi="Calibri Light" w:cs="Calibri Light"/>
        </w:rPr>
        <w:t xml:space="preserve">Contrarily, </w:t>
      </w:r>
      <w:r w:rsidR="00E47A73">
        <w:rPr>
          <w:rFonts w:ascii="Calibri Light" w:hAnsi="Calibri Light" w:cs="Calibri Light"/>
        </w:rPr>
        <w:t xml:space="preserve">the </w:t>
      </w:r>
      <w:r w:rsidR="00854D4A">
        <w:rPr>
          <w:rFonts w:ascii="Calibri Light" w:hAnsi="Calibri Light" w:cs="Calibri Light"/>
        </w:rPr>
        <w:t xml:space="preserve">application of an internal standard is </w:t>
      </w:r>
      <w:r w:rsidR="006F12D6">
        <w:rPr>
          <w:rFonts w:ascii="Calibri Light" w:hAnsi="Calibri Light" w:cs="Calibri Light"/>
        </w:rPr>
        <w:t xml:space="preserve">unlikely </w:t>
      </w:r>
      <w:r w:rsidR="00E47A73">
        <w:rPr>
          <w:rFonts w:ascii="Calibri Light" w:hAnsi="Calibri Light" w:cs="Calibri Light"/>
        </w:rPr>
        <w:t>to convince</w:t>
      </w:r>
      <w:r w:rsidR="006F12D6">
        <w:rPr>
          <w:rFonts w:ascii="Calibri Light" w:hAnsi="Calibri Light" w:cs="Calibri Light"/>
        </w:rPr>
        <w:t>.</w:t>
      </w:r>
      <w:r w:rsidR="00C174DB">
        <w:rPr>
          <w:rStyle w:val="FootnoteReference"/>
          <w:rFonts w:ascii="Calibri Light" w:hAnsi="Calibri Light" w:cs="Calibri Light"/>
        </w:rPr>
        <w:footnoteReference w:id="25"/>
      </w:r>
      <w:r w:rsidR="00E47A73">
        <w:rPr>
          <w:rFonts w:ascii="Calibri Light" w:hAnsi="Calibri Light" w:cs="Calibri Light"/>
        </w:rPr>
        <w:t xml:space="preserve"> </w:t>
      </w:r>
      <w:r w:rsidR="00BA40A5">
        <w:rPr>
          <w:rFonts w:ascii="Calibri Light" w:hAnsi="Calibri Light" w:cs="Calibri Light"/>
        </w:rPr>
        <w:t>We need to find a compromise.</w:t>
      </w:r>
    </w:p>
    <w:p w14:paraId="54F38B2D" w14:textId="77777777" w:rsidR="00BA40A5" w:rsidRDefault="00BA40A5" w:rsidP="00555978">
      <w:pPr>
        <w:spacing w:line="360" w:lineRule="auto"/>
        <w:jc w:val="both"/>
        <w:rPr>
          <w:rFonts w:ascii="Calibri Light" w:hAnsi="Calibri Light" w:cs="Calibri Light"/>
        </w:rPr>
      </w:pPr>
    </w:p>
    <w:p w14:paraId="5A3F10F6" w14:textId="5A5B1E4D" w:rsidR="008D00EA" w:rsidRDefault="003B2E94" w:rsidP="00555978">
      <w:pPr>
        <w:spacing w:line="360" w:lineRule="auto"/>
        <w:jc w:val="both"/>
        <w:rPr>
          <w:rFonts w:ascii="Calibri Light" w:hAnsi="Calibri Light" w:cs="Calibri Light"/>
        </w:rPr>
      </w:pPr>
      <w:r w:rsidRPr="00825DDF">
        <w:rPr>
          <w:rFonts w:ascii="Calibri Light" w:hAnsi="Calibri Light" w:cs="Calibri Light"/>
        </w:rPr>
        <w:lastRenderedPageBreak/>
        <w:t>NTs</w:t>
      </w:r>
      <w:r w:rsidR="000F1828" w:rsidRPr="00825DDF">
        <w:rPr>
          <w:rFonts w:ascii="Calibri Light" w:hAnsi="Calibri Light" w:cs="Calibri Light"/>
        </w:rPr>
        <w:t xml:space="preserve"> </w:t>
      </w:r>
      <w:r w:rsidR="008D00EA" w:rsidRPr="00825DDF">
        <w:rPr>
          <w:rFonts w:ascii="Calibri Light" w:hAnsi="Calibri Light" w:cs="Calibri Light"/>
        </w:rPr>
        <w:t xml:space="preserve">are </w:t>
      </w:r>
      <w:r w:rsidR="00555978">
        <w:rPr>
          <w:rFonts w:ascii="Calibri Light" w:hAnsi="Calibri Light" w:cs="Calibri Light"/>
        </w:rPr>
        <w:t>commonly</w:t>
      </w:r>
      <w:r w:rsidR="008D00EA" w:rsidRPr="00825DDF">
        <w:rPr>
          <w:rFonts w:ascii="Calibri Light" w:hAnsi="Calibri Light" w:cs="Calibri Light"/>
        </w:rPr>
        <w:t xml:space="preserve"> assumed to </w:t>
      </w:r>
      <w:r w:rsidR="000F1828" w:rsidRPr="00825DDF">
        <w:rPr>
          <w:rFonts w:ascii="Calibri Light" w:hAnsi="Calibri Light" w:cs="Calibri Light"/>
        </w:rPr>
        <w:t>have a (i) theoretical (‘(T</w:t>
      </w:r>
      <w:r w:rsidR="00E47A73">
        <w:rPr>
          <w:rFonts w:ascii="Calibri Light" w:hAnsi="Calibri Light" w:cs="Calibri Light"/>
        </w:rPr>
        <w:t>P</w:t>
      </w:r>
      <w:r w:rsidR="000F1828" w:rsidRPr="00825DDF">
        <w:rPr>
          <w:rFonts w:ascii="Calibri Light" w:hAnsi="Calibri Light" w:cs="Calibri Light"/>
        </w:rPr>
        <w:t>)’) and (ii) practical (‘(P</w:t>
      </w:r>
      <w:r w:rsidR="00E47A73">
        <w:rPr>
          <w:rFonts w:ascii="Calibri Light" w:hAnsi="Calibri Light" w:cs="Calibri Light"/>
        </w:rPr>
        <w:t>P</w:t>
      </w:r>
      <w:r w:rsidR="000F1828" w:rsidRPr="00825DDF">
        <w:rPr>
          <w:rFonts w:ascii="Calibri Light" w:hAnsi="Calibri Light" w:cs="Calibri Light"/>
        </w:rPr>
        <w:t>)’) role/motivation/aim.</w:t>
      </w:r>
      <w:r w:rsidR="00BA40A5">
        <w:rPr>
          <w:rStyle w:val="FootnoteReference"/>
          <w:rFonts w:ascii="Calibri Light" w:hAnsi="Calibri Light" w:cs="Calibri Light"/>
        </w:rPr>
        <w:footnoteReference w:id="26"/>
      </w:r>
      <w:r w:rsidR="000F1828" w:rsidRPr="00825DDF">
        <w:rPr>
          <w:rFonts w:ascii="Calibri Light" w:hAnsi="Calibri Light" w:cs="Calibri Light"/>
        </w:rPr>
        <w:t xml:space="preserve"> </w:t>
      </w:r>
    </w:p>
    <w:p w14:paraId="2F07F74A" w14:textId="77777777" w:rsidR="00BA40A5" w:rsidRPr="00825DDF" w:rsidRDefault="00BA40A5" w:rsidP="00555978">
      <w:pPr>
        <w:spacing w:line="360" w:lineRule="auto"/>
        <w:jc w:val="both"/>
        <w:rPr>
          <w:rFonts w:ascii="Calibri Light" w:hAnsi="Calibri Light" w:cs="Calibri Light"/>
        </w:rPr>
      </w:pPr>
    </w:p>
    <w:p w14:paraId="3C864173" w14:textId="06CB6F1F" w:rsidR="000F1828" w:rsidRPr="00825DDF" w:rsidRDefault="000F1828" w:rsidP="00555978">
      <w:pPr>
        <w:spacing w:line="360" w:lineRule="auto"/>
        <w:jc w:val="both"/>
        <w:rPr>
          <w:rFonts w:ascii="Calibri Light" w:hAnsi="Calibri Light" w:cs="Calibri Light"/>
        </w:rPr>
      </w:pPr>
      <w:r w:rsidRPr="00825DDF">
        <w:rPr>
          <w:rFonts w:ascii="Calibri Light" w:hAnsi="Calibri Light" w:cs="Calibri Light"/>
        </w:rPr>
        <w:t>To fulfil (</w:t>
      </w:r>
      <w:r w:rsidR="00E47A73">
        <w:rPr>
          <w:rFonts w:ascii="Calibri Light" w:hAnsi="Calibri Light" w:cs="Calibri Light"/>
        </w:rPr>
        <w:t>TP</w:t>
      </w:r>
      <w:r w:rsidRPr="00825DDF">
        <w:rPr>
          <w:rFonts w:ascii="Calibri Light" w:hAnsi="Calibri Light" w:cs="Calibri Light"/>
        </w:rPr>
        <w:t>), an NT is expected to provide an explanatory account of what makes some actions right</w:t>
      </w:r>
      <w:r w:rsidR="00946CB2">
        <w:rPr>
          <w:rFonts w:ascii="Calibri Light" w:hAnsi="Calibri Light" w:cs="Calibri Light"/>
        </w:rPr>
        <w:t>/wrong</w:t>
      </w:r>
      <w:r w:rsidRPr="00825DDF">
        <w:rPr>
          <w:rFonts w:ascii="Calibri Light" w:hAnsi="Calibri Light" w:cs="Calibri Light"/>
        </w:rPr>
        <w:t>. (T</w:t>
      </w:r>
      <w:r w:rsidR="00E47A73">
        <w:rPr>
          <w:rFonts w:ascii="Calibri Light" w:hAnsi="Calibri Light" w:cs="Calibri Light"/>
        </w:rPr>
        <w:t>P</w:t>
      </w:r>
      <w:r w:rsidRPr="00825DDF">
        <w:rPr>
          <w:rFonts w:ascii="Calibri Light" w:hAnsi="Calibri Light" w:cs="Calibri Light"/>
        </w:rPr>
        <w:t xml:space="preserve">) consists of the </w:t>
      </w:r>
      <w:r w:rsidR="00E47A73">
        <w:rPr>
          <w:rFonts w:ascii="Calibri Light" w:hAnsi="Calibri Light" w:cs="Calibri Light"/>
        </w:rPr>
        <w:t>Action</w:t>
      </w:r>
      <w:r w:rsidR="00946CB2">
        <w:rPr>
          <w:rFonts w:ascii="Calibri Light" w:hAnsi="Calibri Light" w:cs="Calibri Light"/>
        </w:rPr>
        <w:t>-</w:t>
      </w:r>
      <w:r w:rsidR="00E47A73">
        <w:rPr>
          <w:rFonts w:ascii="Calibri Light" w:hAnsi="Calibri Light" w:cs="Calibri Light"/>
        </w:rPr>
        <w:t>Theory.</w:t>
      </w:r>
    </w:p>
    <w:p w14:paraId="17FCCB0C" w14:textId="77777777" w:rsidR="00BA40A5" w:rsidRDefault="00BA40A5" w:rsidP="00555978">
      <w:pPr>
        <w:spacing w:line="360" w:lineRule="auto"/>
        <w:jc w:val="both"/>
        <w:rPr>
          <w:rFonts w:ascii="Calibri Light" w:hAnsi="Calibri Light" w:cs="Calibri Light"/>
        </w:rPr>
      </w:pPr>
    </w:p>
    <w:p w14:paraId="2A215247" w14:textId="5417AA93" w:rsidR="00291065" w:rsidRPr="00825DDF" w:rsidRDefault="000F1828" w:rsidP="00555978">
      <w:pPr>
        <w:spacing w:line="360" w:lineRule="auto"/>
        <w:jc w:val="both"/>
        <w:rPr>
          <w:rFonts w:ascii="Calibri Light" w:hAnsi="Calibri Light" w:cs="Calibri Light"/>
        </w:rPr>
      </w:pPr>
      <w:r w:rsidRPr="00825DDF">
        <w:rPr>
          <w:rFonts w:ascii="Calibri Light" w:hAnsi="Calibri Light" w:cs="Calibri Light"/>
        </w:rPr>
        <w:t>To fulfil (P</w:t>
      </w:r>
      <w:r w:rsidR="00E47A73">
        <w:rPr>
          <w:rFonts w:ascii="Calibri Light" w:hAnsi="Calibri Light" w:cs="Calibri Light"/>
        </w:rPr>
        <w:t>P</w:t>
      </w:r>
      <w:r w:rsidRPr="00825DDF">
        <w:rPr>
          <w:rFonts w:ascii="Calibri Light" w:hAnsi="Calibri Light" w:cs="Calibri Light"/>
        </w:rPr>
        <w:t xml:space="preserve">), NTs are expected to have ‘some form of procedure of decision-making </w:t>
      </w:r>
      <w:r w:rsidR="00946CB2">
        <w:rPr>
          <w:rFonts w:ascii="Calibri Light" w:hAnsi="Calibri Light" w:cs="Calibri Light"/>
        </w:rPr>
        <w:t xml:space="preserve">… </w:t>
      </w:r>
      <w:r w:rsidRPr="00825DDF">
        <w:rPr>
          <w:rFonts w:ascii="Calibri Light" w:hAnsi="Calibri Light" w:cs="Calibri Light"/>
        </w:rPr>
        <w:t>for guidance to successful practical reasoning about what to do’.</w:t>
      </w:r>
      <w:r w:rsidRPr="00825DDF">
        <w:rPr>
          <w:rStyle w:val="FootnoteReference"/>
          <w:rFonts w:ascii="Calibri Light" w:hAnsi="Calibri Light" w:cs="Calibri Light"/>
        </w:rPr>
        <w:footnoteReference w:id="27"/>
      </w:r>
      <w:r w:rsidRPr="00825DDF">
        <w:rPr>
          <w:rFonts w:ascii="Calibri Light" w:hAnsi="Calibri Light" w:cs="Calibri Light"/>
        </w:rPr>
        <w:t xml:space="preserve"> </w:t>
      </w:r>
    </w:p>
    <w:p w14:paraId="552D78DE" w14:textId="1A639AA3" w:rsidR="005C3C1E" w:rsidRDefault="008D00EA" w:rsidP="005C3C1E">
      <w:pPr>
        <w:spacing w:line="360" w:lineRule="auto"/>
        <w:jc w:val="both"/>
        <w:rPr>
          <w:rFonts w:ascii="Calibri Light" w:hAnsi="Calibri Light" w:cs="Calibri Light"/>
        </w:rPr>
      </w:pPr>
      <w:r w:rsidRPr="00825DDF">
        <w:rPr>
          <w:rFonts w:ascii="Calibri Light" w:hAnsi="Calibri Light" w:cs="Calibri Light"/>
        </w:rPr>
        <w:t>VE has no interest in satisfying any orthodox formulation of (T</w:t>
      </w:r>
      <w:r w:rsidR="00E47A73">
        <w:rPr>
          <w:rFonts w:ascii="Calibri Light" w:hAnsi="Calibri Light" w:cs="Calibri Light"/>
        </w:rPr>
        <w:t>P</w:t>
      </w:r>
      <w:r w:rsidRPr="00825DDF">
        <w:rPr>
          <w:rFonts w:ascii="Calibri Light" w:hAnsi="Calibri Light" w:cs="Calibri Light"/>
        </w:rPr>
        <w:t>) or (P</w:t>
      </w:r>
      <w:r w:rsidR="00E47A73">
        <w:rPr>
          <w:rFonts w:ascii="Calibri Light" w:hAnsi="Calibri Light" w:cs="Calibri Light"/>
        </w:rPr>
        <w:t>P</w:t>
      </w:r>
      <w:r w:rsidRPr="00825DDF">
        <w:rPr>
          <w:rFonts w:ascii="Calibri Light" w:hAnsi="Calibri Light" w:cs="Calibri Light"/>
        </w:rPr>
        <w:t xml:space="preserve">). </w:t>
      </w:r>
      <w:r w:rsidR="001A747B">
        <w:rPr>
          <w:rFonts w:ascii="Calibri Light" w:hAnsi="Calibri Light" w:cs="Calibri Light"/>
        </w:rPr>
        <w:t xml:space="preserve">It will neither produce Criterion </w:t>
      </w:r>
      <w:r w:rsidR="00CC7559">
        <w:rPr>
          <w:rFonts w:ascii="Calibri Light" w:hAnsi="Calibri Light" w:cs="Calibri Light"/>
        </w:rPr>
        <w:t>n</w:t>
      </w:r>
      <w:r w:rsidR="001A747B">
        <w:rPr>
          <w:rFonts w:ascii="Calibri Light" w:hAnsi="Calibri Light" w:cs="Calibri Light"/>
        </w:rPr>
        <w:t xml:space="preserve">or </w:t>
      </w:r>
      <w:r w:rsidR="00CC7559">
        <w:rPr>
          <w:rFonts w:ascii="Calibri Light" w:hAnsi="Calibri Light" w:cs="Calibri Light"/>
        </w:rPr>
        <w:t>algorithmic</w:t>
      </w:r>
      <w:r w:rsidR="001A747B">
        <w:rPr>
          <w:rFonts w:ascii="Calibri Light" w:hAnsi="Calibri Light" w:cs="Calibri Light"/>
        </w:rPr>
        <w:t xml:space="preserve"> Decision-Procedure.</w:t>
      </w:r>
      <w:r w:rsidR="00CC7559" w:rsidRPr="00CC7559">
        <w:rPr>
          <w:rFonts w:ascii="Calibri Light" w:hAnsi="Calibri Light" w:cs="Calibri Light"/>
        </w:rPr>
        <w:t xml:space="preserve"> </w:t>
      </w:r>
    </w:p>
    <w:p w14:paraId="4CC534E9" w14:textId="77777777" w:rsidR="005C3C1E" w:rsidRPr="00825DDF" w:rsidRDefault="005C3C1E" w:rsidP="00555978">
      <w:pPr>
        <w:spacing w:line="360" w:lineRule="auto"/>
        <w:jc w:val="both"/>
        <w:rPr>
          <w:rFonts w:ascii="Calibri Light" w:hAnsi="Calibri Light" w:cs="Calibri Light"/>
        </w:rPr>
      </w:pPr>
    </w:p>
    <w:p w14:paraId="781C221E" w14:textId="7405987C" w:rsidR="005547C2" w:rsidRPr="00825DDF" w:rsidRDefault="001A747B" w:rsidP="001A747B">
      <w:pPr>
        <w:spacing w:line="360" w:lineRule="auto"/>
        <w:jc w:val="both"/>
        <w:rPr>
          <w:rFonts w:ascii="Calibri Light" w:hAnsi="Calibri Light" w:cs="Calibri Light"/>
        </w:rPr>
      </w:pPr>
      <w:r>
        <w:rPr>
          <w:rFonts w:ascii="Calibri Light" w:hAnsi="Calibri Light" w:cs="Calibri Light"/>
        </w:rPr>
        <w:t>Action-Theories</w:t>
      </w:r>
      <w:r w:rsidR="008D00EA" w:rsidRPr="00825DDF">
        <w:rPr>
          <w:rFonts w:ascii="Calibri Light" w:hAnsi="Calibri Light" w:cs="Calibri Light"/>
        </w:rPr>
        <w:t xml:space="preserve"> </w:t>
      </w:r>
      <w:r w:rsidR="008D00EA" w:rsidRPr="00825DDF">
        <w:rPr>
          <w:rFonts w:ascii="Calibri Light" w:hAnsi="Calibri Light" w:cs="Calibri Light"/>
        </w:rPr>
        <w:t>and</w:t>
      </w:r>
      <w:r w:rsidR="00CC201B">
        <w:rPr>
          <w:rFonts w:ascii="Calibri Light" w:hAnsi="Calibri Light" w:cs="Calibri Light"/>
        </w:rPr>
        <w:t xml:space="preserve"> Action-Guidance </w:t>
      </w:r>
      <w:r w:rsidR="00CC7559">
        <w:rPr>
          <w:rFonts w:ascii="Calibri Light" w:hAnsi="Calibri Light" w:cs="Calibri Light"/>
        </w:rPr>
        <w:t xml:space="preserve">appear to </w:t>
      </w:r>
      <w:r w:rsidR="008D00EA" w:rsidRPr="00825DDF">
        <w:rPr>
          <w:rFonts w:ascii="Calibri Light" w:hAnsi="Calibri Light" w:cs="Calibri Light"/>
        </w:rPr>
        <w:t>map neatly onto (T</w:t>
      </w:r>
      <w:r>
        <w:rPr>
          <w:rFonts w:ascii="Calibri Light" w:hAnsi="Calibri Light" w:cs="Calibri Light"/>
        </w:rPr>
        <w:t>P</w:t>
      </w:r>
      <w:r w:rsidR="008D00EA" w:rsidRPr="00825DDF">
        <w:rPr>
          <w:rFonts w:ascii="Calibri Light" w:hAnsi="Calibri Light" w:cs="Calibri Light"/>
        </w:rPr>
        <w:t>) and (P</w:t>
      </w:r>
      <w:r>
        <w:rPr>
          <w:rFonts w:ascii="Calibri Light" w:hAnsi="Calibri Light" w:cs="Calibri Light"/>
        </w:rPr>
        <w:t>P</w:t>
      </w:r>
      <w:r w:rsidR="008D00EA" w:rsidRPr="00825DDF">
        <w:rPr>
          <w:rFonts w:ascii="Calibri Light" w:hAnsi="Calibri Light" w:cs="Calibri Light"/>
        </w:rPr>
        <w:t xml:space="preserve">) respectively. </w:t>
      </w:r>
      <w:r>
        <w:rPr>
          <w:rFonts w:ascii="Calibri Light" w:hAnsi="Calibri Light" w:cs="Calibri Light"/>
        </w:rPr>
        <w:t xml:space="preserve">Objections to the extensional adequacy of Action-Theories belong to </w:t>
      </w:r>
      <w:r w:rsidR="00CC7559">
        <w:rPr>
          <w:rFonts w:ascii="Calibri Light" w:hAnsi="Calibri Light" w:cs="Calibri Light"/>
        </w:rPr>
        <w:t>(</w:t>
      </w:r>
      <w:r>
        <w:rPr>
          <w:rFonts w:ascii="Calibri Light" w:hAnsi="Calibri Light" w:cs="Calibri Light"/>
        </w:rPr>
        <w:t>TP</w:t>
      </w:r>
      <w:r w:rsidR="00CC7559">
        <w:rPr>
          <w:rFonts w:ascii="Calibri Light" w:hAnsi="Calibri Light" w:cs="Calibri Light"/>
        </w:rPr>
        <w:t>)</w:t>
      </w:r>
      <w:r>
        <w:rPr>
          <w:rFonts w:ascii="Calibri Light" w:hAnsi="Calibri Light" w:cs="Calibri Light"/>
        </w:rPr>
        <w:t xml:space="preserve"> and </w:t>
      </w:r>
      <w:r w:rsidR="00CC201B">
        <w:rPr>
          <w:rFonts w:ascii="Calibri Light" w:hAnsi="Calibri Light" w:cs="Calibri Light"/>
        </w:rPr>
        <w:t>AGO</w:t>
      </w:r>
      <w:r>
        <w:rPr>
          <w:rFonts w:ascii="Calibri Light" w:hAnsi="Calibri Light" w:cs="Calibri Light"/>
        </w:rPr>
        <w:t xml:space="preserve"> to </w:t>
      </w:r>
      <w:r w:rsidR="00CC7559">
        <w:rPr>
          <w:rFonts w:ascii="Calibri Light" w:hAnsi="Calibri Light" w:cs="Calibri Light"/>
        </w:rPr>
        <w:t>(</w:t>
      </w:r>
      <w:r>
        <w:rPr>
          <w:rFonts w:ascii="Calibri Light" w:hAnsi="Calibri Light" w:cs="Calibri Light"/>
        </w:rPr>
        <w:t>PP</w:t>
      </w:r>
      <w:r w:rsidR="00CC7559">
        <w:rPr>
          <w:rFonts w:ascii="Calibri Light" w:hAnsi="Calibri Light" w:cs="Calibri Light"/>
        </w:rPr>
        <w:t>)</w:t>
      </w:r>
      <w:r w:rsidR="008D00EA" w:rsidRPr="00825DDF">
        <w:rPr>
          <w:rFonts w:ascii="Calibri Light" w:hAnsi="Calibri Light" w:cs="Calibri Light"/>
        </w:rPr>
        <w:t>.</w:t>
      </w:r>
      <w:r w:rsidR="008D00EA" w:rsidRPr="00825DDF">
        <w:rPr>
          <w:rStyle w:val="FootnoteReference"/>
          <w:rFonts w:ascii="Calibri Light" w:hAnsi="Calibri Light" w:cs="Calibri Light"/>
        </w:rPr>
        <w:footnoteReference w:id="28"/>
      </w:r>
      <w:r>
        <w:rPr>
          <w:rFonts w:ascii="Calibri Light" w:hAnsi="Calibri Light" w:cs="Calibri Light"/>
        </w:rPr>
        <w:t xml:space="preserve"> </w:t>
      </w:r>
    </w:p>
    <w:p w14:paraId="25F3EB5A" w14:textId="77777777" w:rsidR="001A747B" w:rsidRDefault="001A747B" w:rsidP="001A747B">
      <w:pPr>
        <w:spacing w:line="360" w:lineRule="auto"/>
        <w:jc w:val="both"/>
        <w:rPr>
          <w:rFonts w:ascii="Calibri Light" w:hAnsi="Calibri Light" w:cs="Calibri Light"/>
        </w:rPr>
      </w:pPr>
    </w:p>
    <w:p w14:paraId="0CE3DAA0" w14:textId="4803314D" w:rsidR="00BC67CD" w:rsidRPr="00825DDF" w:rsidRDefault="00CC201B" w:rsidP="001A747B">
      <w:pPr>
        <w:spacing w:line="360" w:lineRule="auto"/>
        <w:jc w:val="both"/>
        <w:rPr>
          <w:rFonts w:ascii="Calibri Light" w:hAnsi="Calibri Light" w:cs="Calibri Light"/>
        </w:rPr>
      </w:pPr>
      <w:r>
        <w:rPr>
          <w:rFonts w:ascii="Calibri Light" w:hAnsi="Calibri Light" w:cs="Calibri Light"/>
        </w:rPr>
        <w:t>But, straddling (TP) and (PP), A</w:t>
      </w:r>
      <w:r w:rsidR="001A747B">
        <w:rPr>
          <w:rFonts w:ascii="Calibri Light" w:hAnsi="Calibri Light" w:cs="Calibri Light"/>
        </w:rPr>
        <w:t xml:space="preserve">ction-Guidance </w:t>
      </w:r>
      <w:r w:rsidR="005547C2" w:rsidRPr="00825DDF">
        <w:rPr>
          <w:rFonts w:ascii="Calibri Light" w:hAnsi="Calibri Light" w:cs="Calibri Light"/>
        </w:rPr>
        <w:t>is not isomorphic with (P</w:t>
      </w:r>
      <w:r w:rsidR="001A747B">
        <w:rPr>
          <w:rFonts w:ascii="Calibri Light" w:hAnsi="Calibri Light" w:cs="Calibri Light"/>
        </w:rPr>
        <w:t>P</w:t>
      </w:r>
      <w:r w:rsidR="005547C2" w:rsidRPr="00825DDF">
        <w:rPr>
          <w:rFonts w:ascii="Calibri Light" w:hAnsi="Calibri Light" w:cs="Calibri Light"/>
        </w:rPr>
        <w:t xml:space="preserve">). </w:t>
      </w:r>
      <w:r w:rsidR="001A747B">
        <w:rPr>
          <w:rFonts w:ascii="Calibri Light" w:hAnsi="Calibri Light" w:cs="Calibri Light"/>
        </w:rPr>
        <w:t>Action-Theories</w:t>
      </w:r>
      <w:r w:rsidR="005547C2" w:rsidRPr="00825DDF">
        <w:rPr>
          <w:rFonts w:ascii="Calibri Light" w:hAnsi="Calibri Light" w:cs="Calibri Light"/>
        </w:rPr>
        <w:t xml:space="preserve"> were produced in answer because </w:t>
      </w:r>
      <w:r>
        <w:rPr>
          <w:rFonts w:ascii="Calibri Light" w:hAnsi="Calibri Light" w:cs="Calibri Light"/>
        </w:rPr>
        <w:t>they</w:t>
      </w:r>
      <w:r w:rsidR="005547C2" w:rsidRPr="00825DDF">
        <w:rPr>
          <w:rFonts w:ascii="Calibri Light" w:hAnsi="Calibri Light" w:cs="Calibri Light"/>
        </w:rPr>
        <w:t xml:space="preserve"> contain, direct and generate A</w:t>
      </w:r>
      <w:r w:rsidR="001A747B">
        <w:rPr>
          <w:rFonts w:ascii="Calibri Light" w:hAnsi="Calibri Light" w:cs="Calibri Light"/>
        </w:rPr>
        <w:t>ction-Guidance</w:t>
      </w:r>
      <w:r w:rsidR="005547C2" w:rsidRPr="00825DDF">
        <w:rPr>
          <w:rFonts w:ascii="Calibri Light" w:hAnsi="Calibri Light" w:cs="Calibri Light"/>
        </w:rPr>
        <w:t xml:space="preserve">. </w:t>
      </w:r>
    </w:p>
    <w:p w14:paraId="636DC4E7" w14:textId="77777777" w:rsidR="00CC201B" w:rsidRDefault="00CC201B" w:rsidP="001A747B">
      <w:pPr>
        <w:spacing w:line="360" w:lineRule="auto"/>
        <w:jc w:val="both"/>
        <w:rPr>
          <w:rFonts w:ascii="Calibri Light" w:hAnsi="Calibri Light" w:cs="Calibri Light"/>
        </w:rPr>
      </w:pPr>
    </w:p>
    <w:p w14:paraId="7E0E89F0" w14:textId="0579D7F9" w:rsidR="008D00EA" w:rsidRDefault="00CB6B02" w:rsidP="001A747B">
      <w:pPr>
        <w:spacing w:line="360" w:lineRule="auto"/>
        <w:jc w:val="both"/>
        <w:rPr>
          <w:rFonts w:ascii="Calibri Light" w:hAnsi="Calibri Light" w:cs="Calibri Light"/>
        </w:rPr>
      </w:pPr>
      <w:r w:rsidRPr="00825DDF">
        <w:rPr>
          <w:rFonts w:ascii="Calibri Light" w:hAnsi="Calibri Light" w:cs="Calibri Light"/>
        </w:rPr>
        <w:t>And yet</w:t>
      </w:r>
      <w:r w:rsidR="008D00EA" w:rsidRPr="00825DDF">
        <w:rPr>
          <w:rFonts w:ascii="Calibri Light" w:hAnsi="Calibri Light" w:cs="Calibri Light"/>
        </w:rPr>
        <w:t xml:space="preserve">, </w:t>
      </w:r>
      <w:r w:rsidR="008D00EA" w:rsidRPr="00825DDF">
        <w:rPr>
          <w:rFonts w:ascii="Calibri Light" w:hAnsi="Calibri Light" w:cs="Calibri Light"/>
        </w:rPr>
        <w:t>(T</w:t>
      </w:r>
      <w:r w:rsidR="001A747B">
        <w:rPr>
          <w:rFonts w:ascii="Calibri Light" w:hAnsi="Calibri Light" w:cs="Calibri Light"/>
        </w:rPr>
        <w:t>P</w:t>
      </w:r>
      <w:r w:rsidR="008D00EA" w:rsidRPr="00825DDF">
        <w:rPr>
          <w:rFonts w:ascii="Calibri Light" w:hAnsi="Calibri Light" w:cs="Calibri Light"/>
        </w:rPr>
        <w:t>) and (P</w:t>
      </w:r>
      <w:r w:rsidR="001A747B">
        <w:rPr>
          <w:rFonts w:ascii="Calibri Light" w:hAnsi="Calibri Light" w:cs="Calibri Light"/>
        </w:rPr>
        <w:t>P</w:t>
      </w:r>
      <w:r w:rsidR="008D00EA" w:rsidRPr="00825DDF">
        <w:rPr>
          <w:rFonts w:ascii="Calibri Light" w:hAnsi="Calibri Light" w:cs="Calibri Light"/>
        </w:rPr>
        <w:t>) are independent.</w:t>
      </w:r>
      <w:r w:rsidR="008D00EA" w:rsidRPr="00825DDF">
        <w:rPr>
          <w:rStyle w:val="FootnoteReference"/>
          <w:rFonts w:ascii="Calibri Light" w:hAnsi="Calibri Light" w:cs="Calibri Light"/>
        </w:rPr>
        <w:footnoteReference w:id="29"/>
      </w:r>
      <w:r w:rsidR="008D00EA" w:rsidRPr="00825DDF">
        <w:rPr>
          <w:rFonts w:ascii="Calibri Light" w:hAnsi="Calibri Light" w:cs="Calibri Light"/>
        </w:rPr>
        <w:t xml:space="preserve">  </w:t>
      </w:r>
      <w:r w:rsidR="00CC201B">
        <w:rPr>
          <w:rFonts w:ascii="Calibri Light" w:hAnsi="Calibri Light" w:cs="Calibri Light"/>
        </w:rPr>
        <w:t>There is no requirement for an Action-Theory</w:t>
      </w:r>
      <w:r w:rsidR="00CC201B" w:rsidRPr="00825DDF">
        <w:rPr>
          <w:rFonts w:ascii="Calibri Light" w:hAnsi="Calibri Light" w:cs="Calibri Light"/>
        </w:rPr>
        <w:t xml:space="preserve"> </w:t>
      </w:r>
      <w:r w:rsidR="00CC201B">
        <w:rPr>
          <w:rFonts w:ascii="Calibri Light" w:hAnsi="Calibri Light" w:cs="Calibri Light"/>
        </w:rPr>
        <w:t>to contain Action-Guidance.</w:t>
      </w:r>
      <w:r w:rsidR="00CC201B">
        <w:rPr>
          <w:rStyle w:val="FootnoteReference"/>
          <w:rFonts w:ascii="Calibri Light" w:hAnsi="Calibri Light" w:cs="Calibri Light"/>
        </w:rPr>
        <w:footnoteReference w:id="30"/>
      </w:r>
      <w:r w:rsidR="00CC201B">
        <w:rPr>
          <w:rFonts w:ascii="Calibri Light" w:hAnsi="Calibri Light" w:cs="Calibri Light"/>
        </w:rPr>
        <w:t xml:space="preserve"> </w:t>
      </w:r>
      <w:r w:rsidR="008D00EA" w:rsidRPr="00825DDF">
        <w:rPr>
          <w:rFonts w:ascii="Calibri Light" w:hAnsi="Calibri Light" w:cs="Calibri Light"/>
        </w:rPr>
        <w:t>A NT can satisfy (T</w:t>
      </w:r>
      <w:r w:rsidR="001A747B">
        <w:rPr>
          <w:rFonts w:ascii="Calibri Light" w:hAnsi="Calibri Light" w:cs="Calibri Light"/>
        </w:rPr>
        <w:t>P</w:t>
      </w:r>
      <w:r w:rsidR="008D00EA" w:rsidRPr="00825DDF">
        <w:rPr>
          <w:rFonts w:ascii="Calibri Light" w:hAnsi="Calibri Light" w:cs="Calibri Light"/>
        </w:rPr>
        <w:t>) and not (P</w:t>
      </w:r>
      <w:r w:rsidR="001A747B">
        <w:rPr>
          <w:rFonts w:ascii="Calibri Light" w:hAnsi="Calibri Light" w:cs="Calibri Light"/>
        </w:rPr>
        <w:t>P</w:t>
      </w:r>
      <w:r w:rsidR="008D00EA" w:rsidRPr="00825DDF">
        <w:rPr>
          <w:rFonts w:ascii="Calibri Light" w:hAnsi="Calibri Light" w:cs="Calibri Light"/>
        </w:rPr>
        <w:t>).</w:t>
      </w:r>
      <w:r w:rsidR="00443BC4">
        <w:rPr>
          <w:rStyle w:val="FootnoteReference"/>
          <w:rFonts w:ascii="Calibri Light" w:hAnsi="Calibri Light" w:cs="Calibri Light"/>
        </w:rPr>
        <w:footnoteReference w:id="31"/>
      </w:r>
      <w:r w:rsidR="008D00EA" w:rsidRPr="00825DDF">
        <w:rPr>
          <w:rFonts w:ascii="Calibri Light" w:hAnsi="Calibri Light" w:cs="Calibri Light"/>
        </w:rPr>
        <w:t xml:space="preserve"> A NT can satisfy (P</w:t>
      </w:r>
      <w:r w:rsidR="001A747B">
        <w:rPr>
          <w:rFonts w:ascii="Calibri Light" w:hAnsi="Calibri Light" w:cs="Calibri Light"/>
        </w:rPr>
        <w:t>P</w:t>
      </w:r>
      <w:r w:rsidR="008D00EA" w:rsidRPr="00825DDF">
        <w:rPr>
          <w:rFonts w:ascii="Calibri Light" w:hAnsi="Calibri Light" w:cs="Calibri Light"/>
        </w:rPr>
        <w:t>) and not (T</w:t>
      </w:r>
      <w:r w:rsidR="001A747B">
        <w:rPr>
          <w:rFonts w:ascii="Calibri Light" w:hAnsi="Calibri Light" w:cs="Calibri Light"/>
        </w:rPr>
        <w:t>P</w:t>
      </w:r>
      <w:r w:rsidR="008D00EA" w:rsidRPr="00825DDF">
        <w:rPr>
          <w:rFonts w:ascii="Calibri Light" w:hAnsi="Calibri Light" w:cs="Calibri Light"/>
        </w:rPr>
        <w:t>).</w:t>
      </w:r>
      <w:r w:rsidR="00443BC4">
        <w:rPr>
          <w:rStyle w:val="FootnoteReference"/>
          <w:rFonts w:ascii="Calibri Light" w:hAnsi="Calibri Light" w:cs="Calibri Light"/>
        </w:rPr>
        <w:footnoteReference w:id="32"/>
      </w:r>
      <w:r w:rsidR="008D00EA" w:rsidRPr="00825DDF">
        <w:rPr>
          <w:rFonts w:ascii="Calibri Light" w:hAnsi="Calibri Light" w:cs="Calibri Light"/>
        </w:rPr>
        <w:t xml:space="preserve"> The content of (T</w:t>
      </w:r>
      <w:r w:rsidR="001A747B">
        <w:rPr>
          <w:rFonts w:ascii="Calibri Light" w:hAnsi="Calibri Light" w:cs="Calibri Light"/>
        </w:rPr>
        <w:t>P</w:t>
      </w:r>
      <w:r w:rsidR="008D00EA" w:rsidRPr="00825DDF">
        <w:rPr>
          <w:rFonts w:ascii="Calibri Light" w:hAnsi="Calibri Light" w:cs="Calibri Light"/>
        </w:rPr>
        <w:t>) can be used to satisfy (P</w:t>
      </w:r>
      <w:r w:rsidR="001A747B">
        <w:rPr>
          <w:rFonts w:ascii="Calibri Light" w:hAnsi="Calibri Light" w:cs="Calibri Light"/>
        </w:rPr>
        <w:t>P</w:t>
      </w:r>
      <w:r w:rsidR="008D00EA" w:rsidRPr="00825DDF">
        <w:rPr>
          <w:rFonts w:ascii="Calibri Light" w:hAnsi="Calibri Light" w:cs="Calibri Light"/>
        </w:rPr>
        <w:t>).</w:t>
      </w:r>
      <w:r w:rsidR="00443BC4">
        <w:rPr>
          <w:rStyle w:val="FootnoteReference"/>
          <w:rFonts w:ascii="Calibri Light" w:hAnsi="Calibri Light" w:cs="Calibri Light"/>
        </w:rPr>
        <w:footnoteReference w:id="33"/>
      </w:r>
      <w:r w:rsidR="008D00EA" w:rsidRPr="00825DDF">
        <w:rPr>
          <w:rFonts w:ascii="Calibri Light" w:hAnsi="Calibri Light" w:cs="Calibri Light"/>
        </w:rPr>
        <w:t xml:space="preserve"> </w:t>
      </w:r>
      <w:r w:rsidR="001A747B">
        <w:rPr>
          <w:rFonts w:ascii="Calibri Light" w:hAnsi="Calibri Light" w:cs="Calibri Light"/>
        </w:rPr>
        <w:t xml:space="preserve">To </w:t>
      </w:r>
      <w:r w:rsidR="00443BC4">
        <w:rPr>
          <w:rFonts w:ascii="Calibri Light" w:hAnsi="Calibri Light" w:cs="Calibri Light"/>
        </w:rPr>
        <w:t>PUWAG</w:t>
      </w:r>
      <w:r w:rsidR="008D00EA" w:rsidRPr="00825DDF">
        <w:rPr>
          <w:rFonts w:ascii="Calibri Light" w:hAnsi="Calibri Light" w:cs="Calibri Light"/>
        </w:rPr>
        <w:t>, VE need only to fulfil (P</w:t>
      </w:r>
      <w:r w:rsidR="001A747B">
        <w:rPr>
          <w:rFonts w:ascii="Calibri Light" w:hAnsi="Calibri Light" w:cs="Calibri Light"/>
        </w:rPr>
        <w:t>P</w:t>
      </w:r>
      <w:r w:rsidR="008D00EA" w:rsidRPr="00825DDF">
        <w:rPr>
          <w:rFonts w:ascii="Calibri Light" w:hAnsi="Calibri Light" w:cs="Calibri Light"/>
        </w:rPr>
        <w:t>)</w:t>
      </w:r>
      <w:r w:rsidR="001A747B">
        <w:rPr>
          <w:rFonts w:ascii="Calibri Light" w:hAnsi="Calibri Light" w:cs="Calibri Light"/>
        </w:rPr>
        <w:t>.</w:t>
      </w:r>
      <w:r w:rsidR="00CC7559">
        <w:rPr>
          <w:rFonts w:ascii="Calibri Light" w:hAnsi="Calibri Light" w:cs="Calibri Light"/>
        </w:rPr>
        <w:t xml:space="preserve"> </w:t>
      </w:r>
    </w:p>
    <w:p w14:paraId="22E3FFFE" w14:textId="77777777" w:rsidR="000C444D" w:rsidRDefault="000C444D" w:rsidP="001A747B">
      <w:pPr>
        <w:spacing w:line="360" w:lineRule="auto"/>
        <w:jc w:val="both"/>
        <w:rPr>
          <w:rFonts w:ascii="Calibri Light" w:hAnsi="Calibri Light" w:cs="Calibri Light"/>
        </w:rPr>
      </w:pPr>
    </w:p>
    <w:p w14:paraId="54301229" w14:textId="4BBE0C62" w:rsidR="00185CF8" w:rsidRPr="00825DDF" w:rsidRDefault="00443BC4" w:rsidP="005C3C1E">
      <w:pPr>
        <w:spacing w:line="360" w:lineRule="auto"/>
        <w:jc w:val="both"/>
        <w:rPr>
          <w:rFonts w:ascii="Calibri Light" w:hAnsi="Calibri Light" w:cs="Calibri Light"/>
        </w:rPr>
      </w:pPr>
      <w:r>
        <w:rPr>
          <w:rFonts w:ascii="Calibri Light" w:hAnsi="Calibri Light" w:cs="Calibri Light"/>
        </w:rPr>
        <w:t>No-one</w:t>
      </w:r>
      <w:r w:rsidR="00CC7559">
        <w:rPr>
          <w:rFonts w:ascii="Calibri Light" w:hAnsi="Calibri Light" w:cs="Calibri Light"/>
        </w:rPr>
        <w:t xml:space="preserve"> </w:t>
      </w:r>
      <w:r>
        <w:rPr>
          <w:rFonts w:ascii="Calibri Light" w:hAnsi="Calibri Light" w:cs="Calibri Light"/>
        </w:rPr>
        <w:t xml:space="preserve">can </w:t>
      </w:r>
      <w:r w:rsidR="00CC7559">
        <w:rPr>
          <w:rFonts w:ascii="Calibri Light" w:hAnsi="Calibri Light" w:cs="Calibri Light"/>
        </w:rPr>
        <w:t>reasonabl</w:t>
      </w:r>
      <w:r>
        <w:rPr>
          <w:rFonts w:ascii="Calibri Light" w:hAnsi="Calibri Light" w:cs="Calibri Light"/>
        </w:rPr>
        <w:t>y</w:t>
      </w:r>
      <w:r w:rsidR="00CC7559">
        <w:rPr>
          <w:rFonts w:ascii="Calibri Light" w:hAnsi="Calibri Light" w:cs="Calibri Light"/>
        </w:rPr>
        <w:t xml:space="preserve"> demand a Decision-Procedure</w:t>
      </w:r>
      <w:r>
        <w:rPr>
          <w:rFonts w:ascii="Calibri Light" w:hAnsi="Calibri Light" w:cs="Calibri Light"/>
        </w:rPr>
        <w:t xml:space="preserve"> today</w:t>
      </w:r>
      <w:r w:rsidR="00CC7559">
        <w:rPr>
          <w:rFonts w:ascii="Calibri Light" w:hAnsi="Calibri Light" w:cs="Calibri Light"/>
        </w:rPr>
        <w:t xml:space="preserve">. </w:t>
      </w:r>
      <w:r>
        <w:rPr>
          <w:rFonts w:ascii="Calibri Light" w:hAnsi="Calibri Light" w:cs="Calibri Light"/>
        </w:rPr>
        <w:t>Many have always thought them insignificant.</w:t>
      </w:r>
      <w:r>
        <w:rPr>
          <w:rStyle w:val="FootnoteReference"/>
          <w:rFonts w:ascii="Calibri Light" w:hAnsi="Calibri Light" w:cs="Calibri Light"/>
        </w:rPr>
        <w:footnoteReference w:id="34"/>
      </w:r>
      <w:r>
        <w:rPr>
          <w:rFonts w:ascii="Calibri Light" w:hAnsi="Calibri Light" w:cs="Calibri Light"/>
        </w:rPr>
        <w:t xml:space="preserve"> </w:t>
      </w:r>
      <w:r w:rsidR="00CC7559">
        <w:rPr>
          <w:rFonts w:ascii="Calibri Light" w:hAnsi="Calibri Light" w:cs="Calibri Light"/>
        </w:rPr>
        <w:t xml:space="preserve">Louden did not </w:t>
      </w:r>
      <w:r>
        <w:rPr>
          <w:rFonts w:ascii="Calibri Light" w:hAnsi="Calibri Light" w:cs="Calibri Light"/>
        </w:rPr>
        <w:t xml:space="preserve">even </w:t>
      </w:r>
      <w:r w:rsidR="005C3C1E">
        <w:rPr>
          <w:rFonts w:ascii="Calibri Light" w:hAnsi="Calibri Light" w:cs="Calibri Light"/>
        </w:rPr>
        <w:t xml:space="preserve">think </w:t>
      </w:r>
      <w:r>
        <w:rPr>
          <w:rFonts w:ascii="Calibri Light" w:hAnsi="Calibri Light" w:cs="Calibri Light"/>
        </w:rPr>
        <w:t>them a requirement</w:t>
      </w:r>
      <w:r w:rsidR="005C3C1E">
        <w:rPr>
          <w:rFonts w:ascii="Calibri Light" w:hAnsi="Calibri Light" w:cs="Calibri Light"/>
        </w:rPr>
        <w:t>.</w:t>
      </w:r>
      <w:r w:rsidR="005243B3" w:rsidRPr="00825DDF">
        <w:rPr>
          <w:rStyle w:val="FootnoteReference"/>
          <w:rFonts w:ascii="Calibri Light" w:hAnsi="Calibri Light" w:cs="Calibri Light"/>
        </w:rPr>
        <w:footnoteReference w:id="35"/>
      </w:r>
      <w:r w:rsidR="005243B3" w:rsidRPr="00825DDF">
        <w:rPr>
          <w:rFonts w:ascii="Calibri Light" w:hAnsi="Calibri Light" w:cs="Calibri Light"/>
        </w:rPr>
        <w:t xml:space="preserve"> </w:t>
      </w:r>
      <w:r w:rsidR="005C3C1E">
        <w:rPr>
          <w:rFonts w:ascii="Calibri Light" w:hAnsi="Calibri Light" w:cs="Calibri Light"/>
        </w:rPr>
        <w:t>But o</w:t>
      </w:r>
      <w:r w:rsidR="00185CF8" w:rsidRPr="00825DDF">
        <w:rPr>
          <w:rFonts w:ascii="Calibri Light" w:hAnsi="Calibri Light" w:cs="Calibri Light"/>
        </w:rPr>
        <w:t>nce</w:t>
      </w:r>
      <w:r>
        <w:rPr>
          <w:rFonts w:ascii="Calibri Light" w:hAnsi="Calibri Light" w:cs="Calibri Light"/>
        </w:rPr>
        <w:t xml:space="preserve"> ‘</w:t>
      </w:r>
      <w:r w:rsidR="00185CF8" w:rsidRPr="00825DDF">
        <w:rPr>
          <w:rFonts w:ascii="Calibri Light" w:hAnsi="Calibri Light" w:cs="Calibri Light"/>
        </w:rPr>
        <w:t>D</w:t>
      </w:r>
      <w:r w:rsidR="005C3C1E">
        <w:rPr>
          <w:rFonts w:ascii="Calibri Light" w:hAnsi="Calibri Light" w:cs="Calibri Light"/>
        </w:rPr>
        <w:t>ecision-</w:t>
      </w:r>
      <w:r w:rsidR="00185CF8" w:rsidRPr="00825DDF">
        <w:rPr>
          <w:rFonts w:ascii="Calibri Light" w:hAnsi="Calibri Light" w:cs="Calibri Light"/>
        </w:rPr>
        <w:t>P</w:t>
      </w:r>
      <w:r w:rsidR="005C3C1E">
        <w:rPr>
          <w:rFonts w:ascii="Calibri Light" w:hAnsi="Calibri Light" w:cs="Calibri Light"/>
        </w:rPr>
        <w:t>rocedure</w:t>
      </w:r>
      <w:r w:rsidR="00185CF8" w:rsidRPr="00825DDF">
        <w:rPr>
          <w:rFonts w:ascii="Calibri Light" w:hAnsi="Calibri Light" w:cs="Calibri Light"/>
        </w:rPr>
        <w:t>’ disappears, there is little sense</w:t>
      </w:r>
      <w:r>
        <w:rPr>
          <w:rFonts w:ascii="Calibri Light" w:hAnsi="Calibri Light" w:cs="Calibri Light"/>
        </w:rPr>
        <w:t>/</w:t>
      </w:r>
      <w:r w:rsidR="00185CF8" w:rsidRPr="00825DDF">
        <w:rPr>
          <w:rFonts w:ascii="Calibri Light" w:hAnsi="Calibri Light" w:cs="Calibri Light"/>
        </w:rPr>
        <w:t xml:space="preserve">consensus of what </w:t>
      </w:r>
      <w:r>
        <w:rPr>
          <w:rFonts w:ascii="Calibri Light" w:hAnsi="Calibri Light" w:cs="Calibri Light"/>
        </w:rPr>
        <w:t>takes</w:t>
      </w:r>
      <w:r w:rsidR="00185CF8" w:rsidRPr="00825DDF">
        <w:rPr>
          <w:rFonts w:ascii="Calibri Light" w:hAnsi="Calibri Light" w:cs="Calibri Light"/>
        </w:rPr>
        <w:t xml:space="preserve"> its place.</w:t>
      </w:r>
    </w:p>
    <w:p w14:paraId="17377147" w14:textId="77777777" w:rsidR="005C3C1E" w:rsidRDefault="005C3C1E" w:rsidP="005C3C1E">
      <w:pPr>
        <w:spacing w:line="360" w:lineRule="auto"/>
        <w:jc w:val="both"/>
        <w:rPr>
          <w:rFonts w:ascii="Calibri Light" w:hAnsi="Calibri Light" w:cs="Calibri Light"/>
        </w:rPr>
      </w:pPr>
    </w:p>
    <w:p w14:paraId="46B49283" w14:textId="212C6C0D" w:rsidR="00185CF8" w:rsidRDefault="00A73D3D" w:rsidP="005C3C1E">
      <w:pPr>
        <w:spacing w:line="360" w:lineRule="auto"/>
        <w:jc w:val="both"/>
        <w:rPr>
          <w:rFonts w:ascii="Calibri Light" w:hAnsi="Calibri Light" w:cs="Calibri Light"/>
        </w:rPr>
      </w:pPr>
      <w:r>
        <w:rPr>
          <w:rFonts w:ascii="Calibri Light" w:hAnsi="Calibri Light" w:cs="Calibri Light"/>
        </w:rPr>
        <w:t>As for</w:t>
      </w:r>
      <w:r w:rsidR="00185CF8" w:rsidRPr="00825DDF">
        <w:rPr>
          <w:rFonts w:ascii="Calibri Light" w:hAnsi="Calibri Light" w:cs="Calibri Light"/>
        </w:rPr>
        <w:t xml:space="preserve"> </w:t>
      </w:r>
      <w:r>
        <w:rPr>
          <w:rFonts w:ascii="Calibri Light" w:hAnsi="Calibri Light" w:cs="Calibri Light"/>
        </w:rPr>
        <w:t xml:space="preserve">the </w:t>
      </w:r>
      <w:r w:rsidR="007D134E">
        <w:rPr>
          <w:rFonts w:ascii="Calibri Light" w:hAnsi="Calibri Light" w:cs="Calibri Light"/>
        </w:rPr>
        <w:t>paradigm</w:t>
      </w:r>
      <w:r>
        <w:rPr>
          <w:rFonts w:ascii="Calibri Light" w:hAnsi="Calibri Light" w:cs="Calibri Light"/>
        </w:rPr>
        <w:t xml:space="preserve">, the </w:t>
      </w:r>
      <w:r w:rsidR="00185CF8" w:rsidRPr="00825DDF">
        <w:rPr>
          <w:rFonts w:ascii="Calibri Light" w:hAnsi="Calibri Light" w:cs="Calibri Light"/>
        </w:rPr>
        <w:t>Categorical Imperative</w:t>
      </w:r>
      <w:r>
        <w:rPr>
          <w:rFonts w:ascii="Calibri Light" w:hAnsi="Calibri Light" w:cs="Calibri Light"/>
        </w:rPr>
        <w:t xml:space="preserve"> is imprecise and impressionable</w:t>
      </w:r>
      <w:r w:rsidR="005C3C1E">
        <w:rPr>
          <w:rFonts w:ascii="Calibri Light" w:hAnsi="Calibri Light" w:cs="Calibri Light"/>
        </w:rPr>
        <w:t>.</w:t>
      </w:r>
      <w:r w:rsidR="00DF5937">
        <w:rPr>
          <w:rStyle w:val="FootnoteReference"/>
          <w:rFonts w:ascii="Calibri Light" w:hAnsi="Calibri Light" w:cs="Calibri Light"/>
        </w:rPr>
        <w:footnoteReference w:id="36"/>
      </w:r>
      <w:r w:rsidR="00185CF8" w:rsidRPr="00825DDF">
        <w:rPr>
          <w:rFonts w:ascii="Calibri Light" w:hAnsi="Calibri Light" w:cs="Calibri Light"/>
        </w:rPr>
        <w:t xml:space="preserve"> </w:t>
      </w:r>
      <w:r>
        <w:rPr>
          <w:rFonts w:ascii="Calibri Light" w:hAnsi="Calibri Light" w:cs="Calibri Light"/>
        </w:rPr>
        <w:t>It demands p</w:t>
      </w:r>
      <w:r w:rsidR="00185CF8" w:rsidRPr="00825DDF">
        <w:rPr>
          <w:rFonts w:ascii="Calibri Light" w:hAnsi="Calibri Light" w:cs="Calibri Light"/>
        </w:rPr>
        <w:t xml:space="preserve">ractical reason </w:t>
      </w:r>
      <w:r w:rsidR="00DF5937">
        <w:rPr>
          <w:rFonts w:ascii="Calibri Light" w:hAnsi="Calibri Light" w:cs="Calibri Light"/>
        </w:rPr>
        <w:t xml:space="preserve">forms no part of the schema yet is plainly required. The Decision-Procedure is not always required. </w:t>
      </w:r>
      <w:r w:rsidR="002A38A6">
        <w:rPr>
          <w:rFonts w:ascii="Calibri Light" w:hAnsi="Calibri Light" w:cs="Calibri Light"/>
        </w:rPr>
        <w:t>Practical Reason is needed but unaccommodated. It does not</w:t>
      </w:r>
      <w:r w:rsidR="00DF5937">
        <w:rPr>
          <w:rFonts w:ascii="Calibri Light" w:hAnsi="Calibri Light" w:cs="Calibri Light"/>
        </w:rPr>
        <w:t xml:space="preserve"> even </w:t>
      </w:r>
      <w:r w:rsidR="002A38A6">
        <w:rPr>
          <w:rFonts w:ascii="Calibri Light" w:hAnsi="Calibri Light" w:cs="Calibri Light"/>
        </w:rPr>
        <w:t xml:space="preserve">seem </w:t>
      </w:r>
      <w:r w:rsidR="00DF5937">
        <w:rPr>
          <w:rFonts w:ascii="Calibri Light" w:hAnsi="Calibri Light" w:cs="Calibri Light"/>
        </w:rPr>
        <w:t xml:space="preserve">necessary.  </w:t>
      </w:r>
    </w:p>
    <w:p w14:paraId="65839D9D" w14:textId="77777777" w:rsidR="00324E6C" w:rsidRPr="00825DDF" w:rsidRDefault="00324E6C" w:rsidP="005C3C1E">
      <w:pPr>
        <w:spacing w:line="360" w:lineRule="auto"/>
        <w:jc w:val="both"/>
        <w:rPr>
          <w:rFonts w:ascii="Calibri Light" w:hAnsi="Calibri Light" w:cs="Calibri Light"/>
        </w:rPr>
      </w:pPr>
    </w:p>
    <w:p w14:paraId="5A925950" w14:textId="0DC4C325" w:rsidR="00B30C61" w:rsidRDefault="002A38A6" w:rsidP="00DF5937">
      <w:pPr>
        <w:spacing w:line="360" w:lineRule="auto"/>
        <w:jc w:val="both"/>
        <w:rPr>
          <w:rFonts w:ascii="Calibri Light" w:hAnsi="Calibri Light" w:cs="Calibri Light"/>
        </w:rPr>
      </w:pPr>
      <w:r>
        <w:rPr>
          <w:rFonts w:ascii="Calibri Light" w:hAnsi="Calibri Light" w:cs="Calibri Light"/>
        </w:rPr>
        <w:t xml:space="preserve">Act-Utilitarianism </w:t>
      </w:r>
      <w:r w:rsidR="00185CF8" w:rsidRPr="00825DDF">
        <w:rPr>
          <w:rFonts w:ascii="Calibri Light" w:hAnsi="Calibri Light" w:cs="Calibri Light"/>
        </w:rPr>
        <w:t>has no D</w:t>
      </w:r>
      <w:r w:rsidR="00DF5937">
        <w:rPr>
          <w:rFonts w:ascii="Calibri Light" w:hAnsi="Calibri Light" w:cs="Calibri Light"/>
        </w:rPr>
        <w:t>ecision-</w:t>
      </w:r>
      <w:r w:rsidR="00185CF8" w:rsidRPr="00825DDF">
        <w:rPr>
          <w:rFonts w:ascii="Calibri Light" w:hAnsi="Calibri Light" w:cs="Calibri Light"/>
        </w:rPr>
        <w:t>P</w:t>
      </w:r>
      <w:r w:rsidR="00DF5937">
        <w:rPr>
          <w:rFonts w:ascii="Calibri Light" w:hAnsi="Calibri Light" w:cs="Calibri Light"/>
        </w:rPr>
        <w:t>rocedure</w:t>
      </w:r>
      <w:r w:rsidR="00185CF8" w:rsidRPr="00825DDF">
        <w:rPr>
          <w:rFonts w:ascii="Calibri Light" w:hAnsi="Calibri Light" w:cs="Calibri Light"/>
        </w:rPr>
        <w:t>.</w:t>
      </w:r>
      <w:r w:rsidR="00B30C61">
        <w:rPr>
          <w:rStyle w:val="FootnoteReference"/>
          <w:rFonts w:ascii="Calibri Light" w:hAnsi="Calibri Light" w:cs="Calibri Light"/>
        </w:rPr>
        <w:footnoteReference w:id="37"/>
      </w:r>
      <w:r w:rsidR="00185CF8" w:rsidRPr="00825DDF">
        <w:rPr>
          <w:rFonts w:ascii="Calibri Light" w:hAnsi="Calibri Light" w:cs="Calibri Light"/>
        </w:rPr>
        <w:t xml:space="preserve"> The responses to </w:t>
      </w:r>
      <w:r w:rsidR="00DF5937">
        <w:rPr>
          <w:rFonts w:ascii="Calibri Light" w:hAnsi="Calibri Light" w:cs="Calibri Light"/>
        </w:rPr>
        <w:t>A</w:t>
      </w:r>
      <w:r>
        <w:rPr>
          <w:rFonts w:ascii="Calibri Light" w:hAnsi="Calibri Light" w:cs="Calibri Light"/>
        </w:rPr>
        <w:t>ct-Utilitarianism’</w:t>
      </w:r>
      <w:r w:rsidR="00DF5937">
        <w:rPr>
          <w:rFonts w:ascii="Calibri Light" w:hAnsi="Calibri Light" w:cs="Calibri Light"/>
        </w:rPr>
        <w:t>s</w:t>
      </w:r>
      <w:r>
        <w:rPr>
          <w:rFonts w:ascii="Calibri Light" w:hAnsi="Calibri Light" w:cs="Calibri Light"/>
        </w:rPr>
        <w:t xml:space="preserve"> AGO</w:t>
      </w:r>
      <w:r w:rsidR="00185CF8" w:rsidRPr="00825DDF">
        <w:rPr>
          <w:rFonts w:ascii="Calibri Light" w:hAnsi="Calibri Light" w:cs="Calibri Light"/>
        </w:rPr>
        <w:t xml:space="preserve"> </w:t>
      </w:r>
      <w:r>
        <w:rPr>
          <w:rFonts w:ascii="Calibri Light" w:hAnsi="Calibri Light" w:cs="Calibri Light"/>
        </w:rPr>
        <w:t xml:space="preserve">do not </w:t>
      </w:r>
      <w:r w:rsidR="00DF5937">
        <w:rPr>
          <w:rFonts w:ascii="Calibri Light" w:hAnsi="Calibri Light" w:cs="Calibri Light"/>
        </w:rPr>
        <w:t>suggest</w:t>
      </w:r>
      <w:r w:rsidR="00185CF8" w:rsidRPr="00825DDF">
        <w:rPr>
          <w:rFonts w:ascii="Calibri Light" w:hAnsi="Calibri Light" w:cs="Calibri Light"/>
        </w:rPr>
        <w:t xml:space="preserve"> a unified concept.</w:t>
      </w:r>
      <w:r w:rsidR="00185CF8" w:rsidRPr="00825DDF">
        <w:rPr>
          <w:rStyle w:val="FootnoteReference"/>
          <w:rFonts w:ascii="Calibri Light" w:hAnsi="Calibri Light" w:cs="Calibri Light"/>
        </w:rPr>
        <w:footnoteReference w:id="38"/>
      </w:r>
      <w:r w:rsidR="00185CF8" w:rsidRPr="00825DDF">
        <w:rPr>
          <w:rFonts w:ascii="Calibri Light" w:hAnsi="Calibri Light" w:cs="Calibri Light"/>
        </w:rPr>
        <w:t xml:space="preserve"> </w:t>
      </w:r>
    </w:p>
    <w:p w14:paraId="525CFBAE" w14:textId="77777777" w:rsidR="00185CF8" w:rsidRPr="00825DDF" w:rsidRDefault="00185CF8" w:rsidP="00825DDF">
      <w:pPr>
        <w:spacing w:line="360" w:lineRule="auto"/>
        <w:jc w:val="both"/>
        <w:rPr>
          <w:rFonts w:ascii="Calibri Light" w:hAnsi="Calibri Light" w:cs="Calibri Light"/>
        </w:rPr>
      </w:pPr>
    </w:p>
    <w:p w14:paraId="58FC2F39" w14:textId="35EC5E2A" w:rsidR="000C444D" w:rsidRDefault="009067AC" w:rsidP="00DF5937">
      <w:pPr>
        <w:spacing w:line="360" w:lineRule="auto"/>
        <w:jc w:val="both"/>
        <w:rPr>
          <w:rFonts w:ascii="Calibri Light" w:hAnsi="Calibri Light" w:cs="Calibri Light"/>
        </w:rPr>
      </w:pPr>
      <w:r w:rsidRPr="00825DDF">
        <w:rPr>
          <w:rFonts w:ascii="Calibri Light" w:hAnsi="Calibri Light" w:cs="Calibri Light"/>
        </w:rPr>
        <w:t xml:space="preserve">We can rule out </w:t>
      </w:r>
      <w:r w:rsidR="00DF5937">
        <w:rPr>
          <w:rFonts w:ascii="Calibri Light" w:hAnsi="Calibri Light" w:cs="Calibri Light"/>
        </w:rPr>
        <w:t xml:space="preserve">alternative </w:t>
      </w:r>
      <w:r w:rsidRPr="00825DDF">
        <w:rPr>
          <w:rFonts w:ascii="Calibri Light" w:hAnsi="Calibri Light" w:cs="Calibri Light"/>
        </w:rPr>
        <w:t xml:space="preserve">standards </w:t>
      </w:r>
      <w:r w:rsidR="00DF5937">
        <w:rPr>
          <w:rFonts w:ascii="Calibri Light" w:hAnsi="Calibri Light" w:cs="Calibri Light"/>
        </w:rPr>
        <w:t>which include</w:t>
      </w:r>
      <w:r w:rsidRPr="00825DDF">
        <w:rPr>
          <w:rFonts w:ascii="Calibri Light" w:hAnsi="Calibri Light" w:cs="Calibri Light"/>
        </w:rPr>
        <w:t xml:space="preserve"> notions of rightness, demands </w:t>
      </w:r>
      <w:r w:rsidR="00810863">
        <w:rPr>
          <w:rFonts w:ascii="Calibri Light" w:hAnsi="Calibri Light" w:cs="Calibri Light"/>
        </w:rPr>
        <w:t>singularity</w:t>
      </w:r>
      <w:r w:rsidR="00DF5937">
        <w:rPr>
          <w:rFonts w:ascii="Calibri Light" w:hAnsi="Calibri Light" w:cs="Calibri Light"/>
        </w:rPr>
        <w:t xml:space="preserve">, </w:t>
      </w:r>
      <w:r w:rsidR="00810863">
        <w:rPr>
          <w:rFonts w:ascii="Calibri Light" w:hAnsi="Calibri Light" w:cs="Calibri Light"/>
        </w:rPr>
        <w:t>or</w:t>
      </w:r>
      <w:r w:rsidRPr="00825DDF">
        <w:rPr>
          <w:rFonts w:ascii="Calibri Light" w:hAnsi="Calibri Light" w:cs="Calibri Light"/>
        </w:rPr>
        <w:t xml:space="preserve"> excellence.</w:t>
      </w:r>
      <w:r w:rsidR="00B30C61" w:rsidRPr="00825DDF">
        <w:rPr>
          <w:rStyle w:val="FootnoteReference"/>
          <w:rFonts w:ascii="Calibri Light" w:hAnsi="Calibri Light" w:cs="Calibri Light"/>
        </w:rPr>
        <w:footnoteReference w:id="39"/>
      </w:r>
      <w:r w:rsidR="00B30C61">
        <w:rPr>
          <w:rFonts w:ascii="Calibri Light" w:hAnsi="Calibri Light" w:cs="Calibri Light"/>
        </w:rPr>
        <w:t xml:space="preserve">  </w:t>
      </w:r>
    </w:p>
    <w:p w14:paraId="3C284AE5" w14:textId="77777777" w:rsidR="000C444D" w:rsidRDefault="000C444D" w:rsidP="00DF5937">
      <w:pPr>
        <w:spacing w:line="360" w:lineRule="auto"/>
        <w:jc w:val="both"/>
        <w:rPr>
          <w:rFonts w:ascii="Calibri Light" w:hAnsi="Calibri Light" w:cs="Calibri Light"/>
        </w:rPr>
      </w:pPr>
    </w:p>
    <w:p w14:paraId="5472AEDA" w14:textId="4FDFC4DE" w:rsidR="000C444D" w:rsidRDefault="009067AC" w:rsidP="000C444D">
      <w:pPr>
        <w:spacing w:line="360" w:lineRule="auto"/>
        <w:jc w:val="both"/>
        <w:rPr>
          <w:rFonts w:ascii="Calibri Light" w:hAnsi="Calibri Light" w:cs="Calibri Light"/>
        </w:rPr>
      </w:pPr>
      <w:r w:rsidRPr="00825DDF">
        <w:rPr>
          <w:rFonts w:ascii="Calibri Light" w:hAnsi="Calibri Light" w:cs="Calibri Light"/>
        </w:rPr>
        <w:t xml:space="preserve">There is no </w:t>
      </w:r>
      <w:r w:rsidRPr="00825DDF">
        <w:rPr>
          <w:rFonts w:ascii="Calibri Light" w:hAnsi="Calibri Light" w:cs="Calibri Light"/>
        </w:rPr>
        <w:t>alternative</w:t>
      </w:r>
      <w:r w:rsidRPr="00825DDF">
        <w:rPr>
          <w:rFonts w:ascii="Calibri Light" w:hAnsi="Calibri Light" w:cs="Calibri Light"/>
        </w:rPr>
        <w:t xml:space="preserve"> for </w:t>
      </w:r>
      <w:r w:rsidR="000C444D">
        <w:rPr>
          <w:rFonts w:ascii="Calibri Light" w:hAnsi="Calibri Light" w:cs="Calibri Light"/>
        </w:rPr>
        <w:t>a Decision-Procedure</w:t>
      </w:r>
      <w:r w:rsidRPr="00825DDF">
        <w:rPr>
          <w:rFonts w:ascii="Calibri Light" w:hAnsi="Calibri Light" w:cs="Calibri Light"/>
        </w:rPr>
        <w:t xml:space="preserve"> which is unambiguous, non-arbitrary and neutral.</w:t>
      </w:r>
      <w:r w:rsidRPr="00825DDF">
        <w:rPr>
          <w:rFonts w:ascii="Calibri Light" w:hAnsi="Calibri Light" w:cs="Calibri Light"/>
        </w:rPr>
        <w:t xml:space="preserve"> None are authoritative.</w:t>
      </w:r>
      <w:r w:rsidRPr="00825DDF">
        <w:rPr>
          <w:rFonts w:ascii="Calibri Light" w:hAnsi="Calibri Light" w:cs="Calibri Light"/>
        </w:rPr>
        <w:t xml:space="preserve"> </w:t>
      </w:r>
      <w:r w:rsidR="00BC49B5">
        <w:rPr>
          <w:rFonts w:ascii="Calibri Light" w:hAnsi="Calibri Light" w:cs="Calibri Light"/>
        </w:rPr>
        <w:t>So too, a</w:t>
      </w:r>
      <w:r w:rsidR="000C444D">
        <w:rPr>
          <w:rFonts w:ascii="Calibri Light" w:hAnsi="Calibri Light" w:cs="Calibri Light"/>
        </w:rPr>
        <w:t xml:space="preserve">ny standard we </w:t>
      </w:r>
      <w:r w:rsidR="00BC49B5">
        <w:rPr>
          <w:rFonts w:ascii="Calibri Light" w:hAnsi="Calibri Light" w:cs="Calibri Light"/>
        </w:rPr>
        <w:t>choose.</w:t>
      </w:r>
    </w:p>
    <w:p w14:paraId="07269653" w14:textId="77777777" w:rsidR="000C444D" w:rsidRDefault="000C444D" w:rsidP="000C444D">
      <w:pPr>
        <w:spacing w:line="360" w:lineRule="auto"/>
        <w:jc w:val="both"/>
        <w:rPr>
          <w:rFonts w:ascii="Calibri Light" w:hAnsi="Calibri Light" w:cs="Calibri Light"/>
        </w:rPr>
      </w:pPr>
    </w:p>
    <w:p w14:paraId="79338E2F" w14:textId="032C302B" w:rsidR="00DE31AF" w:rsidRPr="00825DDF" w:rsidRDefault="009067AC" w:rsidP="000C444D">
      <w:pPr>
        <w:spacing w:line="360" w:lineRule="auto"/>
        <w:jc w:val="both"/>
        <w:rPr>
          <w:rFonts w:ascii="Calibri Light" w:hAnsi="Calibri Light" w:cs="Calibri Light"/>
        </w:rPr>
      </w:pPr>
      <w:r w:rsidRPr="00825DDF">
        <w:rPr>
          <w:rFonts w:ascii="Calibri Light" w:hAnsi="Calibri Light" w:cs="Calibri Light"/>
        </w:rPr>
        <w:t xml:space="preserve">I suggest that </w:t>
      </w:r>
      <w:r w:rsidR="000C444D">
        <w:rPr>
          <w:rFonts w:ascii="Calibri Light" w:hAnsi="Calibri Light" w:cs="Calibri Light"/>
        </w:rPr>
        <w:t>“Not-a-Decision-Procedure!” (“NAD</w:t>
      </w:r>
      <w:r w:rsidR="00972CB1">
        <w:rPr>
          <w:rFonts w:ascii="Calibri Light" w:hAnsi="Calibri Light" w:cs="Calibri Light"/>
        </w:rPr>
        <w:t>P!</w:t>
      </w:r>
      <w:r w:rsidR="000C444D">
        <w:rPr>
          <w:rFonts w:ascii="Calibri Light" w:hAnsi="Calibri Light" w:cs="Calibri Light"/>
        </w:rPr>
        <w:t xml:space="preserve">”) </w:t>
      </w:r>
      <w:r w:rsidRPr="00825DDF">
        <w:rPr>
          <w:rFonts w:ascii="Calibri Light" w:hAnsi="Calibri Light" w:cs="Calibri Light"/>
        </w:rPr>
        <w:t xml:space="preserve">should be a considered epistemological framework available to the ordinary </w:t>
      </w:r>
      <w:r w:rsidR="00BC49B5">
        <w:rPr>
          <w:rFonts w:ascii="Calibri Light" w:hAnsi="Calibri Light" w:cs="Calibri Light"/>
        </w:rPr>
        <w:t>a</w:t>
      </w:r>
      <w:r w:rsidR="00972CB1">
        <w:rPr>
          <w:rFonts w:ascii="Calibri Light" w:hAnsi="Calibri Light" w:cs="Calibri Light"/>
        </w:rPr>
        <w:t>gent</w:t>
      </w:r>
      <w:r w:rsidR="00BC49B5">
        <w:rPr>
          <w:rFonts w:ascii="Calibri Light" w:hAnsi="Calibri Light" w:cs="Calibri Light"/>
        </w:rPr>
        <w:t xml:space="preserve"> </w:t>
      </w:r>
      <w:r w:rsidRPr="00825DDF">
        <w:rPr>
          <w:rFonts w:ascii="Calibri Light" w:hAnsi="Calibri Light" w:cs="Calibri Light"/>
        </w:rPr>
        <w:t xml:space="preserve">(who need not </w:t>
      </w:r>
      <w:r w:rsidR="00BC49B5">
        <w:rPr>
          <w:rFonts w:ascii="Calibri Light" w:hAnsi="Calibri Light" w:cs="Calibri Light"/>
        </w:rPr>
        <w:t>be committed to the</w:t>
      </w:r>
      <w:r w:rsidRPr="00825DDF">
        <w:rPr>
          <w:rFonts w:ascii="Calibri Light" w:hAnsi="Calibri Light" w:cs="Calibri Light"/>
        </w:rPr>
        <w:t xml:space="preserve"> NT) at the level of critical reflection </w:t>
      </w:r>
      <w:r w:rsidR="00BC49B5">
        <w:rPr>
          <w:rFonts w:ascii="Calibri Light" w:hAnsi="Calibri Light" w:cs="Calibri Light"/>
        </w:rPr>
        <w:t>to</w:t>
      </w:r>
      <w:r w:rsidRPr="00825DDF">
        <w:rPr>
          <w:rFonts w:ascii="Calibri Light" w:hAnsi="Calibri Light" w:cs="Calibri Light"/>
        </w:rPr>
        <w:t xml:space="preserve"> negotiate</w:t>
      </w:r>
      <w:r w:rsidR="00BC49B5">
        <w:rPr>
          <w:rFonts w:ascii="Calibri Light" w:hAnsi="Calibri Light" w:cs="Calibri Light"/>
        </w:rPr>
        <w:t xml:space="preserve"> problems</w:t>
      </w:r>
      <w:r w:rsidRPr="00825DDF">
        <w:rPr>
          <w:rFonts w:ascii="Calibri Light" w:hAnsi="Calibri Light" w:cs="Calibri Light"/>
        </w:rPr>
        <w:t>.</w:t>
      </w:r>
      <w:r w:rsidRPr="00825DDF">
        <w:rPr>
          <w:rStyle w:val="FootnoteReference"/>
          <w:rFonts w:ascii="Calibri Light" w:hAnsi="Calibri Light" w:cs="Calibri Light"/>
        </w:rPr>
        <w:footnoteReference w:id="40"/>
      </w:r>
      <w:r w:rsidRPr="00825DDF">
        <w:rPr>
          <w:rFonts w:ascii="Calibri Light" w:hAnsi="Calibri Light" w:cs="Calibri Light"/>
        </w:rPr>
        <w:t xml:space="preserve"> A repeatable method which </w:t>
      </w:r>
      <w:r w:rsidR="000C444D">
        <w:rPr>
          <w:rFonts w:ascii="Calibri Light" w:hAnsi="Calibri Light" w:cs="Calibri Light"/>
        </w:rPr>
        <w:t>can</w:t>
      </w:r>
      <w:r w:rsidRPr="00825DDF">
        <w:rPr>
          <w:rFonts w:ascii="Calibri Light" w:hAnsi="Calibri Light" w:cs="Calibri Light"/>
        </w:rPr>
        <w:t xml:space="preserve"> </w:t>
      </w:r>
      <w:r w:rsidR="000C444D">
        <w:rPr>
          <w:rFonts w:ascii="Calibri Light" w:hAnsi="Calibri Light" w:cs="Calibri Light"/>
        </w:rPr>
        <w:t>lead to</w:t>
      </w:r>
      <w:r w:rsidRPr="00825DDF">
        <w:rPr>
          <w:rFonts w:ascii="Calibri Light" w:hAnsi="Calibri Light" w:cs="Calibri Light"/>
        </w:rPr>
        <w:t xml:space="preserve"> decisions answer</w:t>
      </w:r>
      <w:r w:rsidR="000C444D">
        <w:rPr>
          <w:rFonts w:ascii="Calibri Light" w:hAnsi="Calibri Light" w:cs="Calibri Light"/>
        </w:rPr>
        <w:t>able</w:t>
      </w:r>
      <w:r w:rsidRPr="00825DDF">
        <w:rPr>
          <w:rFonts w:ascii="Calibri Light" w:hAnsi="Calibri Light" w:cs="Calibri Light"/>
        </w:rPr>
        <w:t xml:space="preserve"> to the description ‘correct’. A</w:t>
      </w:r>
      <w:r w:rsidR="000C444D">
        <w:rPr>
          <w:rFonts w:ascii="Calibri Light" w:hAnsi="Calibri Light" w:cs="Calibri Light"/>
        </w:rPr>
        <w:t>ny</w:t>
      </w:r>
      <w:r w:rsidRPr="00825DDF">
        <w:rPr>
          <w:rFonts w:ascii="Calibri Light" w:hAnsi="Calibri Light" w:cs="Calibri Light"/>
        </w:rPr>
        <w:t xml:space="preserve"> </w:t>
      </w:r>
      <w:r w:rsidR="000C444D">
        <w:rPr>
          <w:rFonts w:ascii="Calibri Light" w:hAnsi="Calibri Light" w:cs="Calibri Light"/>
        </w:rPr>
        <w:t>NA</w:t>
      </w:r>
      <w:r w:rsidR="00972CB1">
        <w:rPr>
          <w:rFonts w:ascii="Calibri Light" w:hAnsi="Calibri Light" w:cs="Calibri Light"/>
        </w:rPr>
        <w:t>DP!</w:t>
      </w:r>
      <w:r w:rsidR="000C444D">
        <w:rPr>
          <w:rFonts w:ascii="Calibri Light" w:hAnsi="Calibri Light" w:cs="Calibri Light"/>
        </w:rPr>
        <w:t xml:space="preserve"> </w:t>
      </w:r>
      <w:r w:rsidR="00BC49B5">
        <w:rPr>
          <w:rFonts w:ascii="Calibri Light" w:hAnsi="Calibri Light" w:cs="Calibri Light"/>
        </w:rPr>
        <w:t>allows</w:t>
      </w:r>
      <w:r w:rsidR="000C444D">
        <w:rPr>
          <w:rFonts w:ascii="Calibri Light" w:hAnsi="Calibri Light" w:cs="Calibri Light"/>
        </w:rPr>
        <w:t xml:space="preserve"> that</w:t>
      </w:r>
      <w:r w:rsidRPr="00825DDF">
        <w:rPr>
          <w:rFonts w:ascii="Calibri Light" w:hAnsi="Calibri Light" w:cs="Calibri Light"/>
        </w:rPr>
        <w:t xml:space="preserve"> </w:t>
      </w:r>
      <w:r w:rsidR="000C444D" w:rsidRPr="00825DDF">
        <w:rPr>
          <w:rFonts w:ascii="Calibri Light" w:hAnsi="Calibri Light" w:cs="Calibri Light"/>
        </w:rPr>
        <w:t xml:space="preserve">the best method for </w:t>
      </w:r>
      <w:r w:rsidR="000C444D">
        <w:rPr>
          <w:rFonts w:ascii="Calibri Light" w:hAnsi="Calibri Light" w:cs="Calibri Light"/>
        </w:rPr>
        <w:t>applying a theory</w:t>
      </w:r>
      <w:r w:rsidR="000C444D" w:rsidRPr="00825DDF">
        <w:rPr>
          <w:rFonts w:ascii="Calibri Light" w:hAnsi="Calibri Light" w:cs="Calibri Light"/>
        </w:rPr>
        <w:t xml:space="preserve"> will be </w:t>
      </w:r>
      <w:r w:rsidR="000C444D">
        <w:rPr>
          <w:rFonts w:ascii="Calibri Light" w:hAnsi="Calibri Light" w:cs="Calibri Light"/>
        </w:rPr>
        <w:t xml:space="preserve">context-variable </w:t>
      </w:r>
      <w:r w:rsidR="000C444D" w:rsidRPr="00825DDF">
        <w:rPr>
          <w:rFonts w:ascii="Calibri Light" w:hAnsi="Calibri Light" w:cs="Calibri Light"/>
        </w:rPr>
        <w:t>an</w:t>
      </w:r>
      <w:r w:rsidR="000C444D">
        <w:rPr>
          <w:rFonts w:ascii="Calibri Light" w:hAnsi="Calibri Light" w:cs="Calibri Light"/>
        </w:rPr>
        <w:t>d</w:t>
      </w:r>
      <w:r w:rsidR="000C444D" w:rsidRPr="00825DDF">
        <w:rPr>
          <w:rFonts w:ascii="Calibri Light" w:hAnsi="Calibri Light" w:cs="Calibri Light"/>
        </w:rPr>
        <w:t xml:space="preserve"> </w:t>
      </w:r>
      <w:r w:rsidR="000C444D">
        <w:rPr>
          <w:rFonts w:ascii="Calibri Light" w:hAnsi="Calibri Light" w:cs="Calibri Light"/>
        </w:rPr>
        <w:t xml:space="preserve">an </w:t>
      </w:r>
      <w:r w:rsidR="000C444D" w:rsidRPr="00825DDF">
        <w:rPr>
          <w:rFonts w:ascii="Calibri Light" w:hAnsi="Calibri Light" w:cs="Calibri Light"/>
        </w:rPr>
        <w:t>empirical</w:t>
      </w:r>
      <w:r w:rsidR="000C444D">
        <w:rPr>
          <w:rFonts w:ascii="Calibri Light" w:hAnsi="Calibri Light" w:cs="Calibri Light"/>
        </w:rPr>
        <w:t xml:space="preserve"> matter</w:t>
      </w:r>
      <w:r w:rsidR="00BC49B5">
        <w:rPr>
          <w:rFonts w:ascii="Calibri Light" w:hAnsi="Calibri Light" w:cs="Calibri Light"/>
        </w:rPr>
        <w:t>. So too, its own success.</w:t>
      </w:r>
      <w:r w:rsidR="000C444D">
        <w:rPr>
          <w:rFonts w:ascii="Calibri Light" w:hAnsi="Calibri Light" w:cs="Calibri Light"/>
        </w:rPr>
        <w:t xml:space="preserve"> </w:t>
      </w:r>
    </w:p>
    <w:p w14:paraId="6880DEC1" w14:textId="77777777" w:rsidR="00825DDF" w:rsidRDefault="00825DDF" w:rsidP="00825DDF">
      <w:pPr>
        <w:spacing w:line="360" w:lineRule="auto"/>
        <w:jc w:val="both"/>
        <w:rPr>
          <w:rFonts w:ascii="Calibri Light" w:hAnsi="Calibri Light" w:cs="Calibri Light"/>
        </w:rPr>
      </w:pPr>
    </w:p>
    <w:p w14:paraId="51D99CE4" w14:textId="498377A2" w:rsidR="0059687C" w:rsidRDefault="0059687C" w:rsidP="00825DDF">
      <w:pPr>
        <w:spacing w:line="360" w:lineRule="auto"/>
        <w:jc w:val="both"/>
        <w:rPr>
          <w:rFonts w:ascii="Calibri Light" w:hAnsi="Calibri Light" w:cs="Calibri Light"/>
        </w:rPr>
      </w:pPr>
      <w:r>
        <w:rPr>
          <w:rFonts w:ascii="Calibri Light" w:hAnsi="Calibri Light" w:cs="Calibri Light"/>
        </w:rPr>
        <w:t>2.</w:t>
      </w:r>
    </w:p>
    <w:p w14:paraId="0A49690C" w14:textId="77777777" w:rsidR="0059687C" w:rsidRDefault="0059687C" w:rsidP="00825DDF">
      <w:pPr>
        <w:spacing w:line="360" w:lineRule="auto"/>
        <w:jc w:val="both"/>
        <w:rPr>
          <w:rFonts w:ascii="Calibri Light" w:hAnsi="Calibri Light" w:cs="Calibri Light"/>
          <w:color w:val="333333"/>
        </w:rPr>
      </w:pPr>
    </w:p>
    <w:p w14:paraId="05D140D0" w14:textId="455F2879" w:rsidR="00C12F0B" w:rsidRDefault="00C12F0B" w:rsidP="00825DDF">
      <w:pPr>
        <w:spacing w:line="360" w:lineRule="auto"/>
        <w:jc w:val="both"/>
        <w:rPr>
          <w:rFonts w:ascii="Calibri Light" w:hAnsi="Calibri Light" w:cs="Calibri Light"/>
          <w:color w:val="333333"/>
        </w:rPr>
      </w:pPr>
      <w:r w:rsidRPr="00825DDF">
        <w:rPr>
          <w:rFonts w:ascii="Calibri Light" w:hAnsi="Calibri Light" w:cs="Calibri Light"/>
          <w:color w:val="333333"/>
        </w:rPr>
        <w:t>Rosalind Hursthouse is unsurpassed</w:t>
      </w:r>
      <w:r w:rsidR="00C45106">
        <w:rPr>
          <w:rFonts w:ascii="Calibri Light" w:hAnsi="Calibri Light" w:cs="Calibri Light"/>
          <w:color w:val="333333"/>
        </w:rPr>
        <w:t xml:space="preserve"> in her efforts to defend VE from </w:t>
      </w:r>
      <w:r w:rsidR="00972CB1">
        <w:rPr>
          <w:rFonts w:ascii="Calibri Light" w:hAnsi="Calibri Light" w:cs="Calibri Light"/>
          <w:color w:val="333333"/>
        </w:rPr>
        <w:t>A</w:t>
      </w:r>
      <w:r w:rsidR="00A82E5D">
        <w:rPr>
          <w:rFonts w:ascii="Calibri Light" w:hAnsi="Calibri Light" w:cs="Calibri Light"/>
          <w:color w:val="333333"/>
        </w:rPr>
        <w:t>ction-Guidance</w:t>
      </w:r>
      <w:r w:rsidRPr="00825DDF">
        <w:rPr>
          <w:rFonts w:ascii="Calibri Light" w:hAnsi="Calibri Light" w:cs="Calibri Light"/>
          <w:color w:val="333333"/>
        </w:rPr>
        <w:t>.</w:t>
      </w:r>
      <w:r w:rsidRPr="00825DDF">
        <w:rPr>
          <w:rStyle w:val="FootnoteReference"/>
          <w:rFonts w:ascii="Calibri Light" w:hAnsi="Calibri Light" w:cs="Calibri Light"/>
          <w:color w:val="333333"/>
        </w:rPr>
        <w:footnoteReference w:id="41"/>
      </w:r>
      <w:r w:rsidRPr="00825DDF">
        <w:rPr>
          <w:rFonts w:ascii="Calibri Light" w:hAnsi="Calibri Light" w:cs="Calibri Light"/>
          <w:color w:val="333333"/>
        </w:rPr>
        <w:t xml:space="preserve"> Pointing to the prescriptions and prohibitions of V-rules, she gave a definitive answer not limited to EVE.</w:t>
      </w:r>
      <w:r w:rsidRPr="00825DDF">
        <w:rPr>
          <w:rStyle w:val="FootnoteReference"/>
          <w:rFonts w:ascii="Calibri Light" w:hAnsi="Calibri Light" w:cs="Calibri Light"/>
          <w:color w:val="333333"/>
        </w:rPr>
        <w:footnoteReference w:id="42"/>
      </w:r>
      <w:r w:rsidRPr="00825DDF">
        <w:rPr>
          <w:rFonts w:ascii="Calibri Light" w:hAnsi="Calibri Light" w:cs="Calibri Light"/>
          <w:color w:val="333333"/>
        </w:rPr>
        <w:t xml:space="preserve"> </w:t>
      </w:r>
    </w:p>
    <w:p w14:paraId="2939987D" w14:textId="77777777" w:rsidR="006E187A" w:rsidRDefault="006E187A" w:rsidP="00825DDF">
      <w:pPr>
        <w:spacing w:line="360" w:lineRule="auto"/>
        <w:jc w:val="both"/>
        <w:rPr>
          <w:rFonts w:ascii="Calibri Light" w:hAnsi="Calibri Light" w:cs="Calibri Light"/>
          <w:color w:val="333333"/>
        </w:rPr>
      </w:pPr>
    </w:p>
    <w:p w14:paraId="01BE4685" w14:textId="27EE6FCF" w:rsidR="00BE79FC" w:rsidRDefault="002002D0" w:rsidP="00BE79FC">
      <w:pPr>
        <w:spacing w:line="360" w:lineRule="auto"/>
        <w:jc w:val="both"/>
        <w:rPr>
          <w:rFonts w:ascii="Calibri Light" w:hAnsi="Calibri Light" w:cs="Calibri Light"/>
        </w:rPr>
      </w:pPr>
      <w:r>
        <w:rPr>
          <w:rFonts w:ascii="Calibri Light" w:hAnsi="Calibri Light" w:cs="Calibri Light"/>
        </w:rPr>
        <w:t>By</w:t>
      </w:r>
      <w:r w:rsidR="00BE79FC">
        <w:rPr>
          <w:rFonts w:ascii="Calibri Light" w:hAnsi="Calibri Light" w:cs="Calibri Light"/>
        </w:rPr>
        <w:t xml:space="preserve"> </w:t>
      </w:r>
      <w:r w:rsidR="00BE79FC">
        <w:rPr>
          <w:rFonts w:ascii="Calibri Light" w:hAnsi="Calibri Light" w:cs="Calibri Light"/>
        </w:rPr>
        <w:t>cleaving “Right Action” into evaluation/</w:t>
      </w:r>
      <w:r w:rsidR="00BE79FC">
        <w:rPr>
          <w:rFonts w:ascii="Calibri Light" w:hAnsi="Calibri Light" w:cs="Calibri Light"/>
        </w:rPr>
        <w:t>assessment (right) and guidance (ought)</w:t>
      </w:r>
      <w:r>
        <w:rPr>
          <w:rFonts w:ascii="Calibri Light" w:hAnsi="Calibri Light" w:cs="Calibri Light"/>
        </w:rPr>
        <w:t>,</w:t>
      </w:r>
      <w:r w:rsidR="00BE79FC">
        <w:rPr>
          <w:rFonts w:ascii="Calibri Light" w:hAnsi="Calibri Light" w:cs="Calibri Light"/>
        </w:rPr>
        <w:t xml:space="preserve"> </w:t>
      </w:r>
      <w:r w:rsidR="009C4BFB">
        <w:rPr>
          <w:rFonts w:ascii="Calibri Light" w:hAnsi="Calibri Light" w:cs="Calibri Light"/>
        </w:rPr>
        <w:t>identifying situations where it was inappropriate for “Action-Guidance”</w:t>
      </w:r>
      <w:r>
        <w:rPr>
          <w:rFonts w:ascii="Calibri Light" w:hAnsi="Calibri Light" w:cs="Calibri Light"/>
        </w:rPr>
        <w:t>,</w:t>
      </w:r>
      <w:r w:rsidR="009C4BFB">
        <w:rPr>
          <w:rFonts w:ascii="Calibri Light" w:hAnsi="Calibri Light" w:cs="Calibri Light"/>
        </w:rPr>
        <w:t xml:space="preserve"> </w:t>
      </w:r>
      <w:r w:rsidR="00BE79FC">
        <w:rPr>
          <w:rFonts w:ascii="Calibri Light" w:hAnsi="Calibri Light" w:cs="Calibri Light"/>
        </w:rPr>
        <w:t>EVE demonstrated itself action-guiding</w:t>
      </w:r>
      <w:r w:rsidR="009C4BFB">
        <w:rPr>
          <w:rFonts w:ascii="Calibri Light" w:hAnsi="Calibri Light" w:cs="Calibri Light"/>
        </w:rPr>
        <w:t>.</w:t>
      </w:r>
      <w:r w:rsidR="00BE79FC">
        <w:rPr>
          <w:rStyle w:val="FootnoteReference"/>
          <w:rFonts w:ascii="Calibri Light" w:hAnsi="Calibri Light" w:cs="Calibri Light"/>
        </w:rPr>
        <w:t xml:space="preserve"> </w:t>
      </w:r>
      <w:r w:rsidR="00BE79FC">
        <w:rPr>
          <w:rFonts w:ascii="Calibri Light" w:hAnsi="Calibri Light" w:cs="Calibri Light"/>
        </w:rPr>
        <w:t xml:space="preserve">We are enabled to decide (i.e act) even when there was no action that we </w:t>
      </w:r>
      <w:r w:rsidR="00BE79FC" w:rsidRPr="00387C14">
        <w:rPr>
          <w:rFonts w:ascii="Calibri Light" w:hAnsi="Calibri Light" w:cs="Calibri Light"/>
          <w:i/>
          <w:iCs/>
        </w:rPr>
        <w:t>ought</w:t>
      </w:r>
      <w:r w:rsidR="00BE79FC">
        <w:rPr>
          <w:rFonts w:ascii="Calibri Light" w:hAnsi="Calibri Light" w:cs="Calibri Light"/>
        </w:rPr>
        <w:t xml:space="preserve"> to perform.</w:t>
      </w:r>
      <w:r>
        <w:rPr>
          <w:rStyle w:val="FootnoteReference"/>
          <w:rFonts w:ascii="Calibri Light" w:hAnsi="Calibri Light" w:cs="Calibri Light"/>
        </w:rPr>
        <w:footnoteReference w:id="43"/>
      </w:r>
      <w:r w:rsidR="00B96292">
        <w:rPr>
          <w:rFonts w:ascii="Calibri Light" w:hAnsi="Calibri Light" w:cs="Calibri Light"/>
        </w:rPr>
        <w:t xml:space="preserve"> </w:t>
      </w:r>
      <w:r>
        <w:rPr>
          <w:rFonts w:ascii="Calibri Light" w:hAnsi="Calibri Light" w:cs="Calibri Light"/>
        </w:rPr>
        <w:t>Assessment can still guide</w:t>
      </w:r>
      <w:r w:rsidR="00BE79FC">
        <w:rPr>
          <w:rFonts w:ascii="Calibri Light" w:hAnsi="Calibri Light" w:cs="Calibri Light"/>
        </w:rPr>
        <w:t>.</w:t>
      </w:r>
      <w:r>
        <w:rPr>
          <w:rStyle w:val="FootnoteReference"/>
          <w:rFonts w:ascii="Calibri Light" w:hAnsi="Calibri Light" w:cs="Calibri Light"/>
        </w:rPr>
        <w:footnoteReference w:id="44"/>
      </w:r>
      <w:r w:rsidR="00BE79FC">
        <w:rPr>
          <w:rFonts w:ascii="Calibri Light" w:hAnsi="Calibri Light" w:cs="Calibri Light"/>
        </w:rPr>
        <w:t xml:space="preserve"> </w:t>
      </w:r>
    </w:p>
    <w:p w14:paraId="29DF975B" w14:textId="77777777" w:rsidR="00BE79FC" w:rsidRPr="00825DDF" w:rsidRDefault="00BE79FC" w:rsidP="00825DDF">
      <w:pPr>
        <w:spacing w:line="360" w:lineRule="auto"/>
        <w:jc w:val="both"/>
        <w:rPr>
          <w:rFonts w:ascii="Calibri Light" w:hAnsi="Calibri Light" w:cs="Calibri Light"/>
          <w:color w:val="333333"/>
        </w:rPr>
      </w:pPr>
    </w:p>
    <w:p w14:paraId="4C5CC0C3" w14:textId="40C2A90F" w:rsidR="006E187A" w:rsidRDefault="00C12F0B" w:rsidP="00825DDF">
      <w:pPr>
        <w:spacing w:line="360" w:lineRule="auto"/>
        <w:jc w:val="both"/>
        <w:rPr>
          <w:rFonts w:ascii="Calibri Light" w:hAnsi="Calibri Light" w:cs="Calibri Light"/>
          <w:color w:val="333333"/>
        </w:rPr>
      </w:pPr>
      <w:r w:rsidRPr="00825DDF">
        <w:rPr>
          <w:rFonts w:ascii="Calibri Light" w:hAnsi="Calibri Light" w:cs="Calibri Light"/>
          <w:color w:val="333333"/>
        </w:rPr>
        <w:t xml:space="preserve">Not </w:t>
      </w:r>
      <w:r w:rsidRPr="00825DDF">
        <w:rPr>
          <w:rFonts w:ascii="Calibri Light" w:hAnsi="Calibri Light" w:cs="Calibri Light"/>
          <w:color w:val="333333"/>
        </w:rPr>
        <w:t>every</w:t>
      </w:r>
      <w:r w:rsidRPr="00825DDF">
        <w:rPr>
          <w:rFonts w:ascii="Calibri Light" w:hAnsi="Calibri Light" w:cs="Calibri Light"/>
          <w:color w:val="333333"/>
        </w:rPr>
        <w:t xml:space="preserve"> answer </w:t>
      </w:r>
      <w:r w:rsidR="002002D0">
        <w:rPr>
          <w:rFonts w:ascii="Calibri Light" w:hAnsi="Calibri Light" w:cs="Calibri Light"/>
          <w:color w:val="333333"/>
        </w:rPr>
        <w:t>lands</w:t>
      </w:r>
      <w:r w:rsidRPr="00825DDF">
        <w:rPr>
          <w:rFonts w:ascii="Calibri Light" w:hAnsi="Calibri Light" w:cs="Calibri Light"/>
          <w:color w:val="333333"/>
        </w:rPr>
        <w:t xml:space="preserve">. </w:t>
      </w:r>
      <w:r w:rsidR="006E187A">
        <w:rPr>
          <w:rFonts w:ascii="Calibri Light" w:hAnsi="Calibri Light" w:cs="Calibri Light"/>
          <w:color w:val="333333"/>
        </w:rPr>
        <w:t xml:space="preserve">Knowing, asking and listening to a VP </w:t>
      </w:r>
      <w:r w:rsidRPr="00825DDF">
        <w:rPr>
          <w:rFonts w:ascii="Calibri Light" w:hAnsi="Calibri Light" w:cs="Calibri Light"/>
          <w:color w:val="333333"/>
        </w:rPr>
        <w:t xml:space="preserve">is </w:t>
      </w:r>
      <w:r w:rsidR="006E187A">
        <w:rPr>
          <w:rFonts w:ascii="Calibri Light" w:hAnsi="Calibri Light" w:cs="Calibri Light"/>
          <w:color w:val="333333"/>
        </w:rPr>
        <w:t xml:space="preserve">to be </w:t>
      </w:r>
      <w:r w:rsidR="002002D0">
        <w:rPr>
          <w:rFonts w:ascii="Calibri Light" w:hAnsi="Calibri Light" w:cs="Calibri Light"/>
          <w:color w:val="333333"/>
        </w:rPr>
        <w:t>hostage to</w:t>
      </w:r>
      <w:r w:rsidRPr="00825DDF">
        <w:rPr>
          <w:rFonts w:ascii="Calibri Light" w:hAnsi="Calibri Light" w:cs="Calibri Light"/>
          <w:color w:val="333333"/>
        </w:rPr>
        <w:t xml:space="preserve"> luck</w:t>
      </w:r>
      <w:r w:rsidR="006E187A">
        <w:rPr>
          <w:rFonts w:ascii="Calibri Light" w:hAnsi="Calibri Light" w:cs="Calibri Light"/>
          <w:color w:val="333333"/>
        </w:rPr>
        <w:t>.</w:t>
      </w:r>
      <w:r w:rsidR="002002D0">
        <w:rPr>
          <w:rFonts w:ascii="Calibri Light" w:hAnsi="Calibri Light" w:cs="Calibri Light"/>
          <w:color w:val="333333"/>
        </w:rPr>
        <w:t xml:space="preserve"> Deontology’s problems with conflict do not resolve VE’s. </w:t>
      </w:r>
    </w:p>
    <w:p w14:paraId="543ECA8B" w14:textId="77777777" w:rsidR="002002D0" w:rsidRPr="00825DDF" w:rsidRDefault="002002D0" w:rsidP="00825DDF">
      <w:pPr>
        <w:spacing w:line="360" w:lineRule="auto"/>
        <w:jc w:val="both"/>
        <w:rPr>
          <w:rFonts w:ascii="Calibri Light" w:hAnsi="Calibri Light" w:cs="Calibri Light"/>
          <w:color w:val="333333"/>
        </w:rPr>
      </w:pPr>
    </w:p>
    <w:p w14:paraId="27C69744" w14:textId="010B2D81" w:rsidR="00972CB1" w:rsidRDefault="00B96292" w:rsidP="00825DDF">
      <w:pPr>
        <w:spacing w:line="360" w:lineRule="auto"/>
        <w:jc w:val="both"/>
        <w:rPr>
          <w:rFonts w:ascii="Calibri Light" w:hAnsi="Calibri Light" w:cs="Calibri Light"/>
          <w:color w:val="333333"/>
        </w:rPr>
      </w:pPr>
      <w:r>
        <w:rPr>
          <w:rFonts w:ascii="Calibri Light" w:hAnsi="Calibri Light" w:cs="Calibri Light"/>
          <w:color w:val="333333"/>
        </w:rPr>
        <w:t xml:space="preserve">Moreover, </w:t>
      </w:r>
      <w:r w:rsidR="002002D0">
        <w:rPr>
          <w:rFonts w:ascii="Calibri Light" w:hAnsi="Calibri Light" w:cs="Calibri Light"/>
          <w:color w:val="333333"/>
        </w:rPr>
        <w:t>an</w:t>
      </w:r>
      <w:r w:rsidR="006E187A">
        <w:rPr>
          <w:rFonts w:ascii="Calibri Light" w:hAnsi="Calibri Light" w:cs="Calibri Light"/>
          <w:color w:val="333333"/>
        </w:rPr>
        <w:t xml:space="preserve"> </w:t>
      </w:r>
      <w:r w:rsidR="002002D0">
        <w:rPr>
          <w:rFonts w:ascii="Calibri Light" w:hAnsi="Calibri Light" w:cs="Calibri Light"/>
          <w:color w:val="333333"/>
        </w:rPr>
        <w:t>a</w:t>
      </w:r>
      <w:r w:rsidR="00972CB1">
        <w:rPr>
          <w:rFonts w:ascii="Calibri Light" w:hAnsi="Calibri Light" w:cs="Calibri Light"/>
          <w:color w:val="333333"/>
        </w:rPr>
        <w:t>gent</w:t>
      </w:r>
      <w:r w:rsidR="00785FD5" w:rsidRPr="00825DDF">
        <w:rPr>
          <w:rFonts w:ascii="Calibri Light" w:hAnsi="Calibri Light" w:cs="Calibri Light"/>
          <w:color w:val="333333"/>
        </w:rPr>
        <w:t xml:space="preserve"> looking to an NT for succour might </w:t>
      </w:r>
      <w:r w:rsidR="002002D0">
        <w:rPr>
          <w:rFonts w:ascii="Calibri Light" w:hAnsi="Calibri Light" w:cs="Calibri Light"/>
          <w:color w:val="333333"/>
        </w:rPr>
        <w:t>want to commit but EVE</w:t>
      </w:r>
      <w:r w:rsidR="000E4B7A">
        <w:rPr>
          <w:rFonts w:ascii="Calibri Light" w:hAnsi="Calibri Light" w:cs="Calibri Light"/>
          <w:color w:val="333333"/>
        </w:rPr>
        <w:t xml:space="preserve"> but both its theses are troubling</w:t>
      </w:r>
      <w:r w:rsidR="00785FD5" w:rsidRPr="00825DDF">
        <w:rPr>
          <w:rFonts w:ascii="Calibri Light" w:hAnsi="Calibri Light" w:cs="Calibri Light"/>
          <w:color w:val="333333"/>
        </w:rPr>
        <w:t>.</w:t>
      </w:r>
      <w:r w:rsidR="006E187A">
        <w:rPr>
          <w:rStyle w:val="FootnoteReference"/>
          <w:rFonts w:ascii="Calibri Light" w:hAnsi="Calibri Light" w:cs="Calibri Light"/>
          <w:color w:val="333333"/>
        </w:rPr>
        <w:footnoteReference w:id="45"/>
      </w:r>
      <w:r w:rsidR="00785FD5" w:rsidRPr="00825DDF">
        <w:rPr>
          <w:rFonts w:ascii="Calibri Light" w:hAnsi="Calibri Light" w:cs="Calibri Light"/>
          <w:color w:val="333333"/>
        </w:rPr>
        <w:t xml:space="preserve"> </w:t>
      </w:r>
      <w:r w:rsidR="005C3976">
        <w:rPr>
          <w:rFonts w:ascii="Calibri Light" w:hAnsi="Calibri Light" w:cs="Calibri Light"/>
          <w:color w:val="333333"/>
        </w:rPr>
        <w:t>The</w:t>
      </w:r>
      <w:r w:rsidR="005C3976" w:rsidRPr="00825DDF">
        <w:rPr>
          <w:rFonts w:ascii="Calibri Light" w:hAnsi="Calibri Light" w:cs="Calibri Light"/>
          <w:color w:val="333333"/>
        </w:rPr>
        <w:t xml:space="preserve"> virtuous do not always flourish</w:t>
      </w:r>
      <w:r w:rsidR="005477D0">
        <w:rPr>
          <w:rFonts w:ascii="Calibri Light" w:hAnsi="Calibri Light" w:cs="Calibri Light"/>
          <w:color w:val="333333"/>
        </w:rPr>
        <w:t>.</w:t>
      </w:r>
      <w:r w:rsidR="005C3976" w:rsidRPr="00825DDF">
        <w:rPr>
          <w:rStyle w:val="FootnoteReference"/>
          <w:rFonts w:ascii="Calibri Light" w:hAnsi="Calibri Light" w:cs="Calibri Light"/>
          <w:color w:val="333333"/>
        </w:rPr>
        <w:footnoteReference w:id="46"/>
      </w:r>
      <w:r w:rsidR="005C3976">
        <w:rPr>
          <w:rFonts w:ascii="Calibri Light" w:hAnsi="Calibri Light" w:cs="Calibri Light"/>
          <w:color w:val="333333"/>
        </w:rPr>
        <w:t xml:space="preserve"> </w:t>
      </w:r>
      <w:r w:rsidR="005477D0">
        <w:rPr>
          <w:rFonts w:ascii="Calibri Light" w:hAnsi="Calibri Light" w:cs="Calibri Light"/>
          <w:color w:val="333333"/>
        </w:rPr>
        <w:t>The naturalism fits loose. To think of someone as non-flourishing seems</w:t>
      </w:r>
      <w:r>
        <w:rPr>
          <w:rFonts w:ascii="Calibri Light" w:hAnsi="Calibri Light" w:cs="Calibri Light"/>
          <w:color w:val="333333"/>
        </w:rPr>
        <w:t>…</w:t>
      </w:r>
      <w:r w:rsidR="005477D0">
        <w:rPr>
          <w:rFonts w:ascii="Calibri Light" w:hAnsi="Calibri Light" w:cs="Calibri Light"/>
          <w:color w:val="333333"/>
        </w:rPr>
        <w:t>vicious</w:t>
      </w:r>
      <w:r w:rsidR="00F5045F" w:rsidRPr="00825DDF">
        <w:rPr>
          <w:rFonts w:ascii="Calibri Light" w:hAnsi="Calibri Light" w:cs="Calibri Light"/>
          <w:color w:val="333333"/>
        </w:rPr>
        <w:t xml:space="preserve">. </w:t>
      </w:r>
    </w:p>
    <w:p w14:paraId="31F535E5" w14:textId="77777777" w:rsidR="00A82E5D" w:rsidRDefault="00A82E5D" w:rsidP="00825DDF">
      <w:pPr>
        <w:spacing w:line="360" w:lineRule="auto"/>
        <w:jc w:val="both"/>
        <w:rPr>
          <w:rFonts w:ascii="Calibri Light" w:hAnsi="Calibri Light" w:cs="Calibri Light"/>
          <w:color w:val="333333"/>
        </w:rPr>
      </w:pPr>
    </w:p>
    <w:p w14:paraId="79DC354C" w14:textId="53C3C295" w:rsidR="00785FD5" w:rsidRDefault="00972CB1" w:rsidP="00825DDF">
      <w:pPr>
        <w:spacing w:line="360" w:lineRule="auto"/>
        <w:jc w:val="both"/>
        <w:rPr>
          <w:rFonts w:ascii="Calibri Light" w:hAnsi="Calibri Light" w:cs="Calibri Light"/>
          <w:color w:val="333333"/>
        </w:rPr>
      </w:pPr>
      <w:r>
        <w:rPr>
          <w:rFonts w:ascii="Calibri Light" w:hAnsi="Calibri Light" w:cs="Calibri Light"/>
          <w:color w:val="333333"/>
        </w:rPr>
        <w:t>Egoism linger</w:t>
      </w:r>
      <w:r w:rsidR="000E4B7A">
        <w:rPr>
          <w:rFonts w:ascii="Calibri Light" w:hAnsi="Calibri Light" w:cs="Calibri Light"/>
          <w:color w:val="333333"/>
        </w:rPr>
        <w:t>s. S</w:t>
      </w:r>
      <w:r w:rsidR="00283BA0" w:rsidRPr="00825DDF">
        <w:rPr>
          <w:rFonts w:ascii="Calibri Light" w:hAnsi="Calibri Light" w:cs="Calibri Light"/>
          <w:color w:val="333333"/>
        </w:rPr>
        <w:t>elf-effacement</w:t>
      </w:r>
      <w:r w:rsidR="000E4B7A">
        <w:rPr>
          <w:rFonts w:ascii="Calibri Light" w:hAnsi="Calibri Light" w:cs="Calibri Light"/>
          <w:color w:val="333333"/>
        </w:rPr>
        <w:t xml:space="preserve"> creeps </w:t>
      </w:r>
      <w:r w:rsidR="00B96292">
        <w:rPr>
          <w:rFonts w:ascii="Calibri Light" w:hAnsi="Calibri Light" w:cs="Calibri Light"/>
          <w:color w:val="333333"/>
        </w:rPr>
        <w:t>with</w:t>
      </w:r>
      <w:r>
        <w:rPr>
          <w:rFonts w:ascii="Calibri Light" w:hAnsi="Calibri Light" w:cs="Calibri Light"/>
          <w:color w:val="333333"/>
        </w:rPr>
        <w:t xml:space="preserve"> </w:t>
      </w:r>
      <w:r w:rsidRPr="00825DDF">
        <w:rPr>
          <w:rFonts w:ascii="Calibri Light" w:hAnsi="Calibri Light" w:cs="Calibri Light"/>
          <w:color w:val="333333"/>
        </w:rPr>
        <w:t>good action-guiding reasons</w:t>
      </w:r>
      <w:r w:rsidR="000E4B7A">
        <w:rPr>
          <w:rFonts w:ascii="Calibri Light" w:hAnsi="Calibri Light" w:cs="Calibri Light"/>
          <w:color w:val="333333"/>
        </w:rPr>
        <w:t xml:space="preserve"> to avoid it.</w:t>
      </w:r>
      <w:r w:rsidR="000E4B7A">
        <w:rPr>
          <w:rStyle w:val="FootnoteReference"/>
          <w:rFonts w:ascii="Calibri Light" w:hAnsi="Calibri Light" w:cs="Calibri Light"/>
          <w:color w:val="333333"/>
        </w:rPr>
        <w:footnoteReference w:id="47"/>
      </w:r>
      <w:r>
        <w:rPr>
          <w:rFonts w:ascii="Calibri Light" w:hAnsi="Calibri Light" w:cs="Calibri Light"/>
          <w:color w:val="333333"/>
        </w:rPr>
        <w:t xml:space="preserve"> </w:t>
      </w:r>
      <w:r w:rsidR="006B12DE">
        <w:rPr>
          <w:rFonts w:ascii="Calibri Light" w:hAnsi="Calibri Light" w:cs="Calibri Light"/>
          <w:color w:val="333333"/>
        </w:rPr>
        <w:t>N</w:t>
      </w:r>
      <w:r w:rsidR="006B12DE" w:rsidRPr="00825DDF">
        <w:rPr>
          <w:rFonts w:ascii="Calibri Light" w:hAnsi="Calibri Light" w:cs="Calibri Light"/>
          <w:color w:val="333333"/>
        </w:rPr>
        <w:t>arcissism is clearly a deliberative failure.</w:t>
      </w:r>
      <w:r w:rsidR="006B12DE" w:rsidRPr="00825DDF">
        <w:rPr>
          <w:rStyle w:val="FootnoteReference"/>
          <w:rFonts w:ascii="Calibri Light" w:hAnsi="Calibri Light" w:cs="Calibri Light"/>
          <w:color w:val="333333"/>
        </w:rPr>
        <w:footnoteReference w:id="48"/>
      </w:r>
      <w:r w:rsidR="006B12DE" w:rsidRPr="00825DDF">
        <w:rPr>
          <w:rFonts w:ascii="Calibri Light" w:hAnsi="Calibri Light" w:cs="Calibri Light"/>
          <w:color w:val="333333"/>
        </w:rPr>
        <w:t xml:space="preserve"> </w:t>
      </w:r>
      <w:r w:rsidR="006B12DE">
        <w:rPr>
          <w:rFonts w:ascii="Calibri Light" w:hAnsi="Calibri Light" w:cs="Calibri Light"/>
          <w:color w:val="333333"/>
        </w:rPr>
        <w:t xml:space="preserve">But these objections have been </w:t>
      </w:r>
      <w:r w:rsidR="00730CCF">
        <w:rPr>
          <w:rFonts w:ascii="Calibri Light" w:hAnsi="Calibri Light" w:cs="Calibri Light"/>
          <w:color w:val="333333"/>
        </w:rPr>
        <w:t>well-</w:t>
      </w:r>
      <w:r w:rsidR="006B12DE">
        <w:rPr>
          <w:rFonts w:ascii="Calibri Light" w:hAnsi="Calibri Light" w:cs="Calibri Light"/>
          <w:color w:val="333333"/>
        </w:rPr>
        <w:t>defended</w:t>
      </w:r>
      <w:r w:rsidR="00283BA0" w:rsidRPr="00825DDF">
        <w:rPr>
          <w:rFonts w:ascii="Calibri Light" w:hAnsi="Calibri Light" w:cs="Calibri Light"/>
          <w:color w:val="333333"/>
        </w:rPr>
        <w:t>.</w:t>
      </w:r>
      <w:r w:rsidR="00283BA0" w:rsidRPr="00825DDF">
        <w:rPr>
          <w:rStyle w:val="FootnoteReference"/>
          <w:rFonts w:ascii="Calibri Light" w:hAnsi="Calibri Light" w:cs="Calibri Light"/>
          <w:color w:val="333333"/>
        </w:rPr>
        <w:footnoteReference w:id="49"/>
      </w:r>
      <w:r w:rsidR="00283BA0" w:rsidRPr="00825DDF">
        <w:rPr>
          <w:rFonts w:ascii="Calibri Light" w:hAnsi="Calibri Light" w:cs="Calibri Light"/>
          <w:color w:val="333333"/>
        </w:rPr>
        <w:t xml:space="preserve"> </w:t>
      </w:r>
    </w:p>
    <w:p w14:paraId="6FC0BCCA" w14:textId="77777777" w:rsidR="006B12DE" w:rsidRPr="00825DDF" w:rsidRDefault="006B12DE" w:rsidP="00825DDF">
      <w:pPr>
        <w:spacing w:line="360" w:lineRule="auto"/>
        <w:jc w:val="both"/>
        <w:rPr>
          <w:rFonts w:ascii="Calibri Light" w:hAnsi="Calibri Light" w:cs="Calibri Light"/>
          <w:color w:val="333333"/>
        </w:rPr>
      </w:pPr>
    </w:p>
    <w:p w14:paraId="5430CA99" w14:textId="61E1B235" w:rsidR="003D2FDF" w:rsidRDefault="006B12DE" w:rsidP="00825DDF">
      <w:pPr>
        <w:spacing w:line="360" w:lineRule="auto"/>
        <w:jc w:val="both"/>
        <w:rPr>
          <w:rFonts w:ascii="Calibri Light" w:hAnsi="Calibri Light" w:cs="Calibri Light"/>
          <w:color w:val="333333"/>
        </w:rPr>
      </w:pPr>
      <w:r>
        <w:rPr>
          <w:rFonts w:ascii="Calibri Light" w:hAnsi="Calibri Light" w:cs="Calibri Light"/>
          <w:color w:val="333333"/>
        </w:rPr>
        <w:t>Irrespective of extensional adequacy,</w:t>
      </w:r>
      <w:r w:rsidR="00283BA0" w:rsidRPr="00825DDF">
        <w:rPr>
          <w:rFonts w:ascii="Calibri Light" w:hAnsi="Calibri Light" w:cs="Calibri Light"/>
          <w:color w:val="333333"/>
        </w:rPr>
        <w:t xml:space="preserve"> it</w:t>
      </w:r>
      <w:r>
        <w:rPr>
          <w:rFonts w:ascii="Calibri Light" w:hAnsi="Calibri Light" w:cs="Calibri Light"/>
          <w:color w:val="333333"/>
        </w:rPr>
        <w:t xml:space="preserve"> is </w:t>
      </w:r>
      <w:r w:rsidRPr="00241219">
        <w:rPr>
          <w:rFonts w:ascii="Calibri Light" w:hAnsi="Calibri Light" w:cs="Calibri Light"/>
          <w:color w:val="333333"/>
        </w:rPr>
        <w:t>still</w:t>
      </w:r>
      <w:r w:rsidR="00283BA0" w:rsidRPr="00825DDF">
        <w:rPr>
          <w:rFonts w:ascii="Calibri Light" w:hAnsi="Calibri Light" w:cs="Calibri Light"/>
          <w:color w:val="333333"/>
        </w:rPr>
        <w:t xml:space="preserve"> the </w:t>
      </w:r>
      <w:r w:rsidR="005477D0">
        <w:rPr>
          <w:rFonts w:ascii="Calibri Light" w:hAnsi="Calibri Light" w:cs="Calibri Light"/>
          <w:color w:val="333333"/>
        </w:rPr>
        <w:t xml:space="preserve">epistemological </w:t>
      </w:r>
      <w:r w:rsidR="00283BA0" w:rsidRPr="00825DDF">
        <w:rPr>
          <w:rFonts w:ascii="Calibri Light" w:hAnsi="Calibri Light" w:cs="Calibri Light"/>
          <w:color w:val="333333"/>
        </w:rPr>
        <w:t>inadequacy of the</w:t>
      </w:r>
      <w:r>
        <w:rPr>
          <w:rFonts w:ascii="Calibri Light" w:hAnsi="Calibri Light" w:cs="Calibri Light"/>
          <w:color w:val="333333"/>
        </w:rPr>
        <w:t xml:space="preserve"> VP within the Action-Theory </w:t>
      </w:r>
      <w:r w:rsidR="00283BA0" w:rsidRPr="00825DDF">
        <w:rPr>
          <w:rFonts w:ascii="Calibri Light" w:hAnsi="Calibri Light" w:cs="Calibri Light"/>
          <w:color w:val="333333"/>
        </w:rPr>
        <w:t>that is most troubling (E1/E2).</w:t>
      </w:r>
    </w:p>
    <w:p w14:paraId="6C59B637" w14:textId="77777777" w:rsidR="00B96292" w:rsidRDefault="00B96292" w:rsidP="00825DDF">
      <w:pPr>
        <w:spacing w:line="360" w:lineRule="auto"/>
        <w:jc w:val="both"/>
        <w:rPr>
          <w:rFonts w:ascii="Calibri Light" w:hAnsi="Calibri Light" w:cs="Calibri Light"/>
          <w:color w:val="333333"/>
        </w:rPr>
      </w:pPr>
    </w:p>
    <w:p w14:paraId="660C3B1A" w14:textId="2A996510" w:rsidR="00E35E0D" w:rsidRDefault="00E35E0D" w:rsidP="00E35E0D">
      <w:pPr>
        <w:spacing w:line="360" w:lineRule="auto"/>
        <w:jc w:val="both"/>
        <w:rPr>
          <w:rFonts w:ascii="Calibri Light" w:hAnsi="Calibri Light" w:cs="Calibri Light"/>
          <w:color w:val="333333"/>
        </w:rPr>
      </w:pPr>
      <w:r>
        <w:rPr>
          <w:rFonts w:ascii="Calibri Light" w:hAnsi="Calibri Light" w:cs="Calibri Light"/>
          <w:color w:val="333333"/>
        </w:rPr>
        <w:lastRenderedPageBreak/>
        <w:t xml:space="preserve">EVE </w:t>
      </w:r>
      <w:r w:rsidR="001C10B7">
        <w:rPr>
          <w:rFonts w:ascii="Calibri Light" w:hAnsi="Calibri Light" w:cs="Calibri Light"/>
          <w:color w:val="333333"/>
        </w:rPr>
        <w:t>knows</w:t>
      </w:r>
      <w:r w:rsidR="00B96292">
        <w:rPr>
          <w:rFonts w:ascii="Calibri Light" w:hAnsi="Calibri Light" w:cs="Calibri Light"/>
          <w:color w:val="333333"/>
        </w:rPr>
        <w:t xml:space="preserve"> but its </w:t>
      </w:r>
      <w:r>
        <w:rPr>
          <w:rFonts w:ascii="Calibri Light" w:hAnsi="Calibri Light" w:cs="Calibri Light"/>
          <w:color w:val="333333"/>
        </w:rPr>
        <w:t>developmental/skills model only explains the lack</w:t>
      </w:r>
      <w:r w:rsidRPr="00825DDF">
        <w:rPr>
          <w:rFonts w:ascii="Calibri Light" w:hAnsi="Calibri Light" w:cs="Calibri Light"/>
        </w:rPr>
        <w:t>.</w:t>
      </w:r>
      <w:r w:rsidRPr="00825DDF">
        <w:rPr>
          <w:rStyle w:val="FootnoteReference"/>
          <w:rFonts w:ascii="Calibri Light" w:hAnsi="Calibri Light" w:cs="Calibri Light"/>
        </w:rPr>
        <w:footnoteReference w:id="50"/>
      </w:r>
      <w:r w:rsidRPr="00825DDF">
        <w:rPr>
          <w:rFonts w:ascii="Calibri Light" w:hAnsi="Calibri Light" w:cs="Calibri Light"/>
        </w:rPr>
        <w:t xml:space="preserve"> </w:t>
      </w:r>
      <w:r>
        <w:rPr>
          <w:rFonts w:ascii="Calibri Light" w:hAnsi="Calibri Light" w:cs="Calibri Light"/>
          <w:color w:val="333333"/>
        </w:rPr>
        <w:t>It would be good to</w:t>
      </w:r>
      <w:r w:rsidRPr="00825DDF">
        <w:rPr>
          <w:rFonts w:ascii="Calibri Light" w:hAnsi="Calibri Light" w:cs="Calibri Light"/>
          <w:color w:val="333333"/>
        </w:rPr>
        <w:t xml:space="preserve"> have </w:t>
      </w:r>
      <w:r w:rsidR="001C10B7">
        <w:rPr>
          <w:rFonts w:ascii="Calibri Light" w:hAnsi="Calibri Light" w:cs="Calibri Light"/>
          <w:color w:val="333333"/>
        </w:rPr>
        <w:t>a page of the</w:t>
      </w:r>
      <w:r w:rsidRPr="00825DDF">
        <w:rPr>
          <w:rFonts w:ascii="Calibri Light" w:hAnsi="Calibri Light" w:cs="Calibri Light"/>
          <w:color w:val="333333"/>
        </w:rPr>
        <w:t xml:space="preserve"> manual if only to ignore. </w:t>
      </w:r>
    </w:p>
    <w:p w14:paraId="4BED34B7" w14:textId="77777777" w:rsidR="00E35E0D" w:rsidRDefault="00E35E0D" w:rsidP="00825DDF">
      <w:pPr>
        <w:spacing w:line="360" w:lineRule="auto"/>
        <w:jc w:val="both"/>
        <w:rPr>
          <w:rFonts w:ascii="Calibri Light" w:hAnsi="Calibri Light" w:cs="Calibri Light"/>
          <w:color w:val="333333"/>
        </w:rPr>
      </w:pPr>
    </w:p>
    <w:p w14:paraId="785567A8" w14:textId="439ED6FE" w:rsidR="009C0CA8" w:rsidRDefault="009C0CA8" w:rsidP="00825DDF">
      <w:pPr>
        <w:spacing w:line="360" w:lineRule="auto"/>
        <w:jc w:val="both"/>
        <w:rPr>
          <w:rFonts w:ascii="Calibri Light" w:hAnsi="Calibri Light" w:cs="Calibri Light"/>
          <w:color w:val="333333"/>
        </w:rPr>
      </w:pPr>
      <w:r>
        <w:rPr>
          <w:rFonts w:ascii="Calibri Light" w:hAnsi="Calibri Light" w:cs="Calibri Light"/>
          <w:color w:val="333333"/>
        </w:rPr>
        <w:t>AGO</w:t>
      </w:r>
      <w:r w:rsidR="001C10B7">
        <w:rPr>
          <w:rFonts w:ascii="Calibri Light" w:hAnsi="Calibri Light" w:cs="Calibri Light"/>
          <w:color w:val="333333"/>
        </w:rPr>
        <w:t xml:space="preserve"> was premised on</w:t>
      </w:r>
      <w:r w:rsidR="00E35E0D">
        <w:rPr>
          <w:rFonts w:ascii="Calibri Light" w:hAnsi="Calibri Light" w:cs="Calibri Light"/>
          <w:color w:val="333333"/>
        </w:rPr>
        <w:t xml:space="preserve"> the </w:t>
      </w:r>
      <w:r w:rsidR="006B12DE">
        <w:rPr>
          <w:rFonts w:ascii="Calibri Light" w:hAnsi="Calibri Light" w:cs="Calibri Light"/>
          <w:color w:val="333333"/>
        </w:rPr>
        <w:t xml:space="preserve">innate tension between </w:t>
      </w:r>
      <w:r w:rsidR="006B12DE">
        <w:rPr>
          <w:rFonts w:ascii="Calibri Light" w:hAnsi="Calibri Light" w:cs="Calibri Light"/>
          <w:i/>
          <w:iCs/>
          <w:color w:val="333333"/>
        </w:rPr>
        <w:t xml:space="preserve">phronesis </w:t>
      </w:r>
      <w:r w:rsidR="006B12DE">
        <w:rPr>
          <w:rFonts w:ascii="Calibri Light" w:hAnsi="Calibri Light" w:cs="Calibri Light"/>
          <w:color w:val="333333"/>
        </w:rPr>
        <w:t>and codifiability</w:t>
      </w:r>
      <w:r w:rsidR="00FC6D54">
        <w:rPr>
          <w:rFonts w:ascii="Calibri Light" w:hAnsi="Calibri Light" w:cs="Calibri Light"/>
          <w:color w:val="333333"/>
        </w:rPr>
        <w:t>.</w:t>
      </w:r>
      <w:r w:rsidR="00E35E0D">
        <w:rPr>
          <w:rFonts w:ascii="Calibri Light" w:hAnsi="Calibri Light" w:cs="Calibri Light"/>
          <w:color w:val="333333"/>
        </w:rPr>
        <w:t xml:space="preserve"> </w:t>
      </w:r>
      <w:r w:rsidR="001C10B7">
        <w:rPr>
          <w:rFonts w:ascii="Calibri Light" w:hAnsi="Calibri Light" w:cs="Calibri Light"/>
          <w:color w:val="333333"/>
        </w:rPr>
        <w:t>The code</w:t>
      </w:r>
      <w:r w:rsidR="00A76252">
        <w:rPr>
          <w:rFonts w:ascii="Calibri Light" w:hAnsi="Calibri Light" w:cs="Calibri Light"/>
          <w:color w:val="333333"/>
        </w:rPr>
        <w:t xml:space="preserve"> conceded</w:t>
      </w:r>
      <w:r w:rsidR="001C10B7">
        <w:rPr>
          <w:rFonts w:ascii="Calibri Light" w:hAnsi="Calibri Light" w:cs="Calibri Light"/>
          <w:color w:val="333333"/>
        </w:rPr>
        <w:t xml:space="preserve"> doesn’t reconcile them</w:t>
      </w:r>
      <w:r w:rsidR="00A76252">
        <w:rPr>
          <w:rFonts w:ascii="Calibri Light" w:hAnsi="Calibri Light" w:cs="Calibri Light"/>
          <w:color w:val="333333"/>
        </w:rPr>
        <w:t>: r</w:t>
      </w:r>
      <w:r w:rsidR="00E35E0D">
        <w:rPr>
          <w:rFonts w:ascii="Calibri Light" w:hAnsi="Calibri Light" w:cs="Calibri Light"/>
        </w:rPr>
        <w:t>ules of thumb</w:t>
      </w:r>
      <w:r w:rsidR="001C10B7">
        <w:rPr>
          <w:rFonts w:ascii="Calibri Light" w:hAnsi="Calibri Light" w:cs="Calibri Light"/>
        </w:rPr>
        <w:t xml:space="preserve">, </w:t>
      </w:r>
      <w:r w:rsidR="00E35E0D">
        <w:rPr>
          <w:rFonts w:ascii="Calibri Light" w:hAnsi="Calibri Light" w:cs="Calibri Light"/>
        </w:rPr>
        <w:t>absolute</w:t>
      </w:r>
      <w:r w:rsidR="001C10B7">
        <w:rPr>
          <w:rFonts w:ascii="Calibri Light" w:hAnsi="Calibri Light" w:cs="Calibri Light"/>
        </w:rPr>
        <w:t xml:space="preserve">s, V-rules. The lack of D-rules specifying action isn’t the trouble. </w:t>
      </w:r>
      <w:r w:rsidR="00E35E0D">
        <w:rPr>
          <w:rFonts w:ascii="Calibri Light" w:hAnsi="Calibri Light" w:cs="Calibri Light"/>
        </w:rPr>
        <w:t xml:space="preserve"> </w:t>
      </w:r>
      <w:r w:rsidR="00A76252">
        <w:rPr>
          <w:rFonts w:ascii="Calibri Light" w:hAnsi="Calibri Light" w:cs="Calibri Light"/>
          <w:color w:val="333333"/>
        </w:rPr>
        <w:t>Their</w:t>
      </w:r>
      <w:r>
        <w:rPr>
          <w:rFonts w:ascii="Calibri Light" w:hAnsi="Calibri Light" w:cs="Calibri Light"/>
          <w:color w:val="333333"/>
        </w:rPr>
        <w:t xml:space="preserve"> function</w:t>
      </w:r>
      <w:r w:rsidR="001C10B7">
        <w:rPr>
          <w:rFonts w:ascii="Calibri Light" w:hAnsi="Calibri Light" w:cs="Calibri Light"/>
          <w:color w:val="333333"/>
        </w:rPr>
        <w:t xml:space="preserve"> is isolated from EVE’s normative base</w:t>
      </w:r>
      <w:r w:rsidR="001C10B7">
        <w:rPr>
          <w:rFonts w:ascii="Calibri Light" w:hAnsi="Calibri Light" w:cs="Calibri Light"/>
          <w:color w:val="333333"/>
        </w:rPr>
        <w:t xml:space="preserve">. </w:t>
      </w:r>
    </w:p>
    <w:p w14:paraId="00DE0873" w14:textId="77777777" w:rsidR="009C0CA8" w:rsidRDefault="009C0CA8" w:rsidP="00825DDF">
      <w:pPr>
        <w:spacing w:line="360" w:lineRule="auto"/>
        <w:jc w:val="both"/>
        <w:rPr>
          <w:rFonts w:ascii="Calibri Light" w:hAnsi="Calibri Light" w:cs="Calibri Light"/>
          <w:color w:val="333333"/>
        </w:rPr>
      </w:pPr>
    </w:p>
    <w:p w14:paraId="283DD5B9" w14:textId="7C080854" w:rsidR="001C10B7" w:rsidRPr="001C10B7" w:rsidRDefault="009C0CA8" w:rsidP="00825DDF">
      <w:pPr>
        <w:spacing w:line="360" w:lineRule="auto"/>
        <w:jc w:val="both"/>
        <w:rPr>
          <w:rFonts w:ascii="Calibri Light" w:hAnsi="Calibri Light" w:cs="Calibri Light"/>
        </w:rPr>
      </w:pPr>
      <w:r>
        <w:rPr>
          <w:rFonts w:ascii="Calibri Light" w:hAnsi="Calibri Light" w:cs="Calibri Light"/>
          <w:color w:val="333333"/>
        </w:rPr>
        <w:t xml:space="preserve">Simply, </w:t>
      </w:r>
      <w:r>
        <w:rPr>
          <w:rFonts w:ascii="Calibri Light" w:hAnsi="Calibri Light" w:cs="Calibri Light"/>
        </w:rPr>
        <w:t>t</w:t>
      </w:r>
      <w:r w:rsidR="00E35E0D">
        <w:rPr>
          <w:rFonts w:ascii="Calibri Light" w:hAnsi="Calibri Light" w:cs="Calibri Light"/>
        </w:rPr>
        <w:t>he</w:t>
      </w:r>
      <w:r w:rsidR="00E35E0D">
        <w:rPr>
          <w:rFonts w:ascii="Calibri Light" w:hAnsi="Calibri Light" w:cs="Calibri Light"/>
        </w:rPr>
        <w:t xml:space="preserve"> </w:t>
      </w:r>
      <w:r w:rsidR="00E35E0D" w:rsidRPr="00CC40CF">
        <w:rPr>
          <w:rFonts w:ascii="Calibri Light" w:hAnsi="Calibri Light" w:cs="Calibri Light"/>
          <w:i/>
          <w:iCs/>
        </w:rPr>
        <w:t>phronimos</w:t>
      </w:r>
      <w:r w:rsidR="00E35E0D">
        <w:rPr>
          <w:rFonts w:ascii="Calibri Light" w:hAnsi="Calibri Light" w:cs="Calibri Light"/>
        </w:rPr>
        <w:t xml:space="preserve"> does not apply general procedure. Their</w:t>
      </w:r>
      <w:r w:rsidR="00E35E0D" w:rsidRPr="00825DDF">
        <w:rPr>
          <w:rFonts w:ascii="Calibri Light" w:hAnsi="Calibri Light" w:cs="Calibri Light"/>
        </w:rPr>
        <w:t xml:space="preserve"> ‘special knowledge’ is </w:t>
      </w:r>
      <w:r w:rsidR="00E35E0D">
        <w:rPr>
          <w:rFonts w:ascii="Calibri Light" w:hAnsi="Calibri Light" w:cs="Calibri Light"/>
        </w:rPr>
        <w:t xml:space="preserve">simply </w:t>
      </w:r>
      <w:r w:rsidR="00E35E0D" w:rsidRPr="00825DDF">
        <w:rPr>
          <w:rFonts w:ascii="Calibri Light" w:hAnsi="Calibri Light" w:cs="Calibri Light"/>
        </w:rPr>
        <w:t>uncodifiable</w:t>
      </w:r>
      <w:r w:rsidR="00E35E0D">
        <w:rPr>
          <w:rFonts w:ascii="Calibri Light" w:hAnsi="Calibri Light" w:cs="Calibri Light"/>
        </w:rPr>
        <w:t>.</w:t>
      </w:r>
      <w:r w:rsidR="00A76252">
        <w:rPr>
          <w:rStyle w:val="FootnoteReference"/>
          <w:rFonts w:ascii="Calibri Light" w:hAnsi="Calibri Light" w:cs="Calibri Light"/>
        </w:rPr>
        <w:footnoteReference w:id="51"/>
      </w:r>
      <w:r w:rsidR="00E35E0D">
        <w:rPr>
          <w:rFonts w:ascii="Calibri Light" w:hAnsi="Calibri Light" w:cs="Calibri Light"/>
        </w:rPr>
        <w:t xml:space="preserve"> </w:t>
      </w:r>
      <w:r>
        <w:rPr>
          <w:rFonts w:ascii="Calibri Light" w:hAnsi="Calibri Light" w:cs="Calibri Light"/>
          <w:color w:val="333333"/>
        </w:rPr>
        <w:t xml:space="preserve">AGO is insoluble. </w:t>
      </w:r>
      <w:r>
        <w:rPr>
          <w:rFonts w:ascii="Calibri Light" w:hAnsi="Calibri Light" w:cs="Calibri Light"/>
        </w:rPr>
        <w:t xml:space="preserve"> </w:t>
      </w:r>
    </w:p>
    <w:p w14:paraId="2A257609" w14:textId="77777777" w:rsidR="003D2FDF" w:rsidRDefault="003D2FDF" w:rsidP="00825DDF">
      <w:pPr>
        <w:spacing w:line="360" w:lineRule="auto"/>
        <w:jc w:val="both"/>
        <w:rPr>
          <w:rFonts w:ascii="Calibri Light" w:hAnsi="Calibri Light" w:cs="Calibri Light"/>
        </w:rPr>
      </w:pPr>
    </w:p>
    <w:p w14:paraId="1FB2EF6A" w14:textId="641AA1C1" w:rsidR="00825DDF" w:rsidRDefault="00A82E5D" w:rsidP="00825DDF">
      <w:pPr>
        <w:spacing w:line="360" w:lineRule="auto"/>
        <w:jc w:val="both"/>
        <w:rPr>
          <w:rFonts w:ascii="Calibri Light" w:hAnsi="Calibri Light" w:cs="Calibri Light"/>
        </w:rPr>
      </w:pPr>
      <w:r>
        <w:rPr>
          <w:rFonts w:ascii="Calibri Light" w:hAnsi="Calibri Light" w:cs="Calibri Light"/>
        </w:rPr>
        <w:t>EVE has not decisively answered (E1</w:t>
      </w:r>
      <w:r w:rsidR="00F82FB2">
        <w:rPr>
          <w:rFonts w:ascii="Calibri Light" w:hAnsi="Calibri Light" w:cs="Calibri Light"/>
        </w:rPr>
        <w:t>/</w:t>
      </w:r>
      <w:r>
        <w:rPr>
          <w:rFonts w:ascii="Calibri Light" w:hAnsi="Calibri Light" w:cs="Calibri Light"/>
        </w:rPr>
        <w:t>E2)</w:t>
      </w:r>
      <w:r w:rsidR="00972CB1">
        <w:rPr>
          <w:rFonts w:ascii="Calibri Light" w:hAnsi="Calibri Light" w:cs="Calibri Light"/>
        </w:rPr>
        <w:t xml:space="preserve"> but </w:t>
      </w:r>
      <w:r>
        <w:rPr>
          <w:rFonts w:ascii="Calibri Light" w:hAnsi="Calibri Light" w:cs="Calibri Light"/>
        </w:rPr>
        <w:t xml:space="preserve">it </w:t>
      </w:r>
      <w:r w:rsidR="00972CB1">
        <w:rPr>
          <w:rFonts w:ascii="Calibri Light" w:hAnsi="Calibri Light" w:cs="Calibri Light"/>
        </w:rPr>
        <w:t>provides a</w:t>
      </w:r>
      <w:r w:rsidR="00F82FB2">
        <w:rPr>
          <w:rFonts w:ascii="Calibri Light" w:hAnsi="Calibri Light" w:cs="Calibri Light"/>
        </w:rPr>
        <w:t xml:space="preserve"> (heavily scrutinised)</w:t>
      </w:r>
      <w:r w:rsidR="00972CB1">
        <w:rPr>
          <w:rFonts w:ascii="Calibri Light" w:hAnsi="Calibri Light" w:cs="Calibri Light"/>
        </w:rPr>
        <w:t xml:space="preserve"> subtle Action-</w:t>
      </w:r>
      <w:r w:rsidR="00A76252">
        <w:rPr>
          <w:rFonts w:ascii="Calibri Light" w:hAnsi="Calibri Light" w:cs="Calibri Light"/>
        </w:rPr>
        <w:t xml:space="preserve">Theory. It does </w:t>
      </w:r>
      <w:r w:rsidR="00C16A6C">
        <w:rPr>
          <w:rFonts w:ascii="Calibri Light" w:hAnsi="Calibri Light" w:cs="Calibri Light"/>
        </w:rPr>
        <w:t xml:space="preserve">not </w:t>
      </w:r>
      <w:r w:rsidR="00C16A6C" w:rsidRPr="00A76252">
        <w:rPr>
          <w:rFonts w:ascii="Calibri Light" w:hAnsi="Calibri Light" w:cs="Calibri Light"/>
          <w:u w:val="single"/>
        </w:rPr>
        <w:t>explain</w:t>
      </w:r>
      <w:r w:rsidR="00C16A6C">
        <w:rPr>
          <w:rFonts w:ascii="Calibri Light" w:hAnsi="Calibri Light" w:cs="Calibri Light"/>
        </w:rPr>
        <w:t xml:space="preserve"> what </w:t>
      </w:r>
      <w:r w:rsidR="00C16A6C" w:rsidRPr="00A76252">
        <w:rPr>
          <w:rFonts w:ascii="Calibri Light" w:hAnsi="Calibri Light" w:cs="Calibri Light"/>
          <w:u w:val="single"/>
        </w:rPr>
        <w:t>makes</w:t>
      </w:r>
      <w:r w:rsidR="00C16A6C">
        <w:rPr>
          <w:rFonts w:ascii="Calibri Light" w:hAnsi="Calibri Light" w:cs="Calibri Light"/>
          <w:i/>
          <w:iCs/>
        </w:rPr>
        <w:t xml:space="preserve"> </w:t>
      </w:r>
      <w:r w:rsidR="00C16A6C">
        <w:rPr>
          <w:rFonts w:ascii="Calibri Light" w:hAnsi="Calibri Light" w:cs="Calibri Light"/>
        </w:rPr>
        <w:t xml:space="preserve">an action right, thereby failing the formal requirement of conventional (T). But there is no need for </w:t>
      </w:r>
      <w:r w:rsidR="00C16A6C" w:rsidRPr="00A76252">
        <w:rPr>
          <w:rFonts w:ascii="Calibri Light" w:hAnsi="Calibri Light" w:cs="Calibri Light"/>
          <w:i/>
          <w:iCs/>
        </w:rPr>
        <w:t>that</w:t>
      </w:r>
      <w:r w:rsidR="00C16A6C">
        <w:rPr>
          <w:rFonts w:ascii="Calibri Light" w:hAnsi="Calibri Light" w:cs="Calibri Light"/>
        </w:rPr>
        <w:t xml:space="preserve"> (T). </w:t>
      </w:r>
    </w:p>
    <w:p w14:paraId="04C6BDD1" w14:textId="77777777" w:rsidR="00882CC8" w:rsidRDefault="00882CC8" w:rsidP="00825DDF">
      <w:pPr>
        <w:spacing w:line="360" w:lineRule="auto"/>
        <w:jc w:val="both"/>
        <w:rPr>
          <w:rFonts w:ascii="Calibri Light" w:hAnsi="Calibri Light" w:cs="Calibri Light"/>
        </w:rPr>
      </w:pPr>
    </w:p>
    <w:p w14:paraId="737D65D0" w14:textId="20CEF9B1" w:rsidR="00C16A6C" w:rsidRPr="00C16A6C" w:rsidRDefault="00F82FB2" w:rsidP="00825DDF">
      <w:pPr>
        <w:spacing w:line="360" w:lineRule="auto"/>
        <w:jc w:val="both"/>
        <w:rPr>
          <w:rFonts w:ascii="Calibri Light" w:hAnsi="Calibri Light" w:cs="Calibri Light"/>
        </w:rPr>
      </w:pPr>
      <w:r>
        <w:rPr>
          <w:rFonts w:ascii="Calibri Light" w:hAnsi="Calibri Light" w:cs="Calibri Light"/>
        </w:rPr>
        <w:t>Even if</w:t>
      </w:r>
      <w:r w:rsidR="00C16A6C">
        <w:rPr>
          <w:rFonts w:ascii="Calibri Light" w:hAnsi="Calibri Light" w:cs="Calibri Light"/>
        </w:rPr>
        <w:t xml:space="preserve"> EVE did not satisfy the theoretical aim it could still satisfy the practical aim.</w:t>
      </w:r>
      <w:r>
        <w:rPr>
          <w:rStyle w:val="FootnoteReference"/>
          <w:rFonts w:ascii="Calibri Light" w:hAnsi="Calibri Light" w:cs="Calibri Light"/>
        </w:rPr>
        <w:footnoteReference w:id="52"/>
      </w:r>
      <w:r w:rsidR="00C16A6C">
        <w:rPr>
          <w:rFonts w:ascii="Calibri Light" w:hAnsi="Calibri Light" w:cs="Calibri Light"/>
        </w:rPr>
        <w:t xml:space="preserve"> A theory can be applied without theoretical commitment.</w:t>
      </w:r>
      <w:r w:rsidR="00A76252">
        <w:rPr>
          <w:rStyle w:val="FootnoteReference"/>
          <w:rFonts w:ascii="Calibri Light" w:hAnsi="Calibri Light" w:cs="Calibri Light"/>
        </w:rPr>
        <w:footnoteReference w:id="53"/>
      </w:r>
      <w:r w:rsidR="00C16A6C">
        <w:rPr>
          <w:rFonts w:ascii="Calibri Light" w:hAnsi="Calibri Light" w:cs="Calibri Light"/>
        </w:rPr>
        <w:t xml:space="preserve"> I</w:t>
      </w:r>
      <w:r w:rsidR="00882CC8">
        <w:rPr>
          <w:rFonts w:ascii="Calibri Light" w:hAnsi="Calibri Light" w:cs="Calibri Light"/>
        </w:rPr>
        <w:t xml:space="preserve">f </w:t>
      </w:r>
      <w:r w:rsidR="00C16A6C">
        <w:rPr>
          <w:rFonts w:ascii="Calibri Light" w:hAnsi="Calibri Light" w:cs="Calibri Light"/>
        </w:rPr>
        <w:t>EVE’s Action-Theory does not fulfil (T</w:t>
      </w:r>
      <w:r w:rsidR="00882CC8">
        <w:rPr>
          <w:rFonts w:ascii="Calibri Light" w:hAnsi="Calibri Light" w:cs="Calibri Light"/>
        </w:rPr>
        <w:t>P</w:t>
      </w:r>
      <w:r w:rsidR="00C16A6C">
        <w:rPr>
          <w:rFonts w:ascii="Calibri Light" w:hAnsi="Calibri Light" w:cs="Calibri Light"/>
        </w:rPr>
        <w:t>)</w:t>
      </w:r>
      <w:r w:rsidR="00882CC8">
        <w:rPr>
          <w:rFonts w:ascii="Calibri Light" w:hAnsi="Calibri Light" w:cs="Calibri Light"/>
        </w:rPr>
        <w:t xml:space="preserve">, it </w:t>
      </w:r>
      <w:r w:rsidR="0059687C">
        <w:rPr>
          <w:rFonts w:ascii="Calibri Light" w:hAnsi="Calibri Light" w:cs="Calibri Light"/>
        </w:rPr>
        <w:t>could</w:t>
      </w:r>
      <w:r>
        <w:rPr>
          <w:rFonts w:ascii="Calibri Light" w:hAnsi="Calibri Light" w:cs="Calibri Light"/>
        </w:rPr>
        <w:t xml:space="preserve"> still </w:t>
      </w:r>
      <w:r w:rsidR="00C16A6C">
        <w:rPr>
          <w:rFonts w:ascii="Calibri Light" w:hAnsi="Calibri Light" w:cs="Calibri Light"/>
        </w:rPr>
        <w:t>fulfil (P</w:t>
      </w:r>
      <w:r w:rsidR="00882CC8">
        <w:rPr>
          <w:rFonts w:ascii="Calibri Light" w:hAnsi="Calibri Light" w:cs="Calibri Light"/>
        </w:rPr>
        <w:t>P)</w:t>
      </w:r>
      <w:r w:rsidR="002B09C3">
        <w:rPr>
          <w:rFonts w:ascii="Calibri Light" w:hAnsi="Calibri Light" w:cs="Calibri Light"/>
        </w:rPr>
        <w:t>/NADP!</w:t>
      </w:r>
      <w:r w:rsidR="00C16A6C">
        <w:rPr>
          <w:rFonts w:ascii="Calibri Light" w:hAnsi="Calibri Light" w:cs="Calibri Light"/>
        </w:rPr>
        <w:t>.</w:t>
      </w:r>
      <w:r w:rsidR="00882CC8">
        <w:rPr>
          <w:rStyle w:val="FootnoteReference"/>
          <w:rFonts w:ascii="Calibri Light" w:hAnsi="Calibri Light" w:cs="Calibri Light"/>
        </w:rPr>
        <w:footnoteReference w:id="54"/>
      </w:r>
      <w:r w:rsidR="00C16A6C">
        <w:rPr>
          <w:rFonts w:ascii="Calibri Light" w:hAnsi="Calibri Light" w:cs="Calibri Light"/>
        </w:rPr>
        <w:t xml:space="preserve"> </w:t>
      </w:r>
      <w:r w:rsidR="0059687C">
        <w:rPr>
          <w:rFonts w:ascii="Calibri Light" w:hAnsi="Calibri Light" w:cs="Calibri Light"/>
        </w:rPr>
        <w:t xml:space="preserve">The difficulties avoided, VP could serve as heuristic. </w:t>
      </w:r>
      <w:r>
        <w:rPr>
          <w:rFonts w:ascii="Calibri Light" w:hAnsi="Calibri Light" w:cs="Calibri Light"/>
          <w:color w:val="333333"/>
        </w:rPr>
        <w:t xml:space="preserve">EVE </w:t>
      </w:r>
      <w:r w:rsidR="002B09C3">
        <w:rPr>
          <w:rFonts w:ascii="Calibri Light" w:hAnsi="Calibri Light" w:cs="Calibri Light"/>
          <w:color w:val="333333"/>
        </w:rPr>
        <w:t>has responded to theoretical challenges in a practical way. Situationist scepticism about practical reason has concentrated efforts towards an empirical psychology-based VE.</w:t>
      </w:r>
      <w:r>
        <w:rPr>
          <w:rStyle w:val="FootnoteReference"/>
          <w:rFonts w:ascii="Calibri Light" w:hAnsi="Calibri Light" w:cs="Calibri Light"/>
          <w:color w:val="333333"/>
        </w:rPr>
        <w:footnoteReference w:id="55"/>
      </w:r>
      <w:r w:rsidR="002B09C3">
        <w:rPr>
          <w:rFonts w:ascii="Calibri Light" w:hAnsi="Calibri Light" w:cs="Calibri Light"/>
          <w:color w:val="333333"/>
        </w:rPr>
        <w:t xml:space="preserve"> Concerns about the VP encouraged focus on education.</w:t>
      </w:r>
      <w:r w:rsidR="002B09C3">
        <w:rPr>
          <w:rFonts w:ascii="Calibri Light" w:hAnsi="Calibri Light" w:cs="Calibri Light"/>
          <w:color w:val="333333"/>
        </w:rPr>
        <w:t xml:space="preserve"> I</w:t>
      </w:r>
      <w:r w:rsidR="002B09C3" w:rsidRPr="00825DDF">
        <w:rPr>
          <w:rFonts w:ascii="Calibri Light" w:hAnsi="Calibri Light" w:cs="Calibri Light"/>
        </w:rPr>
        <w:t>mitation and ideal</w:t>
      </w:r>
      <w:r w:rsidR="002B09C3">
        <w:rPr>
          <w:rFonts w:ascii="Calibri Light" w:hAnsi="Calibri Light" w:cs="Calibri Light"/>
        </w:rPr>
        <w:t>s, even modest ideals,</w:t>
      </w:r>
      <w:r w:rsidR="002B09C3" w:rsidRPr="00825DDF">
        <w:rPr>
          <w:rFonts w:ascii="Calibri Light" w:hAnsi="Calibri Light" w:cs="Calibri Light"/>
        </w:rPr>
        <w:t xml:space="preserve"> </w:t>
      </w:r>
      <w:r w:rsidR="002B09C3" w:rsidRPr="0059687C">
        <w:rPr>
          <w:rFonts w:ascii="Calibri Light" w:hAnsi="Calibri Light" w:cs="Calibri Light"/>
        </w:rPr>
        <w:t>are</w:t>
      </w:r>
      <w:r w:rsidR="002B09C3" w:rsidRPr="00825DDF">
        <w:rPr>
          <w:rFonts w:ascii="Calibri Light" w:hAnsi="Calibri Light" w:cs="Calibri Light"/>
        </w:rPr>
        <w:t xml:space="preserve"> problematic.</w:t>
      </w:r>
      <w:r w:rsidR="00F92BED">
        <w:rPr>
          <w:rStyle w:val="FootnoteReference"/>
          <w:rFonts w:ascii="Calibri Light" w:hAnsi="Calibri Light" w:cs="Calibri Light"/>
        </w:rPr>
        <w:footnoteReference w:id="56"/>
      </w:r>
      <w:r w:rsidR="002B09C3" w:rsidRPr="00825DDF">
        <w:rPr>
          <w:rFonts w:ascii="Calibri Light" w:hAnsi="Calibri Light" w:cs="Calibri Light"/>
        </w:rPr>
        <w:t xml:space="preserve"> </w:t>
      </w:r>
      <w:r w:rsidR="002B09C3">
        <w:rPr>
          <w:rFonts w:ascii="Calibri Light" w:hAnsi="Calibri Light" w:cs="Calibri Light"/>
        </w:rPr>
        <w:t>Falling</w:t>
      </w:r>
      <w:r w:rsidR="002B09C3" w:rsidRPr="00825DDF">
        <w:rPr>
          <w:rFonts w:ascii="Calibri Light" w:hAnsi="Calibri Light" w:cs="Calibri Light"/>
        </w:rPr>
        <w:t xml:space="preserve"> short can be ruinous</w:t>
      </w:r>
      <w:r w:rsidR="002B09C3">
        <w:rPr>
          <w:rFonts w:ascii="Calibri Light" w:hAnsi="Calibri Light" w:cs="Calibri Light"/>
        </w:rPr>
        <w:t>.</w:t>
      </w:r>
      <w:r w:rsidR="002B09C3" w:rsidRPr="00825DDF">
        <w:rPr>
          <w:rStyle w:val="FootnoteReference"/>
          <w:rFonts w:ascii="Calibri Light" w:hAnsi="Calibri Light" w:cs="Calibri Light"/>
        </w:rPr>
        <w:footnoteReference w:id="57"/>
      </w:r>
      <w:r w:rsidR="002B09C3" w:rsidRPr="00825DDF">
        <w:rPr>
          <w:rFonts w:ascii="Calibri Light" w:hAnsi="Calibri Light" w:cs="Calibri Light"/>
        </w:rPr>
        <w:t xml:space="preserve"> </w:t>
      </w:r>
      <w:r w:rsidR="002B09C3">
        <w:rPr>
          <w:rFonts w:ascii="Calibri Light" w:hAnsi="Calibri Light" w:cs="Calibri Light"/>
        </w:rPr>
        <w:t xml:space="preserve">Whether phronesis can function without the VP is for others but </w:t>
      </w:r>
      <w:r w:rsidR="002B09C3">
        <w:rPr>
          <w:rFonts w:ascii="Calibri Light" w:hAnsi="Calibri Light" w:cs="Calibri Light"/>
        </w:rPr>
        <w:t>an emphasis</w:t>
      </w:r>
      <w:r w:rsidR="002B09C3">
        <w:rPr>
          <w:rFonts w:ascii="Calibri Light" w:hAnsi="Calibri Light" w:cs="Calibri Light"/>
        </w:rPr>
        <w:t xml:space="preserve"> on </w:t>
      </w:r>
      <w:r w:rsidR="002B09C3">
        <w:rPr>
          <w:rFonts w:ascii="Calibri Light" w:hAnsi="Calibri Light" w:cs="Calibri Light"/>
        </w:rPr>
        <w:t xml:space="preserve">phronesis only </w:t>
      </w:r>
      <w:r w:rsidR="002B09C3" w:rsidRPr="002B09C3">
        <w:rPr>
          <w:rFonts w:ascii="Calibri Light" w:hAnsi="Calibri Light" w:cs="Calibri Light"/>
        </w:rPr>
        <w:t>seems</w:t>
      </w:r>
      <w:r w:rsidR="002B09C3">
        <w:rPr>
          <w:rFonts w:ascii="Calibri Light" w:hAnsi="Calibri Light" w:cs="Calibri Light"/>
        </w:rPr>
        <w:t xml:space="preserve"> worthwhile.</w:t>
      </w:r>
      <w:r w:rsidR="002B09C3" w:rsidRPr="00825DDF">
        <w:rPr>
          <w:rStyle w:val="FootnoteReference"/>
          <w:rFonts w:ascii="Calibri Light" w:hAnsi="Calibri Light" w:cs="Calibri Light"/>
        </w:rPr>
        <w:footnoteReference w:id="58"/>
      </w:r>
      <w:r w:rsidR="002B09C3" w:rsidRPr="00825DDF">
        <w:rPr>
          <w:rFonts w:ascii="Calibri Light" w:hAnsi="Calibri Light" w:cs="Calibri Light"/>
        </w:rPr>
        <w:t xml:space="preserve"> </w:t>
      </w:r>
      <w:r w:rsidR="0059687C">
        <w:rPr>
          <w:rFonts w:ascii="Calibri Light" w:hAnsi="Calibri Light" w:cs="Calibri Light"/>
        </w:rPr>
        <w:t xml:space="preserve">And if EVE was only fulfilling a practical purpose, </w:t>
      </w:r>
      <w:r w:rsidR="002B09C3">
        <w:rPr>
          <w:rFonts w:ascii="Calibri Light" w:hAnsi="Calibri Light" w:cs="Calibri Light"/>
        </w:rPr>
        <w:t xml:space="preserve">EVE would </w:t>
      </w:r>
      <w:r w:rsidR="002B09C3" w:rsidRPr="002B09C3">
        <w:rPr>
          <w:rFonts w:ascii="Calibri Light" w:hAnsi="Calibri Light" w:cs="Calibri Light"/>
        </w:rPr>
        <w:t>only</w:t>
      </w:r>
      <w:r w:rsidR="002B09C3" w:rsidRPr="002B09C3">
        <w:rPr>
          <w:rFonts w:ascii="Calibri Light" w:hAnsi="Calibri Light" w:cs="Calibri Light"/>
          <w:i/>
          <w:iCs/>
        </w:rPr>
        <w:t xml:space="preserve"> </w:t>
      </w:r>
      <w:r w:rsidR="002B09C3">
        <w:rPr>
          <w:rFonts w:ascii="Calibri Light" w:hAnsi="Calibri Light" w:cs="Calibri Light"/>
        </w:rPr>
        <w:t>be providing guidance.</w:t>
      </w:r>
    </w:p>
    <w:p w14:paraId="1D8ECD7B" w14:textId="77777777" w:rsidR="00825DDF" w:rsidRPr="00825DDF" w:rsidRDefault="00825DDF" w:rsidP="00825DDF">
      <w:pPr>
        <w:spacing w:line="360" w:lineRule="auto"/>
        <w:jc w:val="both"/>
        <w:rPr>
          <w:rFonts w:ascii="Calibri Light" w:hAnsi="Calibri Light" w:cs="Calibri Light"/>
        </w:rPr>
      </w:pPr>
    </w:p>
    <w:p w14:paraId="2A45214D" w14:textId="676AD315" w:rsidR="00825DDF" w:rsidRDefault="0059687C" w:rsidP="00825DDF">
      <w:pPr>
        <w:spacing w:line="360" w:lineRule="auto"/>
        <w:jc w:val="both"/>
        <w:rPr>
          <w:rFonts w:ascii="Calibri Light" w:hAnsi="Calibri Light" w:cs="Calibri Light"/>
        </w:rPr>
      </w:pPr>
      <w:r>
        <w:rPr>
          <w:rFonts w:ascii="Calibri Light" w:hAnsi="Calibri Light" w:cs="Calibri Light"/>
        </w:rPr>
        <w:t>3.</w:t>
      </w:r>
    </w:p>
    <w:p w14:paraId="5165CD9D" w14:textId="77777777" w:rsidR="0059687C" w:rsidRPr="00825DDF" w:rsidRDefault="0059687C" w:rsidP="00825DDF">
      <w:pPr>
        <w:spacing w:line="360" w:lineRule="auto"/>
        <w:jc w:val="both"/>
        <w:rPr>
          <w:rFonts w:ascii="Calibri Light" w:hAnsi="Calibri Light" w:cs="Calibri Light"/>
        </w:rPr>
      </w:pPr>
    </w:p>
    <w:p w14:paraId="7856A73A" w14:textId="0B18DFD5" w:rsidR="001176E5" w:rsidRDefault="00825DDF" w:rsidP="00825DDF">
      <w:pPr>
        <w:spacing w:line="360" w:lineRule="auto"/>
        <w:jc w:val="both"/>
        <w:rPr>
          <w:rFonts w:ascii="Calibri Light" w:hAnsi="Calibri Light" w:cs="Calibri Light"/>
        </w:rPr>
      </w:pPr>
      <w:r w:rsidRPr="00825DDF">
        <w:rPr>
          <w:rFonts w:ascii="Calibri Light" w:hAnsi="Calibri Light" w:cs="Calibri Light"/>
        </w:rPr>
        <w:t xml:space="preserve">Michale Slote’s </w:t>
      </w:r>
      <w:r w:rsidR="002D4B43">
        <w:rPr>
          <w:rFonts w:ascii="Calibri Light" w:hAnsi="Calibri Light" w:cs="Calibri Light"/>
        </w:rPr>
        <w:t xml:space="preserve">“Sentimentalist </w:t>
      </w:r>
      <w:r w:rsidRPr="00825DDF">
        <w:rPr>
          <w:rFonts w:ascii="Calibri Light" w:hAnsi="Calibri Light" w:cs="Calibri Light"/>
        </w:rPr>
        <w:t>VE</w:t>
      </w:r>
      <w:r w:rsidR="002D4B43">
        <w:rPr>
          <w:rFonts w:ascii="Calibri Light" w:hAnsi="Calibri Light" w:cs="Calibri Light"/>
        </w:rPr>
        <w:t>”</w:t>
      </w:r>
      <w:r w:rsidRPr="00825DDF">
        <w:rPr>
          <w:rFonts w:ascii="Calibri Light" w:hAnsi="Calibri Light" w:cs="Calibri Light"/>
        </w:rPr>
        <w:t xml:space="preserve"> (</w:t>
      </w:r>
      <w:r w:rsidR="002D4B43">
        <w:rPr>
          <w:rFonts w:ascii="Calibri Light" w:hAnsi="Calibri Light" w:cs="Calibri Light"/>
        </w:rPr>
        <w:t>“</w:t>
      </w:r>
      <w:r w:rsidRPr="00825DDF">
        <w:rPr>
          <w:rFonts w:ascii="Calibri Light" w:hAnsi="Calibri Light" w:cs="Calibri Light"/>
        </w:rPr>
        <w:t>SVE</w:t>
      </w:r>
      <w:r w:rsidR="002D4B43">
        <w:rPr>
          <w:rFonts w:ascii="Calibri Light" w:hAnsi="Calibri Light" w:cs="Calibri Light"/>
        </w:rPr>
        <w:t>”</w:t>
      </w:r>
      <w:r w:rsidRPr="00825DDF">
        <w:rPr>
          <w:rFonts w:ascii="Calibri Light" w:hAnsi="Calibri Light" w:cs="Calibri Light"/>
        </w:rPr>
        <w:t xml:space="preserve">) </w:t>
      </w:r>
      <w:r w:rsidR="00BC1F54">
        <w:rPr>
          <w:rFonts w:ascii="Calibri Light" w:hAnsi="Calibri Light" w:cs="Calibri Light"/>
        </w:rPr>
        <w:t>seems unlikely to</w:t>
      </w:r>
      <w:r w:rsidRPr="00825DDF">
        <w:rPr>
          <w:rFonts w:ascii="Calibri Light" w:hAnsi="Calibri Light" w:cs="Calibri Light"/>
        </w:rPr>
        <w:t xml:space="preserve"> </w:t>
      </w:r>
      <w:r w:rsidR="00F0578A">
        <w:rPr>
          <w:rFonts w:ascii="Calibri Light" w:hAnsi="Calibri Light" w:cs="Calibri Light"/>
        </w:rPr>
        <w:t>PUWAG.</w:t>
      </w:r>
      <w:r w:rsidRPr="00825DDF">
        <w:rPr>
          <w:rFonts w:ascii="Calibri Light" w:hAnsi="Calibri Light" w:cs="Calibri Light"/>
        </w:rPr>
        <w:t xml:space="preserve"> Sentimentalist. Care-inflected. </w:t>
      </w:r>
      <w:r w:rsidR="00330DF8" w:rsidRPr="00825DDF">
        <w:rPr>
          <w:rFonts w:ascii="Calibri Light" w:hAnsi="Calibri Light" w:cs="Calibri Light"/>
        </w:rPr>
        <w:t>V-terms a</w:t>
      </w:r>
      <w:r w:rsidR="00330DF8">
        <w:rPr>
          <w:rFonts w:ascii="Calibri Light" w:hAnsi="Calibri Light" w:cs="Calibri Light"/>
        </w:rPr>
        <w:t>re</w:t>
      </w:r>
      <w:r w:rsidR="00330DF8" w:rsidRPr="00825DDF">
        <w:rPr>
          <w:rFonts w:ascii="Calibri Light" w:hAnsi="Calibri Light" w:cs="Calibri Light"/>
        </w:rPr>
        <w:t xml:space="preserve"> </w:t>
      </w:r>
      <w:r w:rsidR="00330DF8">
        <w:rPr>
          <w:rFonts w:ascii="Calibri Light" w:hAnsi="Calibri Light" w:cs="Calibri Light"/>
        </w:rPr>
        <w:t xml:space="preserve">merely </w:t>
      </w:r>
      <w:r w:rsidR="00330DF8" w:rsidRPr="00825DDF">
        <w:rPr>
          <w:rFonts w:ascii="Calibri Light" w:hAnsi="Calibri Light" w:cs="Calibri Light"/>
        </w:rPr>
        <w:t xml:space="preserve">descriptive. </w:t>
      </w:r>
      <w:r w:rsidR="00330DF8">
        <w:rPr>
          <w:rFonts w:ascii="Calibri Light" w:hAnsi="Calibri Light" w:cs="Calibri Light"/>
        </w:rPr>
        <w:t>P</w:t>
      </w:r>
      <w:r w:rsidR="00A33ADD">
        <w:rPr>
          <w:rFonts w:ascii="Calibri Light" w:hAnsi="Calibri Light" w:cs="Calibri Light"/>
        </w:rPr>
        <w:t>hronesis</w:t>
      </w:r>
      <w:r w:rsidR="00330DF8">
        <w:rPr>
          <w:rFonts w:ascii="Calibri Light" w:hAnsi="Calibri Light" w:cs="Calibri Light"/>
        </w:rPr>
        <w:t xml:space="preserve"> has gone with Aristotle</w:t>
      </w:r>
      <w:r w:rsidR="00A33ADD" w:rsidRPr="00825DDF">
        <w:rPr>
          <w:rFonts w:ascii="Calibri Light" w:hAnsi="Calibri Light" w:cs="Calibri Light"/>
        </w:rPr>
        <w:t>.</w:t>
      </w:r>
      <w:r w:rsidR="00A33ADD">
        <w:rPr>
          <w:rFonts w:ascii="Calibri Light" w:hAnsi="Calibri Light" w:cs="Calibri Light"/>
        </w:rPr>
        <w:t xml:space="preserve"> </w:t>
      </w:r>
      <w:r w:rsidR="00330DF8">
        <w:rPr>
          <w:rFonts w:ascii="Calibri Light" w:hAnsi="Calibri Light" w:cs="Calibri Light"/>
        </w:rPr>
        <w:t>The ‘practical reason’ in its place is determinedly</w:t>
      </w:r>
      <w:r w:rsidR="00595459">
        <w:rPr>
          <w:rFonts w:ascii="Calibri Light" w:hAnsi="Calibri Light" w:cs="Calibri Light"/>
        </w:rPr>
        <w:t xml:space="preserve"> not action-guiding</w:t>
      </w:r>
      <w:r w:rsidR="00330DF8">
        <w:rPr>
          <w:rFonts w:ascii="Calibri Light" w:hAnsi="Calibri Light" w:cs="Calibri Light"/>
        </w:rPr>
        <w:t>.</w:t>
      </w:r>
      <w:r w:rsidR="00F0578A">
        <w:rPr>
          <w:rStyle w:val="FootnoteReference"/>
          <w:rFonts w:ascii="Calibri Light" w:hAnsi="Calibri Light" w:cs="Calibri Light"/>
        </w:rPr>
        <w:footnoteReference w:id="59"/>
      </w:r>
      <w:r w:rsidR="00330DF8">
        <w:rPr>
          <w:rFonts w:ascii="Calibri Light" w:hAnsi="Calibri Light" w:cs="Calibri Light"/>
        </w:rPr>
        <w:t xml:space="preserve"> </w:t>
      </w:r>
      <w:r w:rsidR="001176E5">
        <w:rPr>
          <w:rFonts w:ascii="Calibri Light" w:hAnsi="Calibri Light" w:cs="Calibri Light"/>
        </w:rPr>
        <w:t>M</w:t>
      </w:r>
      <w:r w:rsidR="00330DF8">
        <w:rPr>
          <w:rFonts w:ascii="Calibri Light" w:hAnsi="Calibri Light" w:cs="Calibri Light"/>
        </w:rPr>
        <w:t xml:space="preserve">oral reasoning is, essentially, </w:t>
      </w:r>
      <w:r w:rsidR="00DB5A31">
        <w:rPr>
          <w:rFonts w:ascii="Calibri Light" w:hAnsi="Calibri Light" w:cs="Calibri Light"/>
        </w:rPr>
        <w:t>un</w:t>
      </w:r>
      <w:r w:rsidR="00A33ADD" w:rsidRPr="00825DDF">
        <w:rPr>
          <w:rFonts w:ascii="Calibri Light" w:hAnsi="Calibri Light" w:cs="Calibri Light"/>
        </w:rPr>
        <w:t>necessary.</w:t>
      </w:r>
      <w:r w:rsidR="00DB5A31" w:rsidRPr="00DB5A31">
        <w:rPr>
          <w:rFonts w:ascii="Calibri Light" w:hAnsi="Calibri Light" w:cs="Calibri Light"/>
        </w:rPr>
        <w:t xml:space="preserve"> </w:t>
      </w:r>
    </w:p>
    <w:p w14:paraId="0BCDB995" w14:textId="77777777" w:rsidR="00F0578A" w:rsidRDefault="00F0578A" w:rsidP="00825DDF">
      <w:pPr>
        <w:spacing w:line="360" w:lineRule="auto"/>
        <w:jc w:val="both"/>
        <w:rPr>
          <w:rFonts w:ascii="Calibri Light" w:hAnsi="Calibri Light" w:cs="Calibri Light"/>
        </w:rPr>
      </w:pPr>
    </w:p>
    <w:p w14:paraId="65D97294" w14:textId="409E639D" w:rsidR="00B71519" w:rsidRDefault="00B71519" w:rsidP="00825DDF">
      <w:pPr>
        <w:spacing w:line="360" w:lineRule="auto"/>
        <w:jc w:val="both"/>
        <w:rPr>
          <w:rFonts w:ascii="Calibri Light" w:hAnsi="Calibri Light" w:cs="Calibri Light"/>
        </w:rPr>
      </w:pPr>
      <w:r>
        <w:rPr>
          <w:rFonts w:ascii="Calibri Light" w:hAnsi="Calibri Light" w:cs="Calibri Light"/>
        </w:rPr>
        <w:t xml:space="preserve">For an </w:t>
      </w:r>
      <w:r w:rsidR="00F0578A">
        <w:rPr>
          <w:rFonts w:ascii="Calibri Light" w:hAnsi="Calibri Light" w:cs="Calibri Light"/>
        </w:rPr>
        <w:t>agent</w:t>
      </w:r>
      <w:r>
        <w:rPr>
          <w:rFonts w:ascii="Calibri Light" w:hAnsi="Calibri Light" w:cs="Calibri Light"/>
        </w:rPr>
        <w:t xml:space="preserve"> seeking a</w:t>
      </w:r>
      <w:r w:rsidR="00F0578A">
        <w:rPr>
          <w:rFonts w:ascii="Calibri Light" w:hAnsi="Calibri Light" w:cs="Calibri Light"/>
        </w:rPr>
        <w:t xml:space="preserve"> complete</w:t>
      </w:r>
      <w:r>
        <w:rPr>
          <w:rFonts w:ascii="Calibri Light" w:hAnsi="Calibri Light" w:cs="Calibri Light"/>
        </w:rPr>
        <w:t xml:space="preserve"> </w:t>
      </w:r>
      <w:r w:rsidR="00F0578A">
        <w:rPr>
          <w:rFonts w:ascii="Calibri Light" w:hAnsi="Calibri Light" w:cs="Calibri Light"/>
        </w:rPr>
        <w:t>theory</w:t>
      </w:r>
      <w:r>
        <w:rPr>
          <w:rFonts w:ascii="Calibri Light" w:hAnsi="Calibri Light" w:cs="Calibri Light"/>
        </w:rPr>
        <w:t xml:space="preserve">, benevolence as basic will either be obvious or not. </w:t>
      </w:r>
      <w:r w:rsidR="00F0578A">
        <w:rPr>
          <w:rFonts w:ascii="Calibri Light" w:hAnsi="Calibri Light" w:cs="Calibri Light"/>
        </w:rPr>
        <w:t>They might agree</w:t>
      </w:r>
      <w:r w:rsidR="00331A02">
        <w:rPr>
          <w:rFonts w:ascii="Calibri Light" w:hAnsi="Calibri Light" w:cs="Calibri Light"/>
        </w:rPr>
        <w:t xml:space="preserve"> that motivation should </w:t>
      </w:r>
      <w:r w:rsidR="00F431FF">
        <w:rPr>
          <w:rFonts w:ascii="Calibri Light" w:hAnsi="Calibri Light" w:cs="Calibri Light"/>
        </w:rPr>
        <w:t>affect</w:t>
      </w:r>
      <w:r w:rsidR="00331A02">
        <w:rPr>
          <w:rFonts w:ascii="Calibri Light" w:hAnsi="Calibri Light" w:cs="Calibri Light"/>
        </w:rPr>
        <w:t xml:space="preserve"> ‘rightness’ and luck</w:t>
      </w:r>
      <w:r w:rsidR="00F431FF">
        <w:rPr>
          <w:rFonts w:ascii="Calibri Light" w:hAnsi="Calibri Light" w:cs="Calibri Light"/>
        </w:rPr>
        <w:t xml:space="preserve"> is</w:t>
      </w:r>
      <w:r w:rsidR="00331A02">
        <w:rPr>
          <w:rFonts w:ascii="Calibri Light" w:hAnsi="Calibri Light" w:cs="Calibri Light"/>
        </w:rPr>
        <w:t xml:space="preserve"> egregious. </w:t>
      </w:r>
      <w:r w:rsidR="00F0578A">
        <w:rPr>
          <w:rFonts w:ascii="Calibri Light" w:hAnsi="Calibri Light" w:cs="Calibri Light"/>
        </w:rPr>
        <w:t>Agent</w:t>
      </w:r>
      <w:r w:rsidR="00331A02">
        <w:rPr>
          <w:rFonts w:ascii="Calibri Light" w:hAnsi="Calibri Light" w:cs="Calibri Light"/>
        </w:rPr>
        <w:t>-basing and the cost of exclusion</w:t>
      </w:r>
      <w:r w:rsidR="00F0578A">
        <w:rPr>
          <w:rFonts w:ascii="Calibri Light" w:hAnsi="Calibri Light" w:cs="Calibri Light"/>
        </w:rPr>
        <w:t xml:space="preserve"> may be too much</w:t>
      </w:r>
      <w:r w:rsidR="00331A02">
        <w:rPr>
          <w:rFonts w:ascii="Calibri Light" w:hAnsi="Calibri Light" w:cs="Calibri Light"/>
        </w:rPr>
        <w:t xml:space="preserve">. </w:t>
      </w:r>
      <w:r w:rsidR="00F0578A">
        <w:rPr>
          <w:rFonts w:ascii="Calibri Light" w:hAnsi="Calibri Light" w:cs="Calibri Light"/>
        </w:rPr>
        <w:t xml:space="preserve">It is not at intuitive disadvantage to EVE. </w:t>
      </w:r>
      <w:r w:rsidR="00472253">
        <w:rPr>
          <w:rFonts w:ascii="Calibri Light" w:hAnsi="Calibri Light" w:cs="Calibri Light"/>
        </w:rPr>
        <w:t xml:space="preserve">Fundamental benevolence may well be more enticing than the idea of a life not flourishing. </w:t>
      </w:r>
    </w:p>
    <w:p w14:paraId="02F5D0DD" w14:textId="77777777" w:rsidR="00F0578A" w:rsidRDefault="00F0578A" w:rsidP="00825DDF">
      <w:pPr>
        <w:spacing w:line="360" w:lineRule="auto"/>
        <w:jc w:val="both"/>
        <w:rPr>
          <w:rFonts w:ascii="Calibri Light" w:hAnsi="Calibri Light" w:cs="Calibri Light"/>
        </w:rPr>
      </w:pPr>
    </w:p>
    <w:p w14:paraId="6E0D52AF" w14:textId="77FABD77" w:rsidR="00331A02" w:rsidRDefault="00472253" w:rsidP="00331A02">
      <w:pPr>
        <w:spacing w:line="360" w:lineRule="auto"/>
        <w:jc w:val="both"/>
        <w:rPr>
          <w:rFonts w:ascii="Calibri Light" w:hAnsi="Calibri Light" w:cs="Calibri Light"/>
        </w:rPr>
      </w:pPr>
      <w:r>
        <w:rPr>
          <w:rFonts w:ascii="Calibri Light" w:hAnsi="Calibri Light" w:cs="Calibri Light"/>
        </w:rPr>
        <w:t xml:space="preserve">EVE and </w:t>
      </w:r>
      <w:r w:rsidR="00586DEE">
        <w:rPr>
          <w:rFonts w:ascii="Calibri Light" w:hAnsi="Calibri Light" w:cs="Calibri Light"/>
        </w:rPr>
        <w:t>TVCE</w:t>
      </w:r>
      <w:r>
        <w:rPr>
          <w:rFonts w:ascii="Calibri Light" w:hAnsi="Calibri Light" w:cs="Calibri Light"/>
        </w:rPr>
        <w:t xml:space="preserve"> accept that to </w:t>
      </w:r>
      <w:r w:rsidR="00F0578A">
        <w:rPr>
          <w:rFonts w:ascii="Calibri Light" w:hAnsi="Calibri Light" w:cs="Calibri Light"/>
        </w:rPr>
        <w:t>PUWAG</w:t>
      </w:r>
      <w:r>
        <w:rPr>
          <w:rFonts w:ascii="Calibri Light" w:hAnsi="Calibri Light" w:cs="Calibri Light"/>
        </w:rPr>
        <w:t xml:space="preserve">, a degree of codification is </w:t>
      </w:r>
      <w:r w:rsidR="00F0578A">
        <w:rPr>
          <w:rFonts w:ascii="Calibri Light" w:hAnsi="Calibri Light" w:cs="Calibri Light"/>
        </w:rPr>
        <w:t>required</w:t>
      </w:r>
      <w:r>
        <w:rPr>
          <w:rFonts w:ascii="Calibri Light" w:hAnsi="Calibri Light" w:cs="Calibri Light"/>
        </w:rPr>
        <w:t xml:space="preserve">. For Slote, </w:t>
      </w:r>
      <w:r w:rsidRPr="00472253">
        <w:rPr>
          <w:rFonts w:ascii="Calibri Light" w:hAnsi="Calibri Light" w:cs="Calibri Light"/>
        </w:rPr>
        <w:t>not</w:t>
      </w:r>
      <w:r>
        <w:rPr>
          <w:rFonts w:ascii="Calibri Light" w:hAnsi="Calibri Light" w:cs="Calibri Light"/>
        </w:rPr>
        <w:t xml:space="preserve"> consulting/following principes </w:t>
      </w:r>
      <w:r w:rsidR="00331A02" w:rsidRPr="00825DDF">
        <w:rPr>
          <w:rFonts w:ascii="Calibri Light" w:hAnsi="Calibri Light" w:cs="Calibri Light"/>
        </w:rPr>
        <w:t>is morally preferable</w:t>
      </w:r>
      <w:r w:rsidR="00331A02">
        <w:rPr>
          <w:rFonts w:ascii="Calibri Light" w:hAnsi="Calibri Light" w:cs="Calibri Light"/>
        </w:rPr>
        <w:t xml:space="preserve">. </w:t>
      </w:r>
      <w:r w:rsidR="00F0578A">
        <w:rPr>
          <w:rFonts w:ascii="Calibri Light" w:hAnsi="Calibri Light" w:cs="Calibri Light"/>
        </w:rPr>
        <w:t xml:space="preserve">Occasionally useful, </w:t>
      </w:r>
      <w:r w:rsidR="00331A02">
        <w:rPr>
          <w:rFonts w:ascii="Calibri Light" w:hAnsi="Calibri Light" w:cs="Calibri Light"/>
        </w:rPr>
        <w:t>t</w:t>
      </w:r>
      <w:r w:rsidR="00331A02">
        <w:rPr>
          <w:rFonts w:ascii="Calibri Light" w:hAnsi="Calibri Light" w:cs="Calibri Light"/>
        </w:rPr>
        <w:t xml:space="preserve">heir deployment </w:t>
      </w:r>
      <w:r w:rsidR="00331A02">
        <w:rPr>
          <w:rFonts w:ascii="Calibri Light" w:hAnsi="Calibri Light" w:cs="Calibri Light"/>
        </w:rPr>
        <w:t xml:space="preserve">is </w:t>
      </w:r>
      <w:r w:rsidR="00331A02">
        <w:rPr>
          <w:rFonts w:ascii="Calibri Light" w:hAnsi="Calibri Light" w:cs="Calibri Light"/>
        </w:rPr>
        <w:t>usually a sign of failure</w:t>
      </w:r>
      <w:r w:rsidR="00331A02" w:rsidRPr="00825DDF">
        <w:rPr>
          <w:rFonts w:ascii="Calibri Light" w:hAnsi="Calibri Light" w:cs="Calibri Light"/>
        </w:rPr>
        <w:t>.</w:t>
      </w:r>
      <w:r w:rsidR="00331A02" w:rsidRPr="00825DDF">
        <w:rPr>
          <w:rStyle w:val="FootnoteReference"/>
          <w:rFonts w:ascii="Calibri Light" w:hAnsi="Calibri Light" w:cs="Calibri Light"/>
        </w:rPr>
        <w:footnoteReference w:id="60"/>
      </w:r>
      <w:r w:rsidR="00331A02">
        <w:rPr>
          <w:rFonts w:ascii="Calibri Light" w:hAnsi="Calibri Light" w:cs="Calibri Light"/>
        </w:rPr>
        <w:t xml:space="preserve"> </w:t>
      </w:r>
      <w:r w:rsidR="00331A02">
        <w:rPr>
          <w:rFonts w:ascii="Calibri Light" w:hAnsi="Calibri Light" w:cs="Calibri Light"/>
        </w:rPr>
        <w:t>For the virtuous, m</w:t>
      </w:r>
      <w:r w:rsidR="00331A02">
        <w:rPr>
          <w:rFonts w:ascii="Calibri Light" w:hAnsi="Calibri Light" w:cs="Calibri Light"/>
        </w:rPr>
        <w:t>oral principles</w:t>
      </w:r>
      <w:r w:rsidR="00331A02">
        <w:rPr>
          <w:rFonts w:ascii="Calibri Light" w:hAnsi="Calibri Light" w:cs="Calibri Light"/>
        </w:rPr>
        <w:t xml:space="preserve"> only stand to obstruct them</w:t>
      </w:r>
      <w:r w:rsidR="001176E5">
        <w:rPr>
          <w:rFonts w:ascii="Calibri Light" w:hAnsi="Calibri Light" w:cs="Calibri Light"/>
        </w:rPr>
        <w:t xml:space="preserve">. </w:t>
      </w:r>
      <w:r w:rsidR="000677C5">
        <w:rPr>
          <w:rFonts w:ascii="Calibri Light" w:hAnsi="Calibri Light" w:cs="Calibri Light"/>
        </w:rPr>
        <w:t>Not that t</w:t>
      </w:r>
      <w:r w:rsidR="001176E5">
        <w:rPr>
          <w:rFonts w:ascii="Calibri Light" w:hAnsi="Calibri Light" w:cs="Calibri Light"/>
        </w:rPr>
        <w:t>he</w:t>
      </w:r>
      <w:r w:rsidR="00331A02">
        <w:rPr>
          <w:rFonts w:ascii="Calibri Light" w:hAnsi="Calibri Light" w:cs="Calibri Light"/>
        </w:rPr>
        <w:t xml:space="preserve"> benevolent</w:t>
      </w:r>
      <w:r w:rsidR="000677C5">
        <w:rPr>
          <w:rFonts w:ascii="Calibri Light" w:hAnsi="Calibri Light" w:cs="Calibri Light"/>
        </w:rPr>
        <w:t xml:space="preserve"> would notice or think to look. They are unconcerned about their actions being deemed right</w:t>
      </w:r>
      <w:r w:rsidR="00331A02">
        <w:rPr>
          <w:rFonts w:ascii="Calibri Light" w:hAnsi="Calibri Light" w:cs="Calibri Light"/>
        </w:rPr>
        <w:t xml:space="preserve">. For the non-virtuous, </w:t>
      </w:r>
      <w:r w:rsidR="00EC0837">
        <w:rPr>
          <w:rFonts w:ascii="Calibri Light" w:hAnsi="Calibri Light" w:cs="Calibri Light"/>
        </w:rPr>
        <w:t>principles will not</w:t>
      </w:r>
      <w:r w:rsidR="00331A02">
        <w:rPr>
          <w:rFonts w:ascii="Calibri Light" w:hAnsi="Calibri Light" w:cs="Calibri Light"/>
        </w:rPr>
        <w:t xml:space="preserve"> help. Conscientious attention to principles will not improve them.</w:t>
      </w:r>
      <w:r w:rsidR="00EC0837">
        <w:rPr>
          <w:rStyle w:val="FootnoteReference"/>
          <w:rFonts w:ascii="Calibri Light" w:hAnsi="Calibri Light" w:cs="Calibri Light"/>
        </w:rPr>
        <w:footnoteReference w:id="61"/>
      </w:r>
      <w:r w:rsidR="00331A02">
        <w:rPr>
          <w:rFonts w:ascii="Calibri Light" w:hAnsi="Calibri Light" w:cs="Calibri Light"/>
        </w:rPr>
        <w:t xml:space="preserve"> </w:t>
      </w:r>
    </w:p>
    <w:p w14:paraId="20CB395F" w14:textId="77777777" w:rsidR="00AE32E6" w:rsidRDefault="00AE32E6" w:rsidP="00331A02">
      <w:pPr>
        <w:spacing w:line="360" w:lineRule="auto"/>
        <w:jc w:val="both"/>
        <w:rPr>
          <w:rFonts w:ascii="Calibri Light" w:hAnsi="Calibri Light" w:cs="Calibri Light"/>
        </w:rPr>
      </w:pPr>
    </w:p>
    <w:p w14:paraId="0959C120" w14:textId="77777777" w:rsidR="00EC0837" w:rsidRDefault="00727A25" w:rsidP="001A5BDC">
      <w:pPr>
        <w:spacing w:line="360" w:lineRule="auto"/>
        <w:jc w:val="both"/>
        <w:rPr>
          <w:rFonts w:ascii="Calibri Light" w:hAnsi="Calibri Light" w:cs="Calibri Light"/>
        </w:rPr>
      </w:pPr>
      <w:r>
        <w:rPr>
          <w:rFonts w:ascii="Calibri Light" w:hAnsi="Calibri Light" w:cs="Calibri Light"/>
        </w:rPr>
        <w:t xml:space="preserve">Why then is Slote simultaneously providing an </w:t>
      </w:r>
      <w:r w:rsidR="00EC0837">
        <w:rPr>
          <w:rFonts w:ascii="Calibri Light" w:hAnsi="Calibri Light" w:cs="Calibri Light"/>
        </w:rPr>
        <w:t>Action-Theory</w:t>
      </w:r>
      <w:r>
        <w:rPr>
          <w:rFonts w:ascii="Calibri Light" w:hAnsi="Calibri Light" w:cs="Calibri Light"/>
        </w:rPr>
        <w:t xml:space="preserve">? He saves himself from </w:t>
      </w:r>
      <w:r w:rsidR="002D5C5F">
        <w:rPr>
          <w:rFonts w:ascii="Calibri Light" w:hAnsi="Calibri Light" w:cs="Calibri Light"/>
        </w:rPr>
        <w:t xml:space="preserve">an acute case of </w:t>
      </w:r>
      <w:r>
        <w:rPr>
          <w:rFonts w:ascii="Calibri Light" w:hAnsi="Calibri Light" w:cs="Calibri Light"/>
        </w:rPr>
        <w:t>self-defeat by the very idea that he is advancing. P</w:t>
      </w:r>
      <w:r w:rsidR="000677C5">
        <w:rPr>
          <w:rFonts w:ascii="Calibri Light" w:hAnsi="Calibri Light" w:cs="Calibri Light"/>
        </w:rPr>
        <w:t xml:space="preserve">rinciples do not need to be action-guiding. </w:t>
      </w:r>
    </w:p>
    <w:p w14:paraId="260722EB" w14:textId="77777777" w:rsidR="00EC0837" w:rsidRDefault="00EC0837" w:rsidP="001A5BDC">
      <w:pPr>
        <w:spacing w:line="360" w:lineRule="auto"/>
        <w:jc w:val="both"/>
        <w:rPr>
          <w:rFonts w:ascii="Calibri Light" w:hAnsi="Calibri Light" w:cs="Calibri Light"/>
        </w:rPr>
      </w:pPr>
    </w:p>
    <w:p w14:paraId="17669A99" w14:textId="2CBB3BCE" w:rsidR="00EC0837" w:rsidRDefault="000677C5" w:rsidP="001A5BDC">
      <w:pPr>
        <w:spacing w:line="360" w:lineRule="auto"/>
        <w:jc w:val="both"/>
        <w:rPr>
          <w:rFonts w:ascii="Calibri Light" w:hAnsi="Calibri Light" w:cs="Calibri Light"/>
        </w:rPr>
      </w:pPr>
      <w:r>
        <w:rPr>
          <w:rFonts w:ascii="Calibri Light" w:hAnsi="Calibri Light" w:cs="Calibri Light"/>
        </w:rPr>
        <w:t xml:space="preserve">Having a ‘standard’ is important but </w:t>
      </w:r>
      <w:r w:rsidR="00BB5943">
        <w:rPr>
          <w:rFonts w:ascii="Calibri Light" w:hAnsi="Calibri Light" w:cs="Calibri Light"/>
        </w:rPr>
        <w:t>not because it’s guiding</w:t>
      </w:r>
      <w:r>
        <w:rPr>
          <w:rFonts w:ascii="Calibri Light" w:hAnsi="Calibri Light" w:cs="Calibri Light"/>
        </w:rPr>
        <w:t xml:space="preserve">. </w:t>
      </w:r>
      <w:r w:rsidR="00BB5943">
        <w:rPr>
          <w:rFonts w:ascii="Calibri Light" w:hAnsi="Calibri Light" w:cs="Calibri Light"/>
        </w:rPr>
        <w:t xml:space="preserve">In </w:t>
      </w:r>
      <w:r w:rsidR="00727A25">
        <w:rPr>
          <w:rFonts w:ascii="Calibri Light" w:hAnsi="Calibri Light" w:cs="Calibri Light"/>
        </w:rPr>
        <w:t>a</w:t>
      </w:r>
      <w:r w:rsidR="00BB5943">
        <w:rPr>
          <w:rFonts w:ascii="Calibri Light" w:hAnsi="Calibri Light" w:cs="Calibri Light"/>
        </w:rPr>
        <w:t xml:space="preserve"> sense, </w:t>
      </w:r>
      <w:r w:rsidR="00727A25">
        <w:rPr>
          <w:rFonts w:ascii="Calibri Light" w:hAnsi="Calibri Light" w:cs="Calibri Light"/>
        </w:rPr>
        <w:t>the</w:t>
      </w:r>
      <w:r w:rsidR="00BB5943">
        <w:rPr>
          <w:rFonts w:ascii="Calibri Light" w:hAnsi="Calibri Light" w:cs="Calibri Light"/>
        </w:rPr>
        <w:t xml:space="preserve"> orthodox distinction between (T/Criterion) and (P/Decision-Procedure)</w:t>
      </w:r>
      <w:r w:rsidR="001A5BDC">
        <w:rPr>
          <w:rFonts w:ascii="Calibri Light" w:hAnsi="Calibri Light" w:cs="Calibri Light"/>
        </w:rPr>
        <w:t xml:space="preserve"> is</w:t>
      </w:r>
      <w:r w:rsidR="00727A25">
        <w:rPr>
          <w:rFonts w:ascii="Calibri Light" w:hAnsi="Calibri Light" w:cs="Calibri Light"/>
        </w:rPr>
        <w:t xml:space="preserve"> </w:t>
      </w:r>
      <w:r w:rsidR="001A5BDC">
        <w:rPr>
          <w:rFonts w:ascii="Calibri Light" w:hAnsi="Calibri Light" w:cs="Calibri Light"/>
        </w:rPr>
        <w:t>maintained</w:t>
      </w:r>
      <w:r w:rsidR="00BB5943">
        <w:rPr>
          <w:rFonts w:ascii="Calibri Light" w:hAnsi="Calibri Light" w:cs="Calibri Light"/>
        </w:rPr>
        <w:t>.</w:t>
      </w:r>
      <w:r w:rsidR="00727A25">
        <w:rPr>
          <w:rFonts w:ascii="Calibri Light" w:hAnsi="Calibri Light" w:cs="Calibri Light"/>
        </w:rPr>
        <w:t xml:space="preserve"> It’s just he does not care for (P</w:t>
      </w:r>
      <w:r w:rsidR="00EC0837">
        <w:rPr>
          <w:rFonts w:ascii="Calibri Light" w:hAnsi="Calibri Light" w:cs="Calibri Light"/>
        </w:rPr>
        <w:t>).</w:t>
      </w:r>
      <w:r w:rsidR="001A5BDC">
        <w:rPr>
          <w:rFonts w:ascii="Calibri Light" w:hAnsi="Calibri Light" w:cs="Calibri Light"/>
        </w:rPr>
        <w:t xml:space="preserve"> </w:t>
      </w:r>
    </w:p>
    <w:p w14:paraId="4A9F84A6" w14:textId="77777777" w:rsidR="00EC0837" w:rsidRDefault="00EC0837" w:rsidP="001A5BDC">
      <w:pPr>
        <w:spacing w:line="360" w:lineRule="auto"/>
        <w:jc w:val="both"/>
        <w:rPr>
          <w:rFonts w:ascii="Calibri Light" w:hAnsi="Calibri Light" w:cs="Calibri Light"/>
        </w:rPr>
      </w:pPr>
    </w:p>
    <w:p w14:paraId="674C89EA" w14:textId="77777777" w:rsidR="00E85C1E" w:rsidRDefault="00727A25" w:rsidP="001A5BDC">
      <w:pPr>
        <w:spacing w:line="360" w:lineRule="auto"/>
        <w:jc w:val="both"/>
        <w:rPr>
          <w:rFonts w:ascii="Calibri Light" w:hAnsi="Calibri Light" w:cs="Calibri Light"/>
        </w:rPr>
      </w:pPr>
      <w:r>
        <w:rPr>
          <w:rFonts w:ascii="Calibri Light" w:hAnsi="Calibri Light" w:cs="Calibri Light"/>
        </w:rPr>
        <w:t>EVE also makes use of an individuated standard but it does so</w:t>
      </w:r>
      <w:r w:rsidR="001A5BDC">
        <w:rPr>
          <w:rFonts w:ascii="Calibri Light" w:hAnsi="Calibri Light" w:cs="Calibri Light"/>
        </w:rPr>
        <w:t xml:space="preserve"> to facilitate decisions</w:t>
      </w:r>
      <w:r w:rsidR="00AF27B1">
        <w:rPr>
          <w:rFonts w:ascii="Calibri Light" w:hAnsi="Calibri Light" w:cs="Calibri Light"/>
        </w:rPr>
        <w:t xml:space="preserve">. </w:t>
      </w:r>
      <w:r w:rsidR="00EC0837">
        <w:rPr>
          <w:rFonts w:ascii="Calibri Light" w:hAnsi="Calibri Light" w:cs="Calibri Light"/>
        </w:rPr>
        <w:t xml:space="preserve">It packs its (T) with guidance. </w:t>
      </w:r>
      <w:r w:rsidR="00AF27B1">
        <w:rPr>
          <w:rFonts w:ascii="Calibri Light" w:hAnsi="Calibri Light" w:cs="Calibri Light"/>
        </w:rPr>
        <w:t xml:space="preserve">Slote, for whom decisions are action, does not avail himself of that distinction. For Slote, </w:t>
      </w:r>
      <w:r w:rsidR="001A5BDC">
        <w:rPr>
          <w:rFonts w:ascii="Calibri Light" w:hAnsi="Calibri Light" w:cs="Calibri Light"/>
        </w:rPr>
        <w:t xml:space="preserve">‘one thought too many’ </w:t>
      </w:r>
      <w:r w:rsidR="00AF27B1">
        <w:rPr>
          <w:rFonts w:ascii="Calibri Light" w:hAnsi="Calibri Light" w:cs="Calibri Light"/>
        </w:rPr>
        <w:t>is not</w:t>
      </w:r>
      <w:r w:rsidR="001A5BDC">
        <w:rPr>
          <w:rFonts w:ascii="Calibri Light" w:hAnsi="Calibri Light" w:cs="Calibri Light"/>
        </w:rPr>
        <w:t xml:space="preserve"> evidence of </w:t>
      </w:r>
      <w:r w:rsidR="00AF27B1">
        <w:rPr>
          <w:rFonts w:ascii="Calibri Light" w:hAnsi="Calibri Light" w:cs="Calibri Light"/>
        </w:rPr>
        <w:t>Morality’s</w:t>
      </w:r>
      <w:r w:rsidR="001A5BDC">
        <w:rPr>
          <w:rFonts w:ascii="Calibri Light" w:hAnsi="Calibri Light" w:cs="Calibri Light"/>
        </w:rPr>
        <w:t xml:space="preserve"> overreach</w:t>
      </w:r>
      <w:r w:rsidR="00AF27B1">
        <w:rPr>
          <w:rFonts w:ascii="Calibri Light" w:hAnsi="Calibri Light" w:cs="Calibri Light"/>
        </w:rPr>
        <w:t>. That</w:t>
      </w:r>
      <w:r>
        <w:rPr>
          <w:rFonts w:ascii="Calibri Light" w:hAnsi="Calibri Light" w:cs="Calibri Light"/>
        </w:rPr>
        <w:t xml:space="preserve">, </w:t>
      </w:r>
      <w:r>
        <w:rPr>
          <w:rFonts w:ascii="Calibri Light" w:hAnsi="Calibri Light" w:cs="Calibri Light"/>
        </w:rPr>
        <w:lastRenderedPageBreak/>
        <w:t>Slote says,</w:t>
      </w:r>
      <w:r w:rsidR="00AF27B1">
        <w:rPr>
          <w:rFonts w:ascii="Calibri Light" w:hAnsi="Calibri Light" w:cs="Calibri Light"/>
        </w:rPr>
        <w:t xml:space="preserve"> first requires</w:t>
      </w:r>
      <w:r w:rsidR="001A5BDC">
        <w:rPr>
          <w:rFonts w:ascii="Calibri Light" w:hAnsi="Calibri Light" w:cs="Calibri Light"/>
        </w:rPr>
        <w:t xml:space="preserve"> </w:t>
      </w:r>
      <w:r w:rsidR="00AF27B1">
        <w:rPr>
          <w:rFonts w:ascii="Calibri Light" w:hAnsi="Calibri Light" w:cs="Calibri Light"/>
        </w:rPr>
        <w:t>t</w:t>
      </w:r>
      <w:r w:rsidR="001A5BDC">
        <w:rPr>
          <w:rFonts w:ascii="Calibri Light" w:hAnsi="Calibri Light" w:cs="Calibri Light"/>
        </w:rPr>
        <w:t>he conviction that moral principles are action-guiding.</w:t>
      </w:r>
      <w:r>
        <w:rPr>
          <w:rStyle w:val="FootnoteReference"/>
          <w:rFonts w:ascii="Calibri Light" w:hAnsi="Calibri Light" w:cs="Calibri Light"/>
        </w:rPr>
        <w:footnoteReference w:id="62"/>
      </w:r>
      <w:r w:rsidR="001A5BDC">
        <w:rPr>
          <w:rFonts w:ascii="Calibri Light" w:hAnsi="Calibri Light" w:cs="Calibri Light"/>
        </w:rPr>
        <w:t xml:space="preserve"> Slote</w:t>
      </w:r>
      <w:r w:rsidR="00E85C1E">
        <w:rPr>
          <w:rFonts w:ascii="Calibri Light" w:hAnsi="Calibri Light" w:cs="Calibri Light"/>
        </w:rPr>
        <w:t xml:space="preserve">, </w:t>
      </w:r>
      <w:r w:rsidR="001A5BDC">
        <w:rPr>
          <w:rFonts w:ascii="Calibri Light" w:hAnsi="Calibri Light" w:cs="Calibri Light"/>
        </w:rPr>
        <w:t xml:space="preserve"> </w:t>
      </w:r>
      <w:r w:rsidR="00E85C1E">
        <w:rPr>
          <w:rFonts w:ascii="Calibri Light" w:hAnsi="Calibri Light" w:cs="Calibri Light"/>
        </w:rPr>
        <w:t>comfortable with morality’s jurisdiction</w:t>
      </w:r>
      <w:r w:rsidR="00E85C1E">
        <w:rPr>
          <w:rFonts w:ascii="Calibri Light" w:hAnsi="Calibri Light" w:cs="Calibri Light"/>
        </w:rPr>
        <w:t xml:space="preserve">, </w:t>
      </w:r>
      <w:r w:rsidR="001A5BDC">
        <w:rPr>
          <w:rFonts w:ascii="Calibri Light" w:hAnsi="Calibri Light" w:cs="Calibri Light"/>
        </w:rPr>
        <w:t>denies they are</w:t>
      </w:r>
      <w:r w:rsidR="002D5C5F">
        <w:rPr>
          <w:rFonts w:ascii="Calibri Light" w:hAnsi="Calibri Light" w:cs="Calibri Light"/>
        </w:rPr>
        <w:t xml:space="preserve">. </w:t>
      </w:r>
    </w:p>
    <w:p w14:paraId="6F3F9EF4" w14:textId="77777777" w:rsidR="00E85C1E" w:rsidRDefault="00E85C1E" w:rsidP="001A5BDC">
      <w:pPr>
        <w:spacing w:line="360" w:lineRule="auto"/>
        <w:jc w:val="both"/>
        <w:rPr>
          <w:rFonts w:ascii="Calibri Light" w:hAnsi="Calibri Light" w:cs="Calibri Light"/>
        </w:rPr>
      </w:pPr>
    </w:p>
    <w:p w14:paraId="6E7B08B7" w14:textId="7058AB17" w:rsidR="00E85C1E" w:rsidRDefault="00E85C1E" w:rsidP="001A5BDC">
      <w:pPr>
        <w:spacing w:line="360" w:lineRule="auto"/>
        <w:jc w:val="both"/>
        <w:rPr>
          <w:rFonts w:ascii="Calibri Light" w:hAnsi="Calibri Light" w:cs="Calibri Light"/>
        </w:rPr>
      </w:pPr>
      <w:r>
        <w:rPr>
          <w:rFonts w:ascii="Calibri Light" w:hAnsi="Calibri Light" w:cs="Calibri Light"/>
        </w:rPr>
        <w:t>For Slote, Husband is morally permitted but there is no reason to think in moral terms</w:t>
      </w:r>
      <w:r w:rsidR="001A5BDC">
        <w:rPr>
          <w:rFonts w:ascii="Calibri Light" w:hAnsi="Calibri Light" w:cs="Calibri Light"/>
        </w:rPr>
        <w:t>. To which a Kantian might reply that Husband has no obligation to use the D</w:t>
      </w:r>
      <w:r w:rsidR="00AE32E6">
        <w:rPr>
          <w:rFonts w:ascii="Calibri Light" w:hAnsi="Calibri Light" w:cs="Calibri Light"/>
        </w:rPr>
        <w:t>ecision-</w:t>
      </w:r>
      <w:r w:rsidR="001A5BDC">
        <w:rPr>
          <w:rFonts w:ascii="Calibri Light" w:hAnsi="Calibri Light" w:cs="Calibri Light"/>
        </w:rPr>
        <w:t>P</w:t>
      </w:r>
      <w:r w:rsidR="00AE32E6">
        <w:rPr>
          <w:rFonts w:ascii="Calibri Light" w:hAnsi="Calibri Light" w:cs="Calibri Light"/>
        </w:rPr>
        <w:t>rocedure</w:t>
      </w:r>
      <w:r w:rsidR="001A5BDC">
        <w:rPr>
          <w:rFonts w:ascii="Calibri Light" w:hAnsi="Calibri Light" w:cs="Calibri Light"/>
        </w:rPr>
        <w:t>. Which sounds a lot like ‘the DP is not necessary’</w:t>
      </w:r>
      <w:r w:rsidR="00AF27B1">
        <w:rPr>
          <w:rFonts w:ascii="Calibri Light" w:hAnsi="Calibri Light" w:cs="Calibri Light"/>
        </w:rPr>
        <w:t xml:space="preserve"> (</w:t>
      </w:r>
      <w:r w:rsidR="002D5C5F">
        <w:rPr>
          <w:rFonts w:ascii="Calibri Light" w:hAnsi="Calibri Light" w:cs="Calibri Light"/>
        </w:rPr>
        <w:t xml:space="preserve">or do we just use it </w:t>
      </w:r>
      <w:r w:rsidR="00AF27B1">
        <w:rPr>
          <w:rFonts w:ascii="Calibri Light" w:hAnsi="Calibri Light" w:cs="Calibri Light"/>
        </w:rPr>
        <w:t>when we have time?)</w:t>
      </w:r>
      <w:r w:rsidR="00727A25">
        <w:rPr>
          <w:rFonts w:ascii="Calibri Light" w:hAnsi="Calibri Light" w:cs="Calibri Light"/>
        </w:rPr>
        <w:t>.</w:t>
      </w:r>
    </w:p>
    <w:p w14:paraId="61E0A3EE" w14:textId="6178B315" w:rsidR="001A5BDC" w:rsidRDefault="00AF27B1" w:rsidP="001A5BDC">
      <w:pPr>
        <w:spacing w:line="360" w:lineRule="auto"/>
        <w:jc w:val="both"/>
        <w:rPr>
          <w:rFonts w:ascii="Calibri Light" w:hAnsi="Calibri Light" w:cs="Calibri Light"/>
        </w:rPr>
      </w:pPr>
      <w:r>
        <w:rPr>
          <w:rFonts w:ascii="Calibri Light" w:hAnsi="Calibri Light" w:cs="Calibri Light"/>
        </w:rPr>
        <w:t xml:space="preserve"> </w:t>
      </w:r>
    </w:p>
    <w:p w14:paraId="66ABF3BB" w14:textId="299E4271" w:rsidR="002D5C5F" w:rsidRDefault="002D5C5F" w:rsidP="001A5BDC">
      <w:pPr>
        <w:spacing w:line="360" w:lineRule="auto"/>
        <w:jc w:val="both"/>
        <w:rPr>
          <w:rFonts w:ascii="Calibri Light" w:hAnsi="Calibri Light" w:cs="Calibri Light"/>
        </w:rPr>
      </w:pPr>
      <w:r>
        <w:rPr>
          <w:rFonts w:ascii="Calibri Light" w:hAnsi="Calibri Light" w:cs="Calibri Light"/>
        </w:rPr>
        <w:t>Slote’s A</w:t>
      </w:r>
      <w:r w:rsidR="00E85C1E">
        <w:rPr>
          <w:rFonts w:ascii="Calibri Light" w:hAnsi="Calibri Light" w:cs="Calibri Light"/>
        </w:rPr>
        <w:t xml:space="preserve">ction-Theory </w:t>
      </w:r>
      <w:r>
        <w:rPr>
          <w:rFonts w:ascii="Calibri Light" w:hAnsi="Calibri Light" w:cs="Calibri Light"/>
        </w:rPr>
        <w:t xml:space="preserve">has received plentiful criticism. </w:t>
      </w:r>
      <w:r w:rsidR="003E3846">
        <w:rPr>
          <w:rFonts w:ascii="Calibri Light" w:hAnsi="Calibri Light" w:cs="Calibri Light"/>
        </w:rPr>
        <w:t xml:space="preserve">It does </w:t>
      </w:r>
      <w:r w:rsidR="003E3846" w:rsidRPr="003E3846">
        <w:rPr>
          <w:rFonts w:ascii="Calibri Light" w:hAnsi="Calibri Light" w:cs="Calibri Light"/>
          <w:i/>
          <w:iCs/>
        </w:rPr>
        <w:t>explain</w:t>
      </w:r>
      <w:r w:rsidR="003E3846">
        <w:rPr>
          <w:rFonts w:ascii="Calibri Light" w:hAnsi="Calibri Light" w:cs="Calibri Light"/>
        </w:rPr>
        <w:t xml:space="preserve">. It follows that SVE formally satisfies (T). The trouble is the contents. Foremost, the conviction that </w:t>
      </w:r>
      <w:r w:rsidR="00972CB1">
        <w:rPr>
          <w:rFonts w:ascii="Calibri Light" w:hAnsi="Calibri Light" w:cs="Calibri Light"/>
        </w:rPr>
        <w:t>A</w:t>
      </w:r>
      <w:r w:rsidR="00E85C1E">
        <w:rPr>
          <w:rFonts w:ascii="Calibri Light" w:hAnsi="Calibri Light" w:cs="Calibri Light"/>
        </w:rPr>
        <w:t>gen</w:t>
      </w:r>
      <w:r w:rsidR="003E3846">
        <w:rPr>
          <w:rFonts w:ascii="Calibri Light" w:hAnsi="Calibri Light" w:cs="Calibri Light"/>
        </w:rPr>
        <w:t xml:space="preserve">t-basing is wrong. </w:t>
      </w:r>
      <w:r w:rsidR="003D3871">
        <w:rPr>
          <w:rFonts w:ascii="Calibri Light" w:hAnsi="Calibri Light" w:cs="Calibri Light"/>
        </w:rPr>
        <w:t>VE’s open-mindedness about ‘right’ clearly has limits. Thus ‘right’ cannot mean ‘good’. It can connote praise but cannot mean ‘praiseworthy’.</w:t>
      </w:r>
      <w:r w:rsidR="00E85C1E">
        <w:rPr>
          <w:rStyle w:val="FootnoteReference"/>
          <w:rFonts w:ascii="Calibri Light" w:hAnsi="Calibri Light" w:cs="Calibri Light"/>
        </w:rPr>
        <w:footnoteReference w:id="63"/>
      </w:r>
      <w:r w:rsidR="003D3871">
        <w:rPr>
          <w:rFonts w:ascii="Calibri Light" w:hAnsi="Calibri Light" w:cs="Calibri Light"/>
        </w:rPr>
        <w:t xml:space="preserve"> </w:t>
      </w:r>
    </w:p>
    <w:p w14:paraId="04D24622" w14:textId="77777777" w:rsidR="00E85C1E" w:rsidRDefault="00E85C1E" w:rsidP="001A5BDC">
      <w:pPr>
        <w:spacing w:line="360" w:lineRule="auto"/>
        <w:jc w:val="both"/>
        <w:rPr>
          <w:rFonts w:ascii="Calibri Light" w:hAnsi="Calibri Light" w:cs="Calibri Light"/>
        </w:rPr>
      </w:pPr>
    </w:p>
    <w:p w14:paraId="32D94F63" w14:textId="58480718" w:rsidR="00AE32E6" w:rsidRDefault="003E3846" w:rsidP="00331A02">
      <w:pPr>
        <w:spacing w:line="360" w:lineRule="auto"/>
        <w:jc w:val="both"/>
        <w:rPr>
          <w:rFonts w:ascii="Calibri Light" w:hAnsi="Calibri Light" w:cs="Calibri Light"/>
        </w:rPr>
      </w:pPr>
      <w:r>
        <w:rPr>
          <w:rFonts w:ascii="Calibri Light" w:hAnsi="Calibri Light" w:cs="Calibri Light"/>
        </w:rPr>
        <w:t>The objection that SVE elides right action and right-action-right-reason does not obviously survive Slote’s introduction of the concept of ‘expressing/exhibiting motivation’.</w:t>
      </w:r>
      <w:r w:rsidR="001C5C8F">
        <w:rPr>
          <w:rStyle w:val="FootnoteReference"/>
          <w:rFonts w:ascii="Calibri Light" w:hAnsi="Calibri Light" w:cs="Calibri Light"/>
        </w:rPr>
        <w:footnoteReference w:id="64"/>
      </w:r>
      <w:r>
        <w:rPr>
          <w:rFonts w:ascii="Calibri Light" w:hAnsi="Calibri Light" w:cs="Calibri Light"/>
        </w:rPr>
        <w:t xml:space="preserve"> By this abstraction, a distinction between the two is made possible.</w:t>
      </w:r>
      <w:r w:rsidR="0075494A">
        <w:rPr>
          <w:rStyle w:val="FootnoteReference"/>
          <w:rFonts w:ascii="Calibri Light" w:hAnsi="Calibri Light" w:cs="Calibri Light"/>
        </w:rPr>
        <w:footnoteReference w:id="65"/>
      </w:r>
      <w:r w:rsidR="00FA7DD2">
        <w:rPr>
          <w:rFonts w:ascii="Calibri Light" w:hAnsi="Calibri Light" w:cs="Calibri Light"/>
        </w:rPr>
        <w:t xml:space="preserve"> </w:t>
      </w:r>
      <w:r w:rsidR="00AE32E6">
        <w:rPr>
          <w:rFonts w:ascii="Calibri Light" w:hAnsi="Calibri Light" w:cs="Calibri Light"/>
        </w:rPr>
        <w:t>Note how t</w:t>
      </w:r>
      <w:r>
        <w:rPr>
          <w:rFonts w:ascii="Calibri Light" w:hAnsi="Calibri Light" w:cs="Calibri Light"/>
        </w:rPr>
        <w:t xml:space="preserve">he </w:t>
      </w:r>
      <w:r w:rsidR="00FA7DD2">
        <w:rPr>
          <w:rFonts w:ascii="Calibri Light" w:hAnsi="Calibri Light" w:cs="Calibri Light"/>
        </w:rPr>
        <w:t xml:space="preserve">exemplar has </w:t>
      </w:r>
      <w:r w:rsidR="00AE32E6">
        <w:rPr>
          <w:rFonts w:ascii="Calibri Light" w:hAnsi="Calibri Light" w:cs="Calibri Light"/>
        </w:rPr>
        <w:t xml:space="preserve">always </w:t>
      </w:r>
      <w:r w:rsidR="00FA7DD2">
        <w:rPr>
          <w:rFonts w:ascii="Calibri Light" w:hAnsi="Calibri Light" w:cs="Calibri Light"/>
        </w:rPr>
        <w:t xml:space="preserve">allowed </w:t>
      </w:r>
      <w:r w:rsidR="00AE32E6">
        <w:rPr>
          <w:rFonts w:ascii="Calibri Light" w:hAnsi="Calibri Light" w:cs="Calibri Light"/>
        </w:rPr>
        <w:t>Zagzebski’s agent</w:t>
      </w:r>
      <w:r w:rsidR="00FA7DD2">
        <w:rPr>
          <w:rFonts w:ascii="Calibri Light" w:hAnsi="Calibri Light" w:cs="Calibri Light"/>
        </w:rPr>
        <w:t xml:space="preserve">-based account to avoid the same objection. </w:t>
      </w:r>
      <w:r w:rsidR="00AE32E6">
        <w:rPr>
          <w:rFonts w:ascii="Calibri Light" w:hAnsi="Calibri Light" w:cs="Calibri Light"/>
        </w:rPr>
        <w:t>Note too</w:t>
      </w:r>
      <w:r w:rsidR="00FA7DD2">
        <w:rPr>
          <w:rFonts w:ascii="Calibri Light" w:hAnsi="Calibri Light" w:cs="Calibri Light"/>
        </w:rPr>
        <w:t xml:space="preserve"> how theories ‘make space’ between (T)/Criterion and (P)/D</w:t>
      </w:r>
      <w:r w:rsidR="00AE32E6">
        <w:rPr>
          <w:rFonts w:ascii="Calibri Light" w:hAnsi="Calibri Light" w:cs="Calibri Light"/>
        </w:rPr>
        <w:t>ecision-</w:t>
      </w:r>
      <w:r w:rsidR="00FA7DD2">
        <w:rPr>
          <w:rFonts w:ascii="Calibri Light" w:hAnsi="Calibri Light" w:cs="Calibri Light"/>
        </w:rPr>
        <w:t>P</w:t>
      </w:r>
      <w:r w:rsidR="00AE32E6">
        <w:rPr>
          <w:rFonts w:ascii="Calibri Light" w:hAnsi="Calibri Light" w:cs="Calibri Light"/>
        </w:rPr>
        <w:t>rocedure</w:t>
      </w:r>
      <w:r w:rsidR="00FA7DD2">
        <w:rPr>
          <w:rFonts w:ascii="Calibri Light" w:hAnsi="Calibri Light" w:cs="Calibri Light"/>
        </w:rPr>
        <w:t xml:space="preserve"> to preserve the distinction between right action and right-action-right-reason.</w:t>
      </w:r>
      <w:r w:rsidR="00AE32E6">
        <w:rPr>
          <w:rStyle w:val="FootnoteReference"/>
          <w:rFonts w:ascii="Calibri Light" w:hAnsi="Calibri Light" w:cs="Calibri Light"/>
        </w:rPr>
        <w:footnoteReference w:id="66"/>
      </w:r>
      <w:r w:rsidR="00FA7DD2">
        <w:rPr>
          <w:rFonts w:ascii="Calibri Light" w:hAnsi="Calibri Light" w:cs="Calibri Light"/>
        </w:rPr>
        <w:t xml:space="preserve"> </w:t>
      </w:r>
    </w:p>
    <w:p w14:paraId="5A6BC9EF" w14:textId="77777777" w:rsidR="00AE32E6" w:rsidRDefault="00AE32E6" w:rsidP="00331A02">
      <w:pPr>
        <w:spacing w:line="360" w:lineRule="auto"/>
        <w:jc w:val="both"/>
        <w:rPr>
          <w:rFonts w:ascii="Calibri Light" w:hAnsi="Calibri Light" w:cs="Calibri Light"/>
        </w:rPr>
      </w:pPr>
    </w:p>
    <w:p w14:paraId="3692F0E5" w14:textId="21EFBD3A" w:rsidR="00FA7DD2" w:rsidRDefault="00FA7DD2" w:rsidP="00331A02">
      <w:pPr>
        <w:spacing w:line="360" w:lineRule="auto"/>
        <w:jc w:val="both"/>
        <w:rPr>
          <w:rFonts w:ascii="Calibri Light" w:hAnsi="Calibri Light" w:cs="Calibri Light"/>
        </w:rPr>
      </w:pPr>
      <w:r>
        <w:rPr>
          <w:rFonts w:ascii="Calibri Light" w:hAnsi="Calibri Light" w:cs="Calibri Light"/>
        </w:rPr>
        <w:t>Whether as consequence or by design, wit</w:t>
      </w:r>
      <w:r w:rsidR="008F5941">
        <w:rPr>
          <w:rFonts w:ascii="Calibri Light" w:hAnsi="Calibri Light" w:cs="Calibri Light"/>
        </w:rPr>
        <w:t>hout either (P) or an independent standard, the elision was inevitable. Slote does not introduce an exemplar, VP or D</w:t>
      </w:r>
      <w:r w:rsidR="00AE32E6">
        <w:rPr>
          <w:rFonts w:ascii="Calibri Light" w:hAnsi="Calibri Light" w:cs="Calibri Light"/>
        </w:rPr>
        <w:t>ecision-</w:t>
      </w:r>
      <w:r w:rsidR="008F5941">
        <w:rPr>
          <w:rFonts w:ascii="Calibri Light" w:hAnsi="Calibri Light" w:cs="Calibri Light"/>
        </w:rPr>
        <w:t>P</w:t>
      </w:r>
      <w:r w:rsidR="00AE32E6">
        <w:rPr>
          <w:rFonts w:ascii="Calibri Light" w:hAnsi="Calibri Light" w:cs="Calibri Light"/>
        </w:rPr>
        <w:t>rocedure</w:t>
      </w:r>
      <w:r w:rsidR="008F5941">
        <w:rPr>
          <w:rFonts w:ascii="Calibri Light" w:hAnsi="Calibri Light" w:cs="Calibri Light"/>
        </w:rPr>
        <w:t xml:space="preserve"> but with a trace of objective measure </w:t>
      </w:r>
      <w:r w:rsidR="00AE32E6">
        <w:rPr>
          <w:rFonts w:ascii="Calibri Light" w:hAnsi="Calibri Light" w:cs="Calibri Light"/>
        </w:rPr>
        <w:t>he</w:t>
      </w:r>
      <w:r w:rsidR="008F5941">
        <w:rPr>
          <w:rFonts w:ascii="Calibri Light" w:hAnsi="Calibri Light" w:cs="Calibri Light"/>
        </w:rPr>
        <w:t xml:space="preserve"> answers the objection. </w:t>
      </w:r>
    </w:p>
    <w:p w14:paraId="489A01F7" w14:textId="77777777" w:rsidR="00AE32E6" w:rsidRDefault="00AE32E6" w:rsidP="00331A02">
      <w:pPr>
        <w:spacing w:line="360" w:lineRule="auto"/>
        <w:jc w:val="both"/>
        <w:rPr>
          <w:rFonts w:ascii="Calibri Light" w:hAnsi="Calibri Light" w:cs="Calibri Light"/>
        </w:rPr>
      </w:pPr>
    </w:p>
    <w:p w14:paraId="43F63B7C" w14:textId="0AAC2BCF" w:rsidR="0075494A" w:rsidRDefault="00195800" w:rsidP="00195800">
      <w:pPr>
        <w:spacing w:line="360" w:lineRule="auto"/>
        <w:jc w:val="both"/>
        <w:rPr>
          <w:rFonts w:ascii="Calibri Light" w:hAnsi="Calibri Light" w:cs="Calibri Light"/>
        </w:rPr>
      </w:pPr>
      <w:r>
        <w:rPr>
          <w:rFonts w:ascii="Calibri Light" w:hAnsi="Calibri Light" w:cs="Calibri Light"/>
        </w:rPr>
        <w:t xml:space="preserve">The mischief that the DP is designed to avoid is thinking about our actions in the terms of (T). On Slote’s account, this is unproblematic. No-one is meant to be thinking of (T) anyway. </w:t>
      </w:r>
      <w:r w:rsidRPr="00825DDF">
        <w:rPr>
          <w:rFonts w:ascii="Calibri Light" w:hAnsi="Calibri Light" w:cs="Calibri Light"/>
        </w:rPr>
        <w:t xml:space="preserve">This </w:t>
      </w:r>
      <w:r w:rsidR="0075494A">
        <w:rPr>
          <w:rFonts w:ascii="Calibri Light" w:hAnsi="Calibri Light" w:cs="Calibri Light"/>
        </w:rPr>
        <w:t>breed of self-effacement does not worry Slote. S</w:t>
      </w:r>
      <w:r w:rsidRPr="00825DDF">
        <w:rPr>
          <w:rFonts w:ascii="Calibri Light" w:hAnsi="Calibri Light" w:cs="Calibri Light"/>
        </w:rPr>
        <w:t>elf-effacement is endemic</w:t>
      </w:r>
      <w:r w:rsidR="003D4700">
        <w:rPr>
          <w:rFonts w:ascii="Calibri Light" w:hAnsi="Calibri Light" w:cs="Calibri Light"/>
        </w:rPr>
        <w:t>;</w:t>
      </w:r>
      <w:r w:rsidRPr="00825DDF">
        <w:rPr>
          <w:rFonts w:ascii="Calibri Light" w:hAnsi="Calibri Light" w:cs="Calibri Light"/>
        </w:rPr>
        <w:t xml:space="preserve"> essential</w:t>
      </w:r>
      <w:r w:rsidR="0075494A">
        <w:rPr>
          <w:rFonts w:ascii="Calibri Light" w:hAnsi="Calibri Light" w:cs="Calibri Light"/>
        </w:rPr>
        <w:t>.</w:t>
      </w:r>
      <w:r w:rsidR="004632BE">
        <w:rPr>
          <w:rFonts w:ascii="Calibri Light" w:hAnsi="Calibri Light" w:cs="Calibri Light"/>
        </w:rPr>
        <w:t xml:space="preserve"> Perhaps so, but it</w:t>
      </w:r>
      <w:r w:rsidR="003D4700">
        <w:rPr>
          <w:rFonts w:ascii="Calibri Light" w:hAnsi="Calibri Light" w:cs="Calibri Light"/>
        </w:rPr>
        <w:t>’</w:t>
      </w:r>
      <w:r w:rsidR="004632BE">
        <w:rPr>
          <w:rFonts w:ascii="Calibri Light" w:hAnsi="Calibri Light" w:cs="Calibri Light"/>
        </w:rPr>
        <w:t xml:space="preserve">s </w:t>
      </w:r>
      <w:r w:rsidR="003D4700">
        <w:rPr>
          <w:rFonts w:ascii="Calibri Light" w:hAnsi="Calibri Light" w:cs="Calibri Light"/>
        </w:rPr>
        <w:t>the</w:t>
      </w:r>
      <w:r w:rsidR="004632BE">
        <w:rPr>
          <w:rFonts w:ascii="Calibri Light" w:hAnsi="Calibri Light" w:cs="Calibri Light"/>
        </w:rPr>
        <w:t xml:space="preserve"> form of self-effacement that does</w:t>
      </w:r>
      <w:r w:rsidR="003D4700">
        <w:rPr>
          <w:rFonts w:ascii="Calibri Light" w:hAnsi="Calibri Light" w:cs="Calibri Light"/>
        </w:rPr>
        <w:t>n’</w:t>
      </w:r>
      <w:r w:rsidR="004632BE">
        <w:rPr>
          <w:rFonts w:ascii="Calibri Light" w:hAnsi="Calibri Light" w:cs="Calibri Light"/>
        </w:rPr>
        <w:t>t offer any action-guidance at all.</w:t>
      </w:r>
    </w:p>
    <w:p w14:paraId="1FD20486" w14:textId="77777777" w:rsidR="00AE32E6" w:rsidRDefault="00AE32E6" w:rsidP="00195800">
      <w:pPr>
        <w:spacing w:line="360" w:lineRule="auto"/>
        <w:jc w:val="both"/>
        <w:rPr>
          <w:rFonts w:ascii="Calibri Light" w:hAnsi="Calibri Light" w:cs="Calibri Light"/>
        </w:rPr>
      </w:pPr>
    </w:p>
    <w:p w14:paraId="156AE867" w14:textId="60F2F83F" w:rsidR="0075494A" w:rsidRDefault="0075494A" w:rsidP="00195800">
      <w:pPr>
        <w:spacing w:line="360" w:lineRule="auto"/>
        <w:jc w:val="both"/>
        <w:rPr>
          <w:rFonts w:ascii="Calibri Light" w:hAnsi="Calibri Light" w:cs="Calibri Light"/>
        </w:rPr>
      </w:pPr>
      <w:r>
        <w:rPr>
          <w:rFonts w:ascii="Calibri Light" w:hAnsi="Calibri Light" w:cs="Calibri Light"/>
        </w:rPr>
        <w:lastRenderedPageBreak/>
        <w:t xml:space="preserve">None of which precludes us from saying that SVE is action-guiding. </w:t>
      </w:r>
      <w:r w:rsidR="00AE32E6">
        <w:rPr>
          <w:rFonts w:ascii="Calibri Light" w:hAnsi="Calibri Light" w:cs="Calibri Light"/>
        </w:rPr>
        <w:t>We can derive it from the Action-Theory and</w:t>
      </w:r>
      <w:r>
        <w:rPr>
          <w:rFonts w:ascii="Calibri Light" w:hAnsi="Calibri Light" w:cs="Calibri Light"/>
        </w:rPr>
        <w:t xml:space="preserve"> </w:t>
      </w:r>
      <w:r w:rsidR="00AE32E6">
        <w:rPr>
          <w:rFonts w:ascii="Calibri Light" w:hAnsi="Calibri Light" w:cs="Calibri Light"/>
        </w:rPr>
        <w:t>p</w:t>
      </w:r>
      <w:r>
        <w:rPr>
          <w:rFonts w:ascii="Calibri Light" w:hAnsi="Calibri Light" w:cs="Calibri Light"/>
        </w:rPr>
        <w:t>raise can be a standard to guide us.</w:t>
      </w:r>
      <w:r w:rsidR="00AE32E6">
        <w:rPr>
          <w:rStyle w:val="FootnoteReference"/>
          <w:rFonts w:ascii="Calibri Light" w:hAnsi="Calibri Light" w:cs="Calibri Light"/>
        </w:rPr>
        <w:footnoteReference w:id="67"/>
      </w:r>
      <w:r>
        <w:rPr>
          <w:rFonts w:ascii="Calibri Light" w:hAnsi="Calibri Light" w:cs="Calibri Light"/>
        </w:rPr>
        <w:t xml:space="preserve"> </w:t>
      </w:r>
    </w:p>
    <w:p w14:paraId="1A31C035" w14:textId="77777777" w:rsidR="00605511" w:rsidRDefault="00605511" w:rsidP="00195800">
      <w:pPr>
        <w:spacing w:line="360" w:lineRule="auto"/>
        <w:jc w:val="both"/>
        <w:rPr>
          <w:rFonts w:ascii="Calibri Light" w:hAnsi="Calibri Light" w:cs="Calibri Light"/>
        </w:rPr>
      </w:pPr>
    </w:p>
    <w:p w14:paraId="0B67B5F0" w14:textId="69ED45D3" w:rsidR="0075494A" w:rsidRDefault="008E6560" w:rsidP="00195800">
      <w:pPr>
        <w:spacing w:line="360" w:lineRule="auto"/>
        <w:jc w:val="both"/>
        <w:rPr>
          <w:rFonts w:ascii="Calibri Light" w:hAnsi="Calibri Light" w:cs="Calibri Light"/>
        </w:rPr>
      </w:pPr>
      <w:r>
        <w:rPr>
          <w:rFonts w:ascii="Calibri Light" w:hAnsi="Calibri Light" w:cs="Calibri Light"/>
        </w:rPr>
        <w:t>By</w:t>
      </w:r>
      <w:r w:rsidR="004632BE">
        <w:rPr>
          <w:rFonts w:ascii="Calibri Light" w:hAnsi="Calibri Light" w:cs="Calibri Light"/>
        </w:rPr>
        <w:t xml:space="preserve"> offering us guidance in the form of (T) we have self-effacement in another guise.</w:t>
      </w:r>
      <w:r w:rsidR="00057A3F">
        <w:rPr>
          <w:rFonts w:ascii="Calibri Light" w:hAnsi="Calibri Light" w:cs="Calibri Light"/>
        </w:rPr>
        <w:t xml:space="preserve"> </w:t>
      </w:r>
      <w:r w:rsidR="00AE32E6">
        <w:rPr>
          <w:rFonts w:ascii="Calibri Light" w:hAnsi="Calibri Light" w:cs="Calibri Light"/>
        </w:rPr>
        <w:t>C</w:t>
      </w:r>
      <w:r w:rsidR="003D4700">
        <w:rPr>
          <w:rFonts w:ascii="Calibri Light" w:hAnsi="Calibri Light" w:cs="Calibri Light"/>
        </w:rPr>
        <w:t>an we press SVE into sense</w:t>
      </w:r>
      <w:r w:rsidR="00AE32E6">
        <w:rPr>
          <w:rFonts w:ascii="Calibri Light" w:hAnsi="Calibri Light" w:cs="Calibri Light"/>
        </w:rPr>
        <w:t>?</w:t>
      </w:r>
      <w:r w:rsidR="00057A3F">
        <w:rPr>
          <w:rFonts w:ascii="Calibri Light" w:hAnsi="Calibri Light" w:cs="Calibri Light"/>
        </w:rPr>
        <w:t xml:space="preserve"> I should act in ways that express my good motives? </w:t>
      </w:r>
      <w:r w:rsidR="003D4700">
        <w:rPr>
          <w:rFonts w:ascii="Calibri Light" w:hAnsi="Calibri Light" w:cs="Calibri Light"/>
        </w:rPr>
        <w:t xml:space="preserve">So to </w:t>
      </w:r>
      <w:r w:rsidR="00AE32E6">
        <w:rPr>
          <w:rFonts w:ascii="Calibri Light" w:hAnsi="Calibri Light" w:cs="Calibri Light"/>
        </w:rPr>
        <w:t xml:space="preserve">do </w:t>
      </w:r>
      <w:r w:rsidR="003D4700">
        <w:rPr>
          <w:rFonts w:ascii="Calibri Light" w:hAnsi="Calibri Light" w:cs="Calibri Light"/>
        </w:rPr>
        <w:t>what is</w:t>
      </w:r>
      <w:r w:rsidR="00057A3F">
        <w:rPr>
          <w:rFonts w:ascii="Calibri Light" w:hAnsi="Calibri Light" w:cs="Calibri Light"/>
        </w:rPr>
        <w:t xml:space="preserve"> praise</w:t>
      </w:r>
      <w:r w:rsidR="003D4700">
        <w:rPr>
          <w:rFonts w:ascii="Calibri Light" w:hAnsi="Calibri Light" w:cs="Calibri Light"/>
        </w:rPr>
        <w:t>d</w:t>
      </w:r>
      <w:r w:rsidR="00057A3F">
        <w:rPr>
          <w:rFonts w:ascii="Calibri Light" w:hAnsi="Calibri Light" w:cs="Calibri Light"/>
        </w:rPr>
        <w:t xml:space="preserve">? </w:t>
      </w:r>
    </w:p>
    <w:p w14:paraId="219A1A3B" w14:textId="77777777" w:rsidR="00AE32E6" w:rsidRDefault="00AE32E6" w:rsidP="00195800">
      <w:pPr>
        <w:spacing w:line="360" w:lineRule="auto"/>
        <w:jc w:val="both"/>
        <w:rPr>
          <w:rFonts w:ascii="Calibri Light" w:hAnsi="Calibri Light" w:cs="Calibri Light"/>
        </w:rPr>
      </w:pPr>
    </w:p>
    <w:p w14:paraId="60C5ACBD" w14:textId="6AB68427" w:rsidR="00605511" w:rsidRPr="00825DDF" w:rsidRDefault="00605511" w:rsidP="00605511">
      <w:pPr>
        <w:autoSpaceDE w:val="0"/>
        <w:autoSpaceDN w:val="0"/>
        <w:adjustRightInd w:val="0"/>
        <w:spacing w:line="360" w:lineRule="auto"/>
        <w:jc w:val="both"/>
        <w:rPr>
          <w:rFonts w:ascii="Calibri Light" w:hAnsi="Calibri Light" w:cs="Calibri Light"/>
        </w:rPr>
      </w:pPr>
      <w:r>
        <w:rPr>
          <w:rFonts w:ascii="Calibri Light" w:hAnsi="Calibri Light" w:cs="Calibri Light"/>
        </w:rPr>
        <w:t xml:space="preserve">It does not seem immediately attractive. As Slote recognises, </w:t>
      </w:r>
      <w:r w:rsidRPr="00825DDF">
        <w:rPr>
          <w:rFonts w:ascii="Calibri Light" w:hAnsi="Calibri Light" w:cs="Calibri Light"/>
        </w:rPr>
        <w:t>consulting one’s motives seems objectionable, irrelevant</w:t>
      </w:r>
      <w:r>
        <w:rPr>
          <w:rFonts w:ascii="Calibri Light" w:hAnsi="Calibri Light" w:cs="Calibri Light"/>
        </w:rPr>
        <w:t>.</w:t>
      </w:r>
      <w:r w:rsidRPr="00825DDF">
        <w:rPr>
          <w:rFonts w:ascii="Calibri Light" w:hAnsi="Calibri Light" w:cs="Calibri Light"/>
        </w:rPr>
        <w:t xml:space="preserve"> </w:t>
      </w:r>
      <w:r>
        <w:rPr>
          <w:rFonts w:ascii="Calibri Light" w:hAnsi="Calibri Light" w:cs="Calibri Light"/>
        </w:rPr>
        <w:t xml:space="preserve">At </w:t>
      </w:r>
      <w:r w:rsidRPr="00825DDF">
        <w:rPr>
          <w:rFonts w:ascii="Calibri Light" w:hAnsi="Calibri Light" w:cs="Calibri Light"/>
        </w:rPr>
        <w:t xml:space="preserve">time of greatest need, </w:t>
      </w:r>
      <w:r w:rsidR="00AE32E6">
        <w:rPr>
          <w:rFonts w:ascii="Calibri Light" w:hAnsi="Calibri Light" w:cs="Calibri Light"/>
        </w:rPr>
        <w:t>agent</w:t>
      </w:r>
      <w:r w:rsidRPr="00825DDF">
        <w:rPr>
          <w:rFonts w:ascii="Calibri Light" w:hAnsi="Calibri Light" w:cs="Calibri Light"/>
        </w:rPr>
        <w:t xml:space="preserve">-basing makes solution impossible. </w:t>
      </w:r>
      <w:r w:rsidRPr="00825DDF">
        <w:rPr>
          <w:rStyle w:val="FootnoteReference"/>
          <w:rFonts w:ascii="Calibri Light" w:hAnsi="Calibri Light" w:cs="Calibri Light"/>
        </w:rPr>
        <w:footnoteReference w:id="68"/>
      </w:r>
    </w:p>
    <w:p w14:paraId="1DC6700F" w14:textId="77777777" w:rsidR="00605511" w:rsidRDefault="00605511" w:rsidP="00195800">
      <w:pPr>
        <w:spacing w:line="360" w:lineRule="auto"/>
        <w:jc w:val="both"/>
        <w:rPr>
          <w:rFonts w:ascii="Calibri Light" w:hAnsi="Calibri Light" w:cs="Calibri Light"/>
        </w:rPr>
      </w:pPr>
    </w:p>
    <w:p w14:paraId="73FCE0A7" w14:textId="6A5A00A8" w:rsidR="00EB39DD" w:rsidRDefault="00605511" w:rsidP="00331A02">
      <w:pPr>
        <w:spacing w:line="360" w:lineRule="auto"/>
        <w:jc w:val="both"/>
        <w:rPr>
          <w:rFonts w:ascii="Calibri Light" w:hAnsi="Calibri Light" w:cs="Calibri Light"/>
        </w:rPr>
      </w:pPr>
      <w:r>
        <w:rPr>
          <w:rFonts w:ascii="Calibri Light" w:hAnsi="Calibri Light" w:cs="Calibri Light"/>
        </w:rPr>
        <w:t>Slote is</w:t>
      </w:r>
      <w:r w:rsidR="003D4700">
        <w:rPr>
          <w:rFonts w:ascii="Calibri Light" w:hAnsi="Calibri Light" w:cs="Calibri Light"/>
        </w:rPr>
        <w:t xml:space="preserve"> ambivalen</w:t>
      </w:r>
      <w:r>
        <w:rPr>
          <w:rFonts w:ascii="Calibri Light" w:hAnsi="Calibri Light" w:cs="Calibri Light"/>
        </w:rPr>
        <w:t xml:space="preserve">t to </w:t>
      </w:r>
      <w:r w:rsidR="00A854D6">
        <w:rPr>
          <w:rFonts w:ascii="Calibri Light" w:hAnsi="Calibri Light" w:cs="Calibri Light"/>
        </w:rPr>
        <w:t>action-guidance</w:t>
      </w:r>
      <w:r>
        <w:rPr>
          <w:rFonts w:ascii="Calibri Light" w:hAnsi="Calibri Light" w:cs="Calibri Light"/>
        </w:rPr>
        <w:t xml:space="preserve"> rather</w:t>
      </w:r>
      <w:r w:rsidR="003D4700">
        <w:rPr>
          <w:rFonts w:ascii="Calibri Light" w:hAnsi="Calibri Light" w:cs="Calibri Light"/>
        </w:rPr>
        <w:t xml:space="preserve"> than hostil</w:t>
      </w:r>
      <w:r>
        <w:rPr>
          <w:rFonts w:ascii="Calibri Light" w:hAnsi="Calibri Light" w:cs="Calibri Light"/>
        </w:rPr>
        <w:t>e</w:t>
      </w:r>
      <w:r w:rsidR="003D4700">
        <w:rPr>
          <w:rFonts w:ascii="Calibri Light" w:hAnsi="Calibri Light" w:cs="Calibri Light"/>
        </w:rPr>
        <w:t xml:space="preserve">. </w:t>
      </w:r>
      <w:r>
        <w:rPr>
          <w:rFonts w:ascii="Calibri Light" w:hAnsi="Calibri Light" w:cs="Calibri Light"/>
        </w:rPr>
        <w:t>Just as h</w:t>
      </w:r>
      <w:r w:rsidR="003D4700">
        <w:rPr>
          <w:rFonts w:ascii="Calibri Light" w:hAnsi="Calibri Light" w:cs="Calibri Light"/>
        </w:rPr>
        <w:t>e opts for theory</w:t>
      </w:r>
      <w:r>
        <w:rPr>
          <w:rFonts w:ascii="Calibri Light" w:hAnsi="Calibri Light" w:cs="Calibri Light"/>
        </w:rPr>
        <w:t>, he</w:t>
      </w:r>
      <w:r w:rsidR="003D4700">
        <w:rPr>
          <w:rFonts w:ascii="Calibri Light" w:hAnsi="Calibri Light" w:cs="Calibri Light"/>
        </w:rPr>
        <w:t xml:space="preserve"> recognises </w:t>
      </w:r>
      <w:r w:rsidR="00A854D6">
        <w:rPr>
          <w:rFonts w:ascii="Calibri Light" w:hAnsi="Calibri Light" w:cs="Calibri Light"/>
        </w:rPr>
        <w:t>AGO</w:t>
      </w:r>
      <w:r w:rsidR="003D4700">
        <w:rPr>
          <w:rFonts w:ascii="Calibri Light" w:hAnsi="Calibri Light" w:cs="Calibri Light"/>
        </w:rPr>
        <w:t xml:space="preserve"> and </w:t>
      </w:r>
      <w:r>
        <w:rPr>
          <w:rFonts w:ascii="Calibri Light" w:hAnsi="Calibri Light" w:cs="Calibri Light"/>
        </w:rPr>
        <w:t>seeks to answer it.</w:t>
      </w:r>
    </w:p>
    <w:p w14:paraId="7D6E0628" w14:textId="77777777" w:rsidR="00A854D6" w:rsidRDefault="00A854D6" w:rsidP="00331A02">
      <w:pPr>
        <w:spacing w:line="360" w:lineRule="auto"/>
        <w:jc w:val="both"/>
        <w:rPr>
          <w:rFonts w:ascii="Calibri Light" w:hAnsi="Calibri Light" w:cs="Calibri Light"/>
        </w:rPr>
      </w:pPr>
    </w:p>
    <w:p w14:paraId="4D166790" w14:textId="4BF94D7D" w:rsidR="000B242A" w:rsidRDefault="000B242A" w:rsidP="000B242A">
      <w:pPr>
        <w:spacing w:line="360" w:lineRule="auto"/>
        <w:jc w:val="both"/>
        <w:rPr>
          <w:rFonts w:ascii="Calibri Light" w:hAnsi="Calibri Light" w:cs="Calibri Light"/>
        </w:rPr>
      </w:pPr>
      <w:r w:rsidRPr="00825DDF">
        <w:rPr>
          <w:rFonts w:ascii="Calibri Light" w:hAnsi="Calibri Light" w:cs="Calibri Light"/>
        </w:rPr>
        <w:t xml:space="preserve">He puts forward an account </w:t>
      </w:r>
      <w:r>
        <w:rPr>
          <w:rFonts w:ascii="Calibri Light" w:hAnsi="Calibri Light" w:cs="Calibri Light"/>
        </w:rPr>
        <w:t xml:space="preserve">which can </w:t>
      </w:r>
      <w:r w:rsidR="004D1C2E">
        <w:rPr>
          <w:rFonts w:ascii="Calibri Light" w:hAnsi="Calibri Light" w:cs="Calibri Light"/>
        </w:rPr>
        <w:t>PUWAG</w:t>
      </w:r>
      <w:r w:rsidR="00A854D6">
        <w:rPr>
          <w:rFonts w:ascii="Calibri Light" w:hAnsi="Calibri Light" w:cs="Calibri Light"/>
        </w:rPr>
        <w:t xml:space="preserve"> </w:t>
      </w:r>
      <w:r>
        <w:rPr>
          <w:rFonts w:ascii="Calibri Light" w:hAnsi="Calibri Light" w:cs="Calibri Light"/>
        </w:rPr>
        <w:t xml:space="preserve">by reference to our inner states and which is for use. </w:t>
      </w:r>
      <w:r w:rsidRPr="00825DDF">
        <w:rPr>
          <w:rFonts w:ascii="Calibri Light" w:hAnsi="Calibri Light" w:cs="Calibri Light"/>
        </w:rPr>
        <w:t xml:space="preserve"> </w:t>
      </w:r>
      <w:r>
        <w:rPr>
          <w:rFonts w:ascii="Calibri Light" w:hAnsi="Calibri Light" w:cs="Calibri Light"/>
        </w:rPr>
        <w:t>A daughter visiting a mother with a world directed benevolence shows how SVE could apply.</w:t>
      </w:r>
      <w:r w:rsidR="00A854D6">
        <w:rPr>
          <w:rStyle w:val="FootnoteReference"/>
          <w:rFonts w:ascii="Calibri Light" w:hAnsi="Calibri Light" w:cs="Calibri Light"/>
        </w:rPr>
        <w:footnoteReference w:id="69"/>
      </w:r>
      <w:r>
        <w:rPr>
          <w:rFonts w:ascii="Calibri Light" w:hAnsi="Calibri Light" w:cs="Calibri Light"/>
        </w:rPr>
        <w:t xml:space="preserve"> </w:t>
      </w:r>
      <w:r w:rsidRPr="00825DDF">
        <w:rPr>
          <w:rFonts w:ascii="Calibri Light" w:hAnsi="Calibri Light" w:cs="Calibri Light"/>
        </w:rPr>
        <w:t xml:space="preserve">A model of benevolence that can say something about a practical problem and say what is right or wrong to do in situation. </w:t>
      </w:r>
      <w:r>
        <w:rPr>
          <w:rFonts w:ascii="Calibri Light" w:hAnsi="Calibri Light" w:cs="Calibri Light"/>
        </w:rPr>
        <w:t>Benevolence g</w:t>
      </w:r>
      <w:r w:rsidRPr="00825DDF">
        <w:rPr>
          <w:rFonts w:ascii="Calibri Light" w:hAnsi="Calibri Light" w:cs="Calibri Light"/>
        </w:rPr>
        <w:t>athers facts. Doubles back. Benevolence may not give the daughter a ‘solution’ but it does offer an answer to what she should morally do which, to begin, is find out more.</w:t>
      </w:r>
    </w:p>
    <w:p w14:paraId="73EB228D" w14:textId="77777777" w:rsidR="00A854D6" w:rsidRDefault="00A854D6" w:rsidP="000B242A">
      <w:pPr>
        <w:spacing w:line="360" w:lineRule="auto"/>
        <w:jc w:val="both"/>
        <w:rPr>
          <w:rFonts w:ascii="Calibri Light" w:hAnsi="Calibri Light" w:cs="Calibri Light"/>
        </w:rPr>
      </w:pPr>
    </w:p>
    <w:p w14:paraId="445B3A9B" w14:textId="11E24FC9" w:rsidR="000B242A" w:rsidRDefault="00AB23A5" w:rsidP="000B242A">
      <w:pPr>
        <w:autoSpaceDE w:val="0"/>
        <w:autoSpaceDN w:val="0"/>
        <w:adjustRightInd w:val="0"/>
        <w:spacing w:line="360" w:lineRule="auto"/>
        <w:jc w:val="both"/>
        <w:rPr>
          <w:rFonts w:ascii="Calibri Light" w:hAnsi="Calibri Light" w:cs="Calibri Light"/>
        </w:rPr>
      </w:pPr>
      <w:r>
        <w:rPr>
          <w:rFonts w:ascii="Calibri Light" w:hAnsi="Calibri Light" w:cs="Calibri Light"/>
        </w:rPr>
        <w:t xml:space="preserve">Slote sees nothing wrong with </w:t>
      </w:r>
      <w:r w:rsidR="000B242A">
        <w:rPr>
          <w:rFonts w:ascii="Calibri Light" w:hAnsi="Calibri Light" w:cs="Calibri Light"/>
        </w:rPr>
        <w:t>think</w:t>
      </w:r>
      <w:r>
        <w:rPr>
          <w:rFonts w:ascii="Calibri Light" w:hAnsi="Calibri Light" w:cs="Calibri Light"/>
        </w:rPr>
        <w:t>ing</w:t>
      </w:r>
      <w:r w:rsidR="000B242A">
        <w:rPr>
          <w:rFonts w:ascii="Calibri Light" w:hAnsi="Calibri Light" w:cs="Calibri Light"/>
        </w:rPr>
        <w:t xml:space="preserve"> in terms of our character when moral problem solving. </w:t>
      </w:r>
      <w:r>
        <w:rPr>
          <w:rFonts w:ascii="Calibri Light" w:hAnsi="Calibri Light" w:cs="Calibri Light"/>
        </w:rPr>
        <w:t xml:space="preserve">For the fact is we do. Such thoughts are often un-egoistic and useful. </w:t>
      </w:r>
    </w:p>
    <w:p w14:paraId="0DB7FC66" w14:textId="77777777" w:rsidR="000B242A" w:rsidRDefault="000B242A" w:rsidP="00EB39DD">
      <w:pPr>
        <w:spacing w:line="360" w:lineRule="auto"/>
        <w:jc w:val="both"/>
        <w:rPr>
          <w:rFonts w:ascii="Calibri Light" w:hAnsi="Calibri Light" w:cs="Calibri Light"/>
        </w:rPr>
      </w:pPr>
    </w:p>
    <w:p w14:paraId="08EB9A28" w14:textId="3AB7DD79" w:rsidR="008324F2" w:rsidRDefault="000B242A" w:rsidP="00EB39DD">
      <w:pPr>
        <w:spacing w:line="360" w:lineRule="auto"/>
        <w:jc w:val="both"/>
        <w:rPr>
          <w:rFonts w:ascii="Calibri Light" w:hAnsi="Calibri Light" w:cs="Calibri Light"/>
        </w:rPr>
      </w:pPr>
      <w:r>
        <w:rPr>
          <w:rFonts w:ascii="Calibri Light" w:hAnsi="Calibri Light" w:cs="Calibri Light"/>
        </w:rPr>
        <w:t>That</w:t>
      </w:r>
      <w:r w:rsidR="00503A79">
        <w:rPr>
          <w:rFonts w:ascii="Calibri Light" w:hAnsi="Calibri Light" w:cs="Calibri Light"/>
        </w:rPr>
        <w:t xml:space="preserve"> full benevolence includes a kind of knowledge</w:t>
      </w:r>
      <w:r>
        <w:rPr>
          <w:rFonts w:ascii="Calibri Light" w:hAnsi="Calibri Light" w:cs="Calibri Light"/>
        </w:rPr>
        <w:t xml:space="preserve"> seems correct</w:t>
      </w:r>
      <w:r w:rsidR="00503A79">
        <w:rPr>
          <w:rFonts w:ascii="Calibri Light" w:hAnsi="Calibri Light" w:cs="Calibri Light"/>
        </w:rPr>
        <w:t>. Attending to someone’s needs without knowledge of their needs is, at best, to do nothing at all.</w:t>
      </w:r>
      <w:r w:rsidR="00EB39DD">
        <w:rPr>
          <w:rFonts w:ascii="Calibri Light" w:hAnsi="Calibri Light" w:cs="Calibri Light"/>
        </w:rPr>
        <w:t xml:space="preserve"> </w:t>
      </w:r>
      <w:r>
        <w:rPr>
          <w:rFonts w:ascii="Calibri Light" w:hAnsi="Calibri Light" w:cs="Calibri Light"/>
        </w:rPr>
        <w:t xml:space="preserve">This is compatible with the idea that intellectual and moral virtues have different </w:t>
      </w:r>
      <w:r w:rsidR="008324F2">
        <w:rPr>
          <w:rFonts w:ascii="Calibri Light" w:hAnsi="Calibri Light" w:cs="Calibri Light"/>
        </w:rPr>
        <w:t>fields</w:t>
      </w:r>
      <w:r>
        <w:rPr>
          <w:rFonts w:ascii="Calibri Light" w:hAnsi="Calibri Light" w:cs="Calibri Light"/>
        </w:rPr>
        <w:t xml:space="preserve">. </w:t>
      </w:r>
      <w:r w:rsidR="008324F2">
        <w:rPr>
          <w:rFonts w:ascii="Calibri Light" w:hAnsi="Calibri Light" w:cs="Calibri Light"/>
        </w:rPr>
        <w:t xml:space="preserve">There is considerable </w:t>
      </w:r>
      <w:r w:rsidR="00A854D6">
        <w:rPr>
          <w:rFonts w:ascii="Calibri Light" w:hAnsi="Calibri Light" w:cs="Calibri Light"/>
        </w:rPr>
        <w:t>disagreement</w:t>
      </w:r>
      <w:r w:rsidR="008324F2">
        <w:rPr>
          <w:rFonts w:ascii="Calibri Light" w:hAnsi="Calibri Light" w:cs="Calibri Light"/>
        </w:rPr>
        <w:t xml:space="preserve"> </w:t>
      </w:r>
      <w:r w:rsidR="00A854D6">
        <w:rPr>
          <w:rFonts w:ascii="Calibri Light" w:hAnsi="Calibri Light" w:cs="Calibri Light"/>
        </w:rPr>
        <w:t>in VE</w:t>
      </w:r>
      <w:r w:rsidR="008324F2">
        <w:rPr>
          <w:rFonts w:ascii="Calibri Light" w:hAnsi="Calibri Light" w:cs="Calibri Light"/>
        </w:rPr>
        <w:t xml:space="preserve"> about whether virtue can be</w:t>
      </w:r>
      <w:r w:rsidR="001321E4">
        <w:rPr>
          <w:rFonts w:ascii="Calibri Light" w:hAnsi="Calibri Light" w:cs="Calibri Light"/>
        </w:rPr>
        <w:t xml:space="preserve"> merely admirable or</w:t>
      </w:r>
      <w:r w:rsidR="008324F2">
        <w:rPr>
          <w:rFonts w:ascii="Calibri Light" w:hAnsi="Calibri Light" w:cs="Calibri Light"/>
        </w:rPr>
        <w:t xml:space="preserve"> fundamental. There may be argument that the exercise of P</w:t>
      </w:r>
      <w:r w:rsidR="00A854D6">
        <w:rPr>
          <w:rFonts w:ascii="Calibri Light" w:hAnsi="Calibri Light" w:cs="Calibri Light"/>
        </w:rPr>
        <w:t>ractical Wisdom (“PW”)</w:t>
      </w:r>
      <w:r w:rsidR="008324F2">
        <w:rPr>
          <w:rFonts w:ascii="Calibri Light" w:hAnsi="Calibri Light" w:cs="Calibri Light"/>
        </w:rPr>
        <w:t xml:space="preserve"> is necessary but if </w:t>
      </w:r>
      <w:r w:rsidR="00A854D6" w:rsidRPr="00A854D6">
        <w:rPr>
          <w:rFonts w:ascii="Calibri Light" w:hAnsi="Calibri Light" w:cs="Calibri Light"/>
          <w:i/>
          <w:iCs/>
        </w:rPr>
        <w:t>p</w:t>
      </w:r>
      <w:r w:rsidR="008324F2" w:rsidRPr="00A854D6">
        <w:rPr>
          <w:rFonts w:ascii="Calibri Light" w:hAnsi="Calibri Light" w:cs="Calibri Light"/>
          <w:i/>
          <w:iCs/>
        </w:rPr>
        <w:t>hronesis</w:t>
      </w:r>
      <w:r w:rsidR="008324F2">
        <w:rPr>
          <w:rFonts w:ascii="Calibri Light" w:hAnsi="Calibri Light" w:cs="Calibri Light"/>
        </w:rPr>
        <w:t xml:space="preserve"> is necessary this only begs the question </w:t>
      </w:r>
      <w:r w:rsidR="00A854D6">
        <w:rPr>
          <w:rFonts w:ascii="Calibri Light" w:hAnsi="Calibri Light" w:cs="Calibri Light"/>
        </w:rPr>
        <w:t>against</w:t>
      </w:r>
      <w:r w:rsidR="008324F2">
        <w:rPr>
          <w:rFonts w:ascii="Calibri Light" w:hAnsi="Calibri Light" w:cs="Calibri Light"/>
        </w:rPr>
        <w:t xml:space="preserve"> a theor</w:t>
      </w:r>
      <w:r w:rsidR="00A854D6">
        <w:rPr>
          <w:rFonts w:ascii="Calibri Light" w:hAnsi="Calibri Light" w:cs="Calibri Light"/>
        </w:rPr>
        <w:t>ist</w:t>
      </w:r>
      <w:r w:rsidR="008324F2">
        <w:rPr>
          <w:rFonts w:ascii="Calibri Light" w:hAnsi="Calibri Light" w:cs="Calibri Light"/>
        </w:rPr>
        <w:t xml:space="preserve"> which maintains that the virtues are </w:t>
      </w:r>
      <w:r w:rsidR="008324F2">
        <w:rPr>
          <w:rFonts w:ascii="Calibri Light" w:hAnsi="Calibri Light" w:cs="Calibri Light"/>
        </w:rPr>
        <w:lastRenderedPageBreak/>
        <w:t xml:space="preserve">impartial and perfection is impossible. </w:t>
      </w:r>
      <w:r w:rsidR="00A854D6">
        <w:rPr>
          <w:rFonts w:ascii="Calibri Light" w:hAnsi="Calibri Light" w:cs="Calibri Light"/>
        </w:rPr>
        <w:t>Imperfection</w:t>
      </w:r>
      <w:r w:rsidR="008324F2">
        <w:rPr>
          <w:rFonts w:ascii="Calibri Light" w:hAnsi="Calibri Light" w:cs="Calibri Light"/>
        </w:rPr>
        <w:t xml:space="preserve"> accord</w:t>
      </w:r>
      <w:r w:rsidR="00A854D6">
        <w:rPr>
          <w:rFonts w:ascii="Calibri Light" w:hAnsi="Calibri Light" w:cs="Calibri Light"/>
        </w:rPr>
        <w:t>s</w:t>
      </w:r>
      <w:r w:rsidR="008324F2">
        <w:rPr>
          <w:rFonts w:ascii="Calibri Light" w:hAnsi="Calibri Light" w:cs="Calibri Light"/>
        </w:rPr>
        <w:t xml:space="preserve"> with common-sense more than the unity thes</w:t>
      </w:r>
      <w:r w:rsidR="00A854D6">
        <w:rPr>
          <w:rFonts w:ascii="Calibri Light" w:hAnsi="Calibri Light" w:cs="Calibri Light"/>
        </w:rPr>
        <w:t>i</w:t>
      </w:r>
      <w:r w:rsidR="008324F2">
        <w:rPr>
          <w:rFonts w:ascii="Calibri Light" w:hAnsi="Calibri Light" w:cs="Calibri Light"/>
        </w:rPr>
        <w:t>s</w:t>
      </w:r>
      <w:r w:rsidR="00A854D6">
        <w:rPr>
          <w:rFonts w:ascii="Calibri Light" w:hAnsi="Calibri Light" w:cs="Calibri Light"/>
        </w:rPr>
        <w:t xml:space="preserve"> and it makes the problematic VP essential</w:t>
      </w:r>
      <w:r w:rsidR="008324F2">
        <w:rPr>
          <w:rFonts w:ascii="Calibri Light" w:hAnsi="Calibri Light" w:cs="Calibri Light"/>
        </w:rPr>
        <w:t>.</w:t>
      </w:r>
      <w:r w:rsidR="00A854D6">
        <w:rPr>
          <w:rStyle w:val="FootnoteReference"/>
          <w:rFonts w:ascii="Calibri Light" w:hAnsi="Calibri Light" w:cs="Calibri Light"/>
        </w:rPr>
        <w:footnoteReference w:id="70"/>
      </w:r>
      <w:r w:rsidR="008324F2">
        <w:rPr>
          <w:rFonts w:ascii="Calibri Light" w:hAnsi="Calibri Light" w:cs="Calibri Light"/>
        </w:rPr>
        <w:t xml:space="preserve"> </w:t>
      </w:r>
    </w:p>
    <w:p w14:paraId="0949B031" w14:textId="77777777" w:rsidR="002C16AB" w:rsidRDefault="002C16AB" w:rsidP="00EB39DD">
      <w:pPr>
        <w:spacing w:line="360" w:lineRule="auto"/>
        <w:jc w:val="both"/>
        <w:rPr>
          <w:rFonts w:ascii="Calibri Light" w:hAnsi="Calibri Light" w:cs="Calibri Light"/>
        </w:rPr>
      </w:pPr>
    </w:p>
    <w:p w14:paraId="177ED6EA" w14:textId="6E504049" w:rsidR="00863CB5" w:rsidRDefault="008324F2" w:rsidP="00EB39DD">
      <w:pPr>
        <w:spacing w:line="360" w:lineRule="auto"/>
        <w:jc w:val="both"/>
        <w:rPr>
          <w:rFonts w:ascii="Calibri Light" w:hAnsi="Calibri Light" w:cs="Calibri Light"/>
        </w:rPr>
      </w:pPr>
      <w:r>
        <w:rPr>
          <w:rFonts w:ascii="Calibri Light" w:hAnsi="Calibri Light" w:cs="Calibri Light"/>
        </w:rPr>
        <w:t xml:space="preserve">The proper question is whether there is enough to be meaningfully action-guiding. </w:t>
      </w:r>
      <w:r w:rsidR="00AF07BF">
        <w:rPr>
          <w:rFonts w:ascii="Calibri Light" w:hAnsi="Calibri Light" w:cs="Calibri Light"/>
        </w:rPr>
        <w:t xml:space="preserve">Slote’s account </w:t>
      </w:r>
      <w:r w:rsidR="00AF07BF">
        <w:rPr>
          <w:rFonts w:ascii="Calibri Light" w:hAnsi="Calibri Light" w:cs="Calibri Light"/>
        </w:rPr>
        <w:t xml:space="preserve">lies </w:t>
      </w:r>
      <w:r w:rsidR="00AF07BF">
        <w:rPr>
          <w:rFonts w:ascii="Calibri Light" w:hAnsi="Calibri Light" w:cs="Calibri Light"/>
        </w:rPr>
        <w:t>somewhere between the refuseniks of early VE and</w:t>
      </w:r>
      <w:r w:rsidR="00A854D6">
        <w:rPr>
          <w:rFonts w:ascii="Calibri Light" w:hAnsi="Calibri Light" w:cs="Calibri Light"/>
        </w:rPr>
        <w:t xml:space="preserve"> </w:t>
      </w:r>
      <w:r w:rsidR="00AF07BF">
        <w:rPr>
          <w:rFonts w:ascii="Calibri Light" w:hAnsi="Calibri Light" w:cs="Calibri Light"/>
        </w:rPr>
        <w:t>EV</w:t>
      </w:r>
      <w:r w:rsidR="00AF07BF">
        <w:rPr>
          <w:rFonts w:ascii="Calibri Light" w:hAnsi="Calibri Light" w:cs="Calibri Light"/>
        </w:rPr>
        <w:t xml:space="preserve">E. </w:t>
      </w:r>
      <w:r w:rsidR="00605511">
        <w:rPr>
          <w:rFonts w:ascii="Calibri Light" w:hAnsi="Calibri Light" w:cs="Calibri Light"/>
        </w:rPr>
        <w:t xml:space="preserve">EVE and </w:t>
      </w:r>
      <w:r w:rsidR="00586DEE">
        <w:rPr>
          <w:rFonts w:ascii="Calibri Light" w:hAnsi="Calibri Light" w:cs="Calibri Light"/>
        </w:rPr>
        <w:t>TVCE</w:t>
      </w:r>
      <w:r w:rsidR="00605511">
        <w:rPr>
          <w:rFonts w:ascii="Calibri Light" w:hAnsi="Calibri Light" w:cs="Calibri Light"/>
        </w:rPr>
        <w:t xml:space="preserve"> each accept that </w:t>
      </w:r>
      <w:r w:rsidR="00A854D6">
        <w:rPr>
          <w:rFonts w:ascii="Calibri Light" w:hAnsi="Calibri Light" w:cs="Calibri Light"/>
        </w:rPr>
        <w:t xml:space="preserve">AGO </w:t>
      </w:r>
      <w:r w:rsidR="00605511">
        <w:rPr>
          <w:rFonts w:ascii="Calibri Light" w:hAnsi="Calibri Light" w:cs="Calibri Light"/>
        </w:rPr>
        <w:t xml:space="preserve">is a question of codification. They accept the basic premise. Slote </w:t>
      </w:r>
      <w:r w:rsidR="00AF07BF">
        <w:rPr>
          <w:rFonts w:ascii="Calibri Light" w:hAnsi="Calibri Light" w:cs="Calibri Light"/>
        </w:rPr>
        <w:t>cannot make the same admission. He implicitly accepts a normative principle is required. H</w:t>
      </w:r>
      <w:r w:rsidR="00605511">
        <w:rPr>
          <w:rFonts w:ascii="Calibri Light" w:hAnsi="Calibri Light" w:cs="Calibri Light"/>
        </w:rPr>
        <w:t xml:space="preserve">is position on </w:t>
      </w:r>
      <w:r w:rsidR="00AF07BF">
        <w:rPr>
          <w:rFonts w:ascii="Calibri Light" w:hAnsi="Calibri Light" w:cs="Calibri Light"/>
        </w:rPr>
        <w:t>rules</w:t>
      </w:r>
      <w:r w:rsidR="00A854D6">
        <w:rPr>
          <w:rFonts w:ascii="Calibri Light" w:hAnsi="Calibri Light" w:cs="Calibri Light"/>
        </w:rPr>
        <w:t xml:space="preserve"> and reasoning</w:t>
      </w:r>
      <w:r w:rsidR="00AF07BF">
        <w:rPr>
          <w:rFonts w:ascii="Calibri Light" w:hAnsi="Calibri Light" w:cs="Calibri Light"/>
        </w:rPr>
        <w:t xml:space="preserve"> remains unchanged. EVE, for example, justifies its lack of code beyond the V-rules on the basis that there is </w:t>
      </w:r>
      <w:r w:rsidR="00AF07BF" w:rsidRPr="00A854D6">
        <w:rPr>
          <w:rFonts w:ascii="Calibri Light" w:hAnsi="Calibri Light" w:cs="Calibri Light"/>
          <w:i/>
          <w:iCs/>
        </w:rPr>
        <w:t>phronesis</w:t>
      </w:r>
      <w:r w:rsidR="00AF07BF">
        <w:rPr>
          <w:rFonts w:ascii="Calibri Light" w:hAnsi="Calibri Light" w:cs="Calibri Light"/>
        </w:rPr>
        <w:t xml:space="preserve">. What Slote cannot say is we have code in the form of these rules and we also have moral reasoning which can’t be codified. </w:t>
      </w:r>
    </w:p>
    <w:p w14:paraId="47F42963" w14:textId="77777777" w:rsidR="00863CB5" w:rsidRDefault="00863CB5" w:rsidP="00EB39DD">
      <w:pPr>
        <w:spacing w:line="360" w:lineRule="auto"/>
        <w:jc w:val="both"/>
        <w:rPr>
          <w:rFonts w:ascii="Calibri Light" w:hAnsi="Calibri Light" w:cs="Calibri Light"/>
        </w:rPr>
      </w:pPr>
    </w:p>
    <w:p w14:paraId="296CFE18" w14:textId="77777777" w:rsidR="00A854D6" w:rsidRDefault="00AF07BF" w:rsidP="00EB39DD">
      <w:pPr>
        <w:spacing w:line="360" w:lineRule="auto"/>
        <w:jc w:val="both"/>
        <w:rPr>
          <w:rFonts w:ascii="Calibri Light" w:hAnsi="Calibri Light" w:cs="Calibri Light"/>
        </w:rPr>
      </w:pPr>
      <w:r>
        <w:rPr>
          <w:rFonts w:ascii="Calibri Light" w:hAnsi="Calibri Light" w:cs="Calibri Light"/>
        </w:rPr>
        <w:t xml:space="preserve">SVE’s (T) now appears extensionally adequate. The only candidate for </w:t>
      </w:r>
      <w:r w:rsidR="0032525B">
        <w:rPr>
          <w:rFonts w:ascii="Calibri Light" w:hAnsi="Calibri Light" w:cs="Calibri Light"/>
        </w:rPr>
        <w:t xml:space="preserve">any </w:t>
      </w:r>
      <w:r w:rsidR="00972CB1">
        <w:rPr>
          <w:rFonts w:ascii="Calibri Light" w:hAnsi="Calibri Light" w:cs="Calibri Light"/>
        </w:rPr>
        <w:t>NADP!</w:t>
      </w:r>
      <w:r w:rsidR="0032525B">
        <w:rPr>
          <w:rFonts w:ascii="Calibri Light" w:hAnsi="Calibri Light" w:cs="Calibri Light"/>
        </w:rPr>
        <w:t xml:space="preserve"> is the guidance we can derive from </w:t>
      </w:r>
      <w:r w:rsidR="0051290A">
        <w:rPr>
          <w:rFonts w:ascii="Calibri Light" w:hAnsi="Calibri Light" w:cs="Calibri Light"/>
        </w:rPr>
        <w:t>his ARA and as demonstrated through Daughter</w:t>
      </w:r>
      <w:r w:rsidR="0032525B">
        <w:rPr>
          <w:rFonts w:ascii="Calibri Light" w:hAnsi="Calibri Light" w:cs="Calibri Light"/>
        </w:rPr>
        <w:t xml:space="preserve">. </w:t>
      </w:r>
      <w:r w:rsidR="00863CB5">
        <w:rPr>
          <w:rFonts w:ascii="Calibri Light" w:hAnsi="Calibri Light" w:cs="Calibri Light"/>
        </w:rPr>
        <w:t xml:space="preserve">With only its </w:t>
      </w:r>
      <w:r w:rsidR="00A854D6">
        <w:rPr>
          <w:rFonts w:ascii="Calibri Light" w:hAnsi="Calibri Light" w:cs="Calibri Light"/>
        </w:rPr>
        <w:t>Action-Theory</w:t>
      </w:r>
      <w:r w:rsidR="00863CB5">
        <w:rPr>
          <w:rFonts w:ascii="Calibri Light" w:hAnsi="Calibri Light" w:cs="Calibri Light"/>
        </w:rPr>
        <w:t xml:space="preserve">, </w:t>
      </w:r>
      <w:r w:rsidR="0032525B">
        <w:rPr>
          <w:rFonts w:ascii="Calibri Light" w:hAnsi="Calibri Light" w:cs="Calibri Light"/>
        </w:rPr>
        <w:t xml:space="preserve">SVE simply does not have the type of epistemological framework </w:t>
      </w:r>
      <w:r w:rsidR="00972CB1">
        <w:rPr>
          <w:rFonts w:ascii="Calibri Light" w:hAnsi="Calibri Light" w:cs="Calibri Light"/>
        </w:rPr>
        <w:t>NADP!</w:t>
      </w:r>
      <w:r w:rsidR="00A854D6">
        <w:rPr>
          <w:rFonts w:ascii="Calibri Light" w:hAnsi="Calibri Light" w:cs="Calibri Light"/>
        </w:rPr>
        <w:t xml:space="preserve"> r</w:t>
      </w:r>
      <w:r w:rsidR="0032525B">
        <w:rPr>
          <w:rFonts w:ascii="Calibri Light" w:hAnsi="Calibri Light" w:cs="Calibri Light"/>
        </w:rPr>
        <w:t>equire</w:t>
      </w:r>
      <w:r w:rsidR="00A854D6">
        <w:rPr>
          <w:rFonts w:ascii="Calibri Light" w:hAnsi="Calibri Light" w:cs="Calibri Light"/>
        </w:rPr>
        <w:t>s</w:t>
      </w:r>
      <w:r w:rsidR="0032525B">
        <w:rPr>
          <w:rFonts w:ascii="Calibri Light" w:hAnsi="Calibri Light" w:cs="Calibri Light"/>
        </w:rPr>
        <w:t xml:space="preserve">. </w:t>
      </w:r>
      <w:r w:rsidR="0051290A">
        <w:rPr>
          <w:rFonts w:ascii="Calibri Light" w:hAnsi="Calibri Light" w:cs="Calibri Light"/>
        </w:rPr>
        <w:t xml:space="preserve">That is not to say a supplementary framework could not be developed. </w:t>
      </w:r>
      <w:r w:rsidR="0032525B">
        <w:rPr>
          <w:rFonts w:ascii="Calibri Light" w:hAnsi="Calibri Light" w:cs="Calibri Light"/>
        </w:rPr>
        <w:t xml:space="preserve">Of course, any rational framework </w:t>
      </w:r>
      <w:r w:rsidR="0051290A">
        <w:rPr>
          <w:rFonts w:ascii="Calibri Light" w:hAnsi="Calibri Light" w:cs="Calibri Light"/>
        </w:rPr>
        <w:t>is likely to face resistance if not disdain from a sentimentalist</w:t>
      </w:r>
      <w:r w:rsidR="00A854D6">
        <w:rPr>
          <w:rFonts w:ascii="Calibri Light" w:hAnsi="Calibri Light" w:cs="Calibri Light"/>
        </w:rPr>
        <w:t xml:space="preserve">. It would need </w:t>
      </w:r>
      <w:r w:rsidR="0051290A">
        <w:rPr>
          <w:rFonts w:ascii="Calibri Light" w:hAnsi="Calibri Light" w:cs="Calibri Light"/>
        </w:rPr>
        <w:t xml:space="preserve">to be </w:t>
      </w:r>
      <w:r w:rsidR="00A854D6">
        <w:rPr>
          <w:rFonts w:ascii="Calibri Light" w:hAnsi="Calibri Light" w:cs="Calibri Light"/>
        </w:rPr>
        <w:t>compatible</w:t>
      </w:r>
      <w:r w:rsidR="0051290A">
        <w:rPr>
          <w:rFonts w:ascii="Calibri Light" w:hAnsi="Calibri Light" w:cs="Calibri Light"/>
        </w:rPr>
        <w:t xml:space="preserve">. This would rule out the </w:t>
      </w:r>
      <w:r w:rsidR="0051290A" w:rsidRPr="00A854D6">
        <w:rPr>
          <w:rFonts w:ascii="Calibri Light" w:hAnsi="Calibri Light" w:cs="Calibri Light"/>
          <w:i/>
          <w:iCs/>
        </w:rPr>
        <w:t>phronesis</w:t>
      </w:r>
      <w:r w:rsidR="0051290A">
        <w:rPr>
          <w:rFonts w:ascii="Calibri Light" w:hAnsi="Calibri Light" w:cs="Calibri Light"/>
        </w:rPr>
        <w:t xml:space="preserve"> that would refute </w:t>
      </w:r>
      <w:r w:rsidR="00A854D6">
        <w:rPr>
          <w:rFonts w:ascii="Calibri Light" w:hAnsi="Calibri Light" w:cs="Calibri Light"/>
        </w:rPr>
        <w:t>Slote’s</w:t>
      </w:r>
      <w:r w:rsidR="0051290A">
        <w:rPr>
          <w:rFonts w:ascii="Calibri Light" w:hAnsi="Calibri Light" w:cs="Calibri Light"/>
        </w:rPr>
        <w:t xml:space="preserve"> account of the virtues. </w:t>
      </w:r>
    </w:p>
    <w:p w14:paraId="5E32D960" w14:textId="77777777" w:rsidR="00A854D6" w:rsidRDefault="00A854D6" w:rsidP="00EB39DD">
      <w:pPr>
        <w:spacing w:line="360" w:lineRule="auto"/>
        <w:jc w:val="both"/>
        <w:rPr>
          <w:rFonts w:ascii="Calibri Light" w:hAnsi="Calibri Light" w:cs="Calibri Light"/>
        </w:rPr>
      </w:pPr>
    </w:p>
    <w:p w14:paraId="5BB4A7D6" w14:textId="6342A49C" w:rsidR="00AF07BF" w:rsidRDefault="0051290A" w:rsidP="00EB39DD">
      <w:pPr>
        <w:spacing w:line="360" w:lineRule="auto"/>
        <w:jc w:val="both"/>
        <w:rPr>
          <w:rFonts w:ascii="Calibri Light" w:hAnsi="Calibri Light" w:cs="Calibri Light"/>
        </w:rPr>
      </w:pPr>
      <w:r>
        <w:rPr>
          <w:rFonts w:ascii="Calibri Light" w:hAnsi="Calibri Light" w:cs="Calibri Light"/>
        </w:rPr>
        <w:t xml:space="preserve">Would SVE’s sentimentalism rule out a PW that was otherwise compatible with differentiated virtues? </w:t>
      </w:r>
      <w:r w:rsidR="00863CB5">
        <w:rPr>
          <w:rFonts w:ascii="Calibri Light" w:hAnsi="Calibri Light" w:cs="Calibri Light"/>
        </w:rPr>
        <w:t xml:space="preserve">Christine Swanton’s </w:t>
      </w:r>
      <w:r w:rsidR="00586DEE">
        <w:rPr>
          <w:rFonts w:ascii="Calibri Light" w:hAnsi="Calibri Light" w:cs="Calibri Light"/>
        </w:rPr>
        <w:t>TVCE</w:t>
      </w:r>
      <w:r w:rsidR="00863CB5">
        <w:rPr>
          <w:rFonts w:ascii="Calibri Light" w:hAnsi="Calibri Light" w:cs="Calibri Light"/>
        </w:rPr>
        <w:t xml:space="preserve"> is just such an account which has been elaborated upon to consider love, including</w:t>
      </w:r>
      <w:r>
        <w:rPr>
          <w:rFonts w:ascii="Calibri Light" w:hAnsi="Calibri Light" w:cs="Calibri Light"/>
        </w:rPr>
        <w:t xml:space="preserve"> </w:t>
      </w:r>
      <w:r w:rsidR="00474579">
        <w:rPr>
          <w:rFonts w:ascii="Calibri Light" w:hAnsi="Calibri Light" w:cs="Calibri Light"/>
        </w:rPr>
        <w:t xml:space="preserve">the virtue of </w:t>
      </w:r>
      <w:r>
        <w:rPr>
          <w:rFonts w:ascii="Calibri Light" w:hAnsi="Calibri Light" w:cs="Calibri Light"/>
        </w:rPr>
        <w:t>universal love</w:t>
      </w:r>
      <w:r w:rsidR="00474579">
        <w:rPr>
          <w:rFonts w:ascii="Calibri Light" w:hAnsi="Calibri Light" w:cs="Calibri Light"/>
        </w:rPr>
        <w:t>.</w:t>
      </w:r>
      <w:r w:rsidR="00474579">
        <w:rPr>
          <w:rStyle w:val="FootnoteReference"/>
          <w:rFonts w:ascii="Calibri Light" w:hAnsi="Calibri Light" w:cs="Calibri Light"/>
        </w:rPr>
        <w:footnoteReference w:id="71"/>
      </w:r>
      <w:r w:rsidR="00474579">
        <w:rPr>
          <w:rFonts w:ascii="Calibri Light" w:hAnsi="Calibri Light" w:cs="Calibri Light"/>
        </w:rPr>
        <w:t xml:space="preserve"> </w:t>
      </w:r>
      <w:r>
        <w:rPr>
          <w:rFonts w:ascii="Calibri Light" w:hAnsi="Calibri Light" w:cs="Calibri Light"/>
        </w:rPr>
        <w:t xml:space="preserve"> </w:t>
      </w:r>
      <w:r w:rsidR="00474579">
        <w:rPr>
          <w:rFonts w:ascii="Calibri Light" w:hAnsi="Calibri Light" w:cs="Calibri Light"/>
        </w:rPr>
        <w:t>As</w:t>
      </w:r>
      <w:r>
        <w:rPr>
          <w:rFonts w:ascii="Calibri Light" w:hAnsi="Calibri Light" w:cs="Calibri Light"/>
        </w:rPr>
        <w:t xml:space="preserve"> a virtue</w:t>
      </w:r>
      <w:r w:rsidR="00474579">
        <w:rPr>
          <w:rFonts w:ascii="Calibri Light" w:hAnsi="Calibri Light" w:cs="Calibri Light"/>
        </w:rPr>
        <w:t>, it</w:t>
      </w:r>
      <w:r w:rsidR="00863CB5">
        <w:rPr>
          <w:rFonts w:ascii="Calibri Light" w:hAnsi="Calibri Light" w:cs="Calibri Light"/>
        </w:rPr>
        <w:t xml:space="preserve"> necessarily requires PW but such wisdom is internal. </w:t>
      </w:r>
      <w:r>
        <w:rPr>
          <w:rFonts w:ascii="Calibri Light" w:hAnsi="Calibri Light" w:cs="Calibri Light"/>
        </w:rPr>
        <w:t>I see no reason why SVE could not be developed, e.g. a model of constraint integration or, if that is still too like reason, a procedure compatible with the non-moral instruction Slote advocates.</w:t>
      </w:r>
      <w:r w:rsidR="00863CB5">
        <w:rPr>
          <w:rFonts w:ascii="Calibri Light" w:hAnsi="Calibri Light" w:cs="Calibri Light"/>
        </w:rPr>
        <w:t xml:space="preserve"> Nonetheless, i</w:t>
      </w:r>
      <w:r w:rsidR="00863CB5">
        <w:rPr>
          <w:rFonts w:ascii="Calibri Light" w:hAnsi="Calibri Light" w:cs="Calibri Light"/>
        </w:rPr>
        <w:t xml:space="preserve">n </w:t>
      </w:r>
      <w:r w:rsidR="00863CB5">
        <w:rPr>
          <w:rFonts w:ascii="Calibri Light" w:hAnsi="Calibri Light" w:cs="Calibri Light"/>
        </w:rPr>
        <w:t xml:space="preserve">a general sense, with greater granularity than early VE but shy of </w:t>
      </w:r>
      <w:r w:rsidR="00972CB1">
        <w:rPr>
          <w:rFonts w:ascii="Calibri Light" w:hAnsi="Calibri Light" w:cs="Calibri Light"/>
        </w:rPr>
        <w:t>NADP!</w:t>
      </w:r>
      <w:r w:rsidR="00863CB5">
        <w:rPr>
          <w:rFonts w:ascii="Calibri Light" w:hAnsi="Calibri Light" w:cs="Calibri Light"/>
        </w:rPr>
        <w:t xml:space="preserve">, SVE can </w:t>
      </w:r>
      <w:r w:rsidR="00474579">
        <w:rPr>
          <w:rFonts w:ascii="Calibri Light" w:hAnsi="Calibri Light" w:cs="Calibri Light"/>
        </w:rPr>
        <w:t>PUWAG.</w:t>
      </w:r>
    </w:p>
    <w:p w14:paraId="7FBCEA20" w14:textId="77777777" w:rsidR="00AF07BF" w:rsidRDefault="00AF07BF" w:rsidP="00EB39DD">
      <w:pPr>
        <w:spacing w:line="360" w:lineRule="auto"/>
        <w:jc w:val="both"/>
        <w:rPr>
          <w:rFonts w:ascii="Calibri Light" w:hAnsi="Calibri Light" w:cs="Calibri Light"/>
        </w:rPr>
      </w:pPr>
    </w:p>
    <w:p w14:paraId="4A842E78" w14:textId="4501D606" w:rsidR="00825DDF" w:rsidRPr="00825DDF" w:rsidRDefault="00474579" w:rsidP="001321E4">
      <w:pPr>
        <w:spacing w:line="360" w:lineRule="auto"/>
        <w:jc w:val="both"/>
        <w:rPr>
          <w:rFonts w:ascii="Calibri Light" w:hAnsi="Calibri Light" w:cs="Calibri Light"/>
        </w:rPr>
      </w:pPr>
      <w:r>
        <w:rPr>
          <w:rFonts w:ascii="Calibri Light" w:hAnsi="Calibri Light" w:cs="Calibri Light"/>
        </w:rPr>
        <w:t>4.</w:t>
      </w:r>
    </w:p>
    <w:p w14:paraId="4BF78E5B" w14:textId="77777777" w:rsidR="00825DDF" w:rsidRPr="00825DDF" w:rsidRDefault="00825DDF" w:rsidP="00825DDF">
      <w:pPr>
        <w:spacing w:line="360" w:lineRule="auto"/>
        <w:jc w:val="both"/>
        <w:rPr>
          <w:rFonts w:ascii="Calibri Light" w:hAnsi="Calibri Light" w:cs="Calibri Light"/>
        </w:rPr>
      </w:pPr>
    </w:p>
    <w:p w14:paraId="3D227917" w14:textId="44BAB617" w:rsidR="002542D4" w:rsidRDefault="002542D4" w:rsidP="002542D4">
      <w:pPr>
        <w:spacing w:line="360" w:lineRule="auto"/>
        <w:jc w:val="both"/>
        <w:rPr>
          <w:rFonts w:ascii="Calibri Light" w:hAnsi="Calibri Light" w:cs="Calibri Light"/>
        </w:rPr>
      </w:pPr>
      <w:r>
        <w:rPr>
          <w:rFonts w:ascii="Calibri Light" w:hAnsi="Calibri Light" w:cs="Calibri Light"/>
        </w:rPr>
        <w:lastRenderedPageBreak/>
        <w:t>Swanton rejects any idea that an NT’s purpose is telling us what to do.</w:t>
      </w:r>
      <w:r w:rsidR="00474579">
        <w:rPr>
          <w:rStyle w:val="FootnoteReference"/>
          <w:rFonts w:ascii="Calibri Light" w:hAnsi="Calibri Light" w:cs="Calibri Light"/>
        </w:rPr>
        <w:footnoteReference w:id="72"/>
      </w:r>
      <w:r>
        <w:rPr>
          <w:rFonts w:ascii="Calibri Light" w:hAnsi="Calibri Light" w:cs="Calibri Light"/>
        </w:rPr>
        <w:t xml:space="preserve"> </w:t>
      </w:r>
      <w:r w:rsidR="00586DEE">
        <w:rPr>
          <w:rFonts w:ascii="Calibri Light" w:hAnsi="Calibri Light" w:cs="Calibri Light"/>
        </w:rPr>
        <w:t>TVCE</w:t>
      </w:r>
      <w:r>
        <w:rPr>
          <w:rFonts w:ascii="Calibri Light" w:hAnsi="Calibri Light" w:cs="Calibri Light"/>
        </w:rPr>
        <w:t xml:space="preserve"> will not provide ‘anything like a DP’</w:t>
      </w:r>
      <w:r w:rsidR="00BF390A">
        <w:rPr>
          <w:rFonts w:ascii="Calibri Light" w:hAnsi="Calibri Light" w:cs="Calibri Light"/>
        </w:rPr>
        <w:t xml:space="preserve">. </w:t>
      </w:r>
      <w:r>
        <w:rPr>
          <w:rFonts w:ascii="Calibri Light" w:hAnsi="Calibri Light" w:cs="Calibri Light"/>
        </w:rPr>
        <w:t>Criterion that might be taken for a DP. The aim is not to provide a (T) or a (P). It is to provide a map.</w:t>
      </w:r>
      <w:r w:rsidR="00474579">
        <w:rPr>
          <w:rStyle w:val="FootnoteReference"/>
          <w:rFonts w:ascii="Calibri Light" w:hAnsi="Calibri Light" w:cs="Calibri Light"/>
        </w:rPr>
        <w:footnoteReference w:id="73"/>
      </w:r>
      <w:r>
        <w:rPr>
          <w:rFonts w:ascii="Calibri Light" w:hAnsi="Calibri Light" w:cs="Calibri Light"/>
        </w:rPr>
        <w:t xml:space="preserve"> A map reduces an excess of information</w:t>
      </w:r>
      <w:r w:rsidRPr="005C405F">
        <w:rPr>
          <w:rFonts w:ascii="Calibri Light" w:hAnsi="Calibri Light" w:cs="Calibri Light"/>
        </w:rPr>
        <w:t xml:space="preserve"> </w:t>
      </w:r>
      <w:r>
        <w:rPr>
          <w:rFonts w:ascii="Calibri Light" w:hAnsi="Calibri Light" w:cs="Calibri Light"/>
        </w:rPr>
        <w:t>into accessible and comprehensible form</w:t>
      </w:r>
      <w:r w:rsidR="00BF390A">
        <w:rPr>
          <w:rFonts w:ascii="Calibri Light" w:hAnsi="Calibri Light" w:cs="Calibri Light"/>
        </w:rPr>
        <w:t xml:space="preserve"> to engage our reasoning and effect navigation. </w:t>
      </w:r>
      <w:r>
        <w:rPr>
          <w:rFonts w:ascii="Calibri Light" w:hAnsi="Calibri Light" w:cs="Calibri Light"/>
        </w:rPr>
        <w:t>When elucidated, the metaphor is surprising powerful.</w:t>
      </w:r>
      <w:r w:rsidR="00474579">
        <w:rPr>
          <w:rStyle w:val="FootnoteReference"/>
          <w:rFonts w:ascii="Calibri Light" w:hAnsi="Calibri Light" w:cs="Calibri Light"/>
        </w:rPr>
        <w:footnoteReference w:id="74"/>
      </w:r>
    </w:p>
    <w:p w14:paraId="2DDE6D46" w14:textId="77777777" w:rsidR="00474579" w:rsidRDefault="00474579" w:rsidP="002542D4">
      <w:pPr>
        <w:spacing w:line="360" w:lineRule="auto"/>
        <w:jc w:val="both"/>
        <w:rPr>
          <w:rFonts w:ascii="Calibri Light" w:hAnsi="Calibri Light" w:cs="Calibri Light"/>
        </w:rPr>
      </w:pPr>
    </w:p>
    <w:p w14:paraId="6E8C337B" w14:textId="6EDB8835" w:rsidR="002542D4" w:rsidRDefault="002542D4" w:rsidP="002542D4">
      <w:pPr>
        <w:spacing w:line="360" w:lineRule="auto"/>
        <w:jc w:val="both"/>
        <w:rPr>
          <w:rFonts w:ascii="Calibri Light" w:hAnsi="Calibri Light" w:cs="Calibri Light"/>
        </w:rPr>
      </w:pPr>
      <w:r>
        <w:rPr>
          <w:rFonts w:ascii="Calibri Light" w:hAnsi="Calibri Light" w:cs="Calibri Light"/>
        </w:rPr>
        <w:t xml:space="preserve">Swanton takes </w:t>
      </w:r>
      <w:r w:rsidR="00972CB1">
        <w:rPr>
          <w:rFonts w:ascii="Calibri Light" w:hAnsi="Calibri Light" w:cs="Calibri Light"/>
        </w:rPr>
        <w:t>A</w:t>
      </w:r>
      <w:r w:rsidR="00474579">
        <w:rPr>
          <w:rFonts w:ascii="Calibri Light" w:hAnsi="Calibri Light" w:cs="Calibri Light"/>
        </w:rPr>
        <w:t>G</w:t>
      </w:r>
      <w:r>
        <w:rPr>
          <w:rFonts w:ascii="Calibri Light" w:hAnsi="Calibri Light" w:cs="Calibri Light"/>
        </w:rPr>
        <w:t xml:space="preserve">O as a challenge to provide an adequate moral epistemology for VE. </w:t>
      </w:r>
      <w:r w:rsidR="00586DEE">
        <w:rPr>
          <w:rFonts w:ascii="Calibri Light" w:hAnsi="Calibri Light" w:cs="Calibri Light"/>
        </w:rPr>
        <w:t>TVCE</w:t>
      </w:r>
      <w:r>
        <w:rPr>
          <w:rFonts w:ascii="Calibri Light" w:hAnsi="Calibri Light" w:cs="Calibri Light"/>
        </w:rPr>
        <w:t xml:space="preserve"> is motivated by EVE’s failings, troubled by both its theses but particularly the failings of the VP. </w:t>
      </w:r>
    </w:p>
    <w:p w14:paraId="139FE481" w14:textId="77777777" w:rsidR="002542D4" w:rsidRDefault="002542D4" w:rsidP="002542D4">
      <w:pPr>
        <w:spacing w:line="360" w:lineRule="auto"/>
        <w:jc w:val="both"/>
        <w:rPr>
          <w:rFonts w:ascii="Calibri Light" w:hAnsi="Calibri Light" w:cs="Calibri Light"/>
        </w:rPr>
      </w:pPr>
    </w:p>
    <w:p w14:paraId="780DF536" w14:textId="6CCD12F0" w:rsidR="002542D4" w:rsidRPr="00825DDF" w:rsidRDefault="002542D4" w:rsidP="002542D4">
      <w:pPr>
        <w:spacing w:line="360" w:lineRule="auto"/>
        <w:jc w:val="both"/>
        <w:rPr>
          <w:rFonts w:ascii="Calibri Light" w:hAnsi="Calibri Light" w:cs="Calibri Light"/>
        </w:rPr>
      </w:pPr>
      <w:r>
        <w:rPr>
          <w:rFonts w:ascii="Calibri Light" w:hAnsi="Calibri Light" w:cs="Calibri Light"/>
        </w:rPr>
        <w:t xml:space="preserve">Swanton sees </w:t>
      </w:r>
      <w:r w:rsidR="00474579">
        <w:rPr>
          <w:rFonts w:ascii="Calibri Light" w:hAnsi="Calibri Light" w:cs="Calibri Light"/>
        </w:rPr>
        <w:t>AGO</w:t>
      </w:r>
      <w:r>
        <w:rPr>
          <w:rFonts w:ascii="Calibri Light" w:hAnsi="Calibri Light" w:cs="Calibri Light"/>
        </w:rPr>
        <w:t xml:space="preserve"> as a </w:t>
      </w:r>
      <w:r w:rsidRPr="00825DDF">
        <w:rPr>
          <w:rFonts w:ascii="Calibri Light" w:hAnsi="Calibri Light" w:cs="Calibri Light"/>
        </w:rPr>
        <w:t xml:space="preserve">challenge </w:t>
      </w:r>
      <w:r>
        <w:rPr>
          <w:rFonts w:ascii="Calibri Light" w:hAnsi="Calibri Light" w:cs="Calibri Light"/>
        </w:rPr>
        <w:t xml:space="preserve">to provide an </w:t>
      </w:r>
      <w:r w:rsidRPr="00825DDF">
        <w:rPr>
          <w:rFonts w:ascii="Calibri Light" w:hAnsi="Calibri Light" w:cs="Calibri Light"/>
        </w:rPr>
        <w:t xml:space="preserve">adequate moral epistemology. </w:t>
      </w:r>
      <w:r>
        <w:rPr>
          <w:rFonts w:ascii="Calibri Light" w:hAnsi="Calibri Light" w:cs="Calibri Light"/>
        </w:rPr>
        <w:t xml:space="preserve">Swanton cannot accept either of EVE’s theses but is particularly motivated by failures in EVE’s epistemological account: the limited, sometimes wrong VP who, in the absence of rules, must be located and imitated. Whether virtue is a threshold concept or an ideal, the VP is flawed (e.g. the VP is a mistake-making ideal; my VP is more virtuous than yours). </w:t>
      </w:r>
      <w:r w:rsidR="00586DEE">
        <w:rPr>
          <w:rFonts w:ascii="Calibri Light" w:hAnsi="Calibri Light" w:cs="Calibri Light"/>
        </w:rPr>
        <w:t>TVCE</w:t>
      </w:r>
      <w:r>
        <w:rPr>
          <w:rFonts w:ascii="Calibri Light" w:hAnsi="Calibri Light" w:cs="Calibri Light"/>
        </w:rPr>
        <w:t xml:space="preserve"> dispenses with the oracular VP (escaping E1</w:t>
      </w:r>
      <w:r w:rsidR="002C16AB">
        <w:rPr>
          <w:rFonts w:ascii="Calibri Light" w:hAnsi="Calibri Light" w:cs="Calibri Light"/>
        </w:rPr>
        <w:t>/</w:t>
      </w:r>
      <w:r>
        <w:rPr>
          <w:rFonts w:ascii="Calibri Light" w:hAnsi="Calibri Light" w:cs="Calibri Light"/>
        </w:rPr>
        <w:t xml:space="preserve">E2 by default) and replaces it with targets. It is direct, specific. The self-centredness that can obstruct </w:t>
      </w:r>
      <w:r w:rsidR="00474579">
        <w:rPr>
          <w:rFonts w:ascii="Calibri Light" w:hAnsi="Calibri Light" w:cs="Calibri Light"/>
        </w:rPr>
        <w:t>action-guidance is</w:t>
      </w:r>
      <w:r>
        <w:rPr>
          <w:rFonts w:ascii="Calibri Light" w:hAnsi="Calibri Light" w:cs="Calibri Light"/>
        </w:rPr>
        <w:t xml:space="preserve"> avoided.  </w:t>
      </w:r>
    </w:p>
    <w:p w14:paraId="6F9D1BE1" w14:textId="77777777" w:rsidR="002542D4" w:rsidRDefault="002542D4" w:rsidP="002542D4">
      <w:pPr>
        <w:spacing w:line="360" w:lineRule="auto"/>
        <w:jc w:val="both"/>
        <w:rPr>
          <w:rFonts w:ascii="Calibri Light" w:hAnsi="Calibri Light" w:cs="Calibri Light"/>
        </w:rPr>
      </w:pPr>
    </w:p>
    <w:p w14:paraId="7943849D" w14:textId="77777777" w:rsidR="002542D4" w:rsidRDefault="002542D4" w:rsidP="002542D4">
      <w:pPr>
        <w:spacing w:line="360" w:lineRule="auto"/>
        <w:jc w:val="both"/>
        <w:rPr>
          <w:rFonts w:ascii="Calibri Light" w:hAnsi="Calibri Light" w:cs="Calibri Light"/>
        </w:rPr>
      </w:pPr>
    </w:p>
    <w:p w14:paraId="2E43813C" w14:textId="5C5510EE" w:rsidR="002542D4" w:rsidRDefault="002542D4" w:rsidP="002542D4">
      <w:pPr>
        <w:spacing w:line="360" w:lineRule="auto"/>
        <w:jc w:val="both"/>
        <w:rPr>
          <w:rFonts w:ascii="Calibri Light" w:hAnsi="Calibri Light" w:cs="Calibri Light"/>
        </w:rPr>
      </w:pPr>
      <w:r>
        <w:rPr>
          <w:rFonts w:ascii="Calibri Light" w:hAnsi="Calibri Light" w:cs="Calibri Light"/>
        </w:rPr>
        <w:t xml:space="preserve">By the </w:t>
      </w:r>
      <w:r w:rsidR="00586DEE">
        <w:rPr>
          <w:rFonts w:ascii="Calibri Light" w:hAnsi="Calibri Light" w:cs="Calibri Light"/>
        </w:rPr>
        <w:t>TVCE</w:t>
      </w:r>
      <w:r>
        <w:rPr>
          <w:rFonts w:ascii="Calibri Light" w:hAnsi="Calibri Light" w:cs="Calibri Light"/>
        </w:rPr>
        <w:t xml:space="preserve"> model, e</w:t>
      </w:r>
      <w:r w:rsidRPr="00825DDF">
        <w:rPr>
          <w:rFonts w:ascii="Calibri Light" w:hAnsi="Calibri Light" w:cs="Calibri Light"/>
        </w:rPr>
        <w:t xml:space="preserve">thical questions </w:t>
      </w:r>
      <w:r>
        <w:rPr>
          <w:rFonts w:ascii="Calibri Light" w:hAnsi="Calibri Light" w:cs="Calibri Light"/>
        </w:rPr>
        <w:t>are not the sole preserve of philosophers</w:t>
      </w:r>
      <w:r w:rsidRPr="00825DDF">
        <w:rPr>
          <w:rFonts w:ascii="Calibri Light" w:hAnsi="Calibri Light" w:cs="Calibri Light"/>
        </w:rPr>
        <w:t>.</w:t>
      </w:r>
      <w:r>
        <w:rPr>
          <w:rFonts w:ascii="Calibri Light" w:hAnsi="Calibri Light" w:cs="Calibri Light"/>
        </w:rPr>
        <w:t xml:space="preserve"> This is not just modesty but theoretically significant. </w:t>
      </w:r>
      <w:r w:rsidR="00586DEE">
        <w:rPr>
          <w:rFonts w:ascii="Calibri Light" w:hAnsi="Calibri Light" w:cs="Calibri Light"/>
        </w:rPr>
        <w:t>TVCE</w:t>
      </w:r>
      <w:r>
        <w:rPr>
          <w:rFonts w:ascii="Calibri Light" w:hAnsi="Calibri Light" w:cs="Calibri Light"/>
        </w:rPr>
        <w:t>’s compatibility with role ethics affords more opportunity for institutional application and it is achieved by its conception of virtue as differentiated.</w:t>
      </w:r>
      <w:r w:rsidR="00474579">
        <w:rPr>
          <w:rStyle w:val="FootnoteReference"/>
          <w:rFonts w:ascii="Calibri Light" w:hAnsi="Calibri Light" w:cs="Calibri Light"/>
        </w:rPr>
        <w:footnoteReference w:id="75"/>
      </w:r>
      <w:r>
        <w:rPr>
          <w:rFonts w:ascii="Calibri Light" w:hAnsi="Calibri Light" w:cs="Calibri Light"/>
        </w:rPr>
        <w:t xml:space="preserve"> The underlying premise is common-sensical: specific application requires discrete consideration. To properly apply business ethics in Kyoto will require the application of epistemological virtue to appreciate the relevant norms so to achieve a good-enough solution.  From a meta- standpoint, it is to hold that epistemic achievement is not the only aim.  The purpose is the social goal of a </w:t>
      </w:r>
      <w:r w:rsidR="00474579">
        <w:rPr>
          <w:rFonts w:ascii="Calibri Light" w:hAnsi="Calibri Light" w:cs="Calibri Light"/>
        </w:rPr>
        <w:t xml:space="preserve">multiply-realisable, best-possible </w:t>
      </w:r>
      <w:r>
        <w:rPr>
          <w:rFonts w:ascii="Calibri Light" w:hAnsi="Calibri Light" w:cs="Calibri Light"/>
        </w:rPr>
        <w:t>solution</w:t>
      </w:r>
      <w:r w:rsidR="00474579">
        <w:rPr>
          <w:rFonts w:ascii="Calibri Light" w:hAnsi="Calibri Light" w:cs="Calibri Light"/>
        </w:rPr>
        <w:t xml:space="preserve">. </w:t>
      </w:r>
      <w:r>
        <w:rPr>
          <w:rFonts w:ascii="Calibri Light" w:hAnsi="Calibri Light" w:cs="Calibri Light"/>
        </w:rPr>
        <w:t xml:space="preserve">A dialogic approach which openly recognises limitations, canvasses perspectives and prefers collective reasoning: </w:t>
      </w:r>
      <w:r w:rsidR="00586DEE">
        <w:rPr>
          <w:rFonts w:ascii="Calibri Light" w:hAnsi="Calibri Light" w:cs="Calibri Light"/>
        </w:rPr>
        <w:t>TVCE</w:t>
      </w:r>
      <w:r>
        <w:rPr>
          <w:rFonts w:ascii="Calibri Light" w:hAnsi="Calibri Light" w:cs="Calibri Light"/>
        </w:rPr>
        <w:t xml:space="preserve"> is designed for application.</w:t>
      </w:r>
      <w:r w:rsidR="002C16AB">
        <w:rPr>
          <w:rStyle w:val="FootnoteReference"/>
          <w:rFonts w:ascii="Calibri Light" w:hAnsi="Calibri Light" w:cs="Calibri Light"/>
        </w:rPr>
        <w:footnoteReference w:id="76"/>
      </w:r>
    </w:p>
    <w:p w14:paraId="40B511B6" w14:textId="77777777" w:rsidR="00474579" w:rsidRDefault="00474579" w:rsidP="002542D4">
      <w:pPr>
        <w:spacing w:line="360" w:lineRule="auto"/>
        <w:jc w:val="both"/>
        <w:rPr>
          <w:rFonts w:ascii="Calibri Light" w:hAnsi="Calibri Light" w:cs="Calibri Light"/>
        </w:rPr>
      </w:pPr>
    </w:p>
    <w:p w14:paraId="6EC19A8F" w14:textId="0F3D458D" w:rsidR="002542D4" w:rsidRDefault="002542D4" w:rsidP="002542D4">
      <w:pPr>
        <w:spacing w:line="360" w:lineRule="auto"/>
        <w:jc w:val="both"/>
        <w:rPr>
          <w:rFonts w:ascii="Calibri Light" w:hAnsi="Calibri Light" w:cs="Calibri Light"/>
        </w:rPr>
      </w:pPr>
      <w:r>
        <w:rPr>
          <w:rFonts w:ascii="Calibri Light" w:hAnsi="Calibri Light" w:cs="Calibri Light"/>
        </w:rPr>
        <w:lastRenderedPageBreak/>
        <w:t xml:space="preserve">A less demanding conception of virtue (minimally, a good enough responsiveness), a range of permissible actions (including the ‘all right’) and a plurality of virtues and modes of receptivity afford breadth and specificity. Distinguishing the ‘virtuous act’ from the ‘act of virtue’ and a notion of ‘right’ as ‘virtuous’ but also ‘correct’ allows for a demanding but permissive standard. </w:t>
      </w:r>
      <w:r w:rsidRPr="00825DDF">
        <w:rPr>
          <w:rFonts w:ascii="Calibri Light" w:hAnsi="Calibri Light" w:cs="Calibri Light"/>
        </w:rPr>
        <w:t>Success, motivation and moral luck are accounted for</w:t>
      </w:r>
      <w:r w:rsidR="002C16AB">
        <w:rPr>
          <w:rFonts w:ascii="Calibri Light" w:hAnsi="Calibri Light" w:cs="Calibri Light"/>
        </w:rPr>
        <w:t>.</w:t>
      </w:r>
      <w:r w:rsidRPr="00825DDF">
        <w:rPr>
          <w:rFonts w:ascii="Calibri Light" w:hAnsi="Calibri Light" w:cs="Calibri Light"/>
        </w:rPr>
        <w:t xml:space="preserve">  </w:t>
      </w:r>
      <w:r w:rsidR="00586DEE">
        <w:rPr>
          <w:rFonts w:ascii="Calibri Light" w:hAnsi="Calibri Light" w:cs="Calibri Light"/>
        </w:rPr>
        <w:t>TVCE</w:t>
      </w:r>
      <w:r>
        <w:rPr>
          <w:rFonts w:ascii="Calibri Light" w:hAnsi="Calibri Light" w:cs="Calibri Light"/>
        </w:rPr>
        <w:t>’s (T) is purposefully set out as a framework.</w:t>
      </w:r>
      <w:r>
        <w:rPr>
          <w:rStyle w:val="FootnoteReference"/>
          <w:rFonts w:ascii="Calibri Light" w:hAnsi="Calibri Light" w:cs="Calibri Light"/>
        </w:rPr>
        <w:footnoteReference w:id="77"/>
      </w:r>
      <w:r>
        <w:rPr>
          <w:rFonts w:ascii="Calibri Light" w:hAnsi="Calibri Light" w:cs="Calibri Light"/>
        </w:rPr>
        <w:t xml:space="preserve"> It tends towards intuitively plausible results. A faceless corporate donation intended to avoid tax may well be virtuous. Loathing cloaked by attentive care probably not. Inner states and consequences are finely balanced. The specific virtue in the specific circumstances will dictate. It is not easy to make a distinction because there is no easy distinction to make. </w:t>
      </w:r>
      <w:r w:rsidR="00586DEE">
        <w:rPr>
          <w:rFonts w:ascii="Calibri Light" w:hAnsi="Calibri Light" w:cs="Calibri Light"/>
        </w:rPr>
        <w:t>TVCE</w:t>
      </w:r>
      <w:r>
        <w:rPr>
          <w:rFonts w:ascii="Calibri Light" w:hAnsi="Calibri Light" w:cs="Calibri Light"/>
        </w:rPr>
        <w:t xml:space="preserve"> accepts that moral life is complex. It does seem to include unkind-generous actions. Incommensurable values are not symptoms of a defective NT but a fact in a world where different virtues do seem to require different skills. On this model, Unity does not just fail to explain away what looks obvious </w:t>
      </w:r>
      <w:r w:rsidR="002C16AB">
        <w:rPr>
          <w:rFonts w:ascii="Calibri Light" w:hAnsi="Calibri Light" w:cs="Calibri Light"/>
        </w:rPr>
        <w:t>but a</w:t>
      </w:r>
      <w:r>
        <w:rPr>
          <w:rFonts w:ascii="Calibri Light" w:hAnsi="Calibri Light" w:cs="Calibri Light"/>
        </w:rPr>
        <w:t xml:space="preserve"> delusory commitment to perfection</w:t>
      </w:r>
      <w:r w:rsidR="002C16AB">
        <w:rPr>
          <w:rFonts w:ascii="Calibri Light" w:hAnsi="Calibri Light" w:cs="Calibri Light"/>
        </w:rPr>
        <w:t xml:space="preserve"> which</w:t>
      </w:r>
      <w:r>
        <w:rPr>
          <w:rFonts w:ascii="Calibri Light" w:hAnsi="Calibri Light" w:cs="Calibri Light"/>
        </w:rPr>
        <w:t xml:space="preserve"> prevents proper situational assessment. </w:t>
      </w:r>
    </w:p>
    <w:p w14:paraId="14534FE5" w14:textId="77777777" w:rsidR="002542D4" w:rsidRDefault="002542D4" w:rsidP="002542D4">
      <w:pPr>
        <w:spacing w:line="360" w:lineRule="auto"/>
        <w:jc w:val="both"/>
        <w:rPr>
          <w:rFonts w:ascii="Calibri Light" w:hAnsi="Calibri Light" w:cs="Calibri Light"/>
        </w:rPr>
      </w:pPr>
    </w:p>
    <w:p w14:paraId="31A03D5E" w14:textId="77777777" w:rsidR="002C16AB" w:rsidRDefault="002542D4" w:rsidP="002542D4">
      <w:pPr>
        <w:spacing w:line="360" w:lineRule="auto"/>
        <w:jc w:val="both"/>
        <w:rPr>
          <w:rFonts w:ascii="Calibri Light" w:hAnsi="Calibri Light" w:cs="Calibri Light"/>
        </w:rPr>
      </w:pPr>
      <w:r>
        <w:rPr>
          <w:rFonts w:ascii="Calibri Light" w:hAnsi="Calibri Light" w:cs="Calibri Light"/>
        </w:rPr>
        <w:t xml:space="preserve">The worry remains that </w:t>
      </w:r>
      <w:r w:rsidR="00586DEE">
        <w:rPr>
          <w:rFonts w:ascii="Calibri Light" w:hAnsi="Calibri Light" w:cs="Calibri Light"/>
        </w:rPr>
        <w:t>TVCE</w:t>
      </w:r>
      <w:r>
        <w:rPr>
          <w:rFonts w:ascii="Calibri Light" w:hAnsi="Calibri Light" w:cs="Calibri Light"/>
        </w:rPr>
        <w:t xml:space="preserve"> is too particularist to </w:t>
      </w:r>
      <w:r w:rsidR="002C16AB">
        <w:rPr>
          <w:rFonts w:ascii="Calibri Light" w:hAnsi="Calibri Light" w:cs="Calibri Light"/>
        </w:rPr>
        <w:t>PUWAG</w:t>
      </w:r>
      <w:r>
        <w:rPr>
          <w:rFonts w:ascii="Calibri Light" w:hAnsi="Calibri Light" w:cs="Calibri Light"/>
        </w:rPr>
        <w:t xml:space="preserve">. As to particularism, its defence is well beyond us here (perhaps anywhere if our interlocutor maintains it as wrong and bad), save to comment that (overstated) concern about particularism’s deleterious effect on education should be heeded but </w:t>
      </w:r>
      <w:r w:rsidR="002C16AB">
        <w:rPr>
          <w:rFonts w:ascii="Calibri Light" w:hAnsi="Calibri Light" w:cs="Calibri Light"/>
        </w:rPr>
        <w:t xml:space="preserve">it </w:t>
      </w:r>
      <w:r>
        <w:rPr>
          <w:rFonts w:ascii="Calibri Light" w:hAnsi="Calibri Light" w:cs="Calibri Light"/>
        </w:rPr>
        <w:t xml:space="preserve">does not amount to refutation. </w:t>
      </w:r>
    </w:p>
    <w:p w14:paraId="75379473" w14:textId="77777777" w:rsidR="002C16AB" w:rsidRDefault="002C16AB" w:rsidP="002542D4">
      <w:pPr>
        <w:spacing w:line="360" w:lineRule="auto"/>
        <w:jc w:val="both"/>
        <w:rPr>
          <w:rFonts w:ascii="Calibri Light" w:hAnsi="Calibri Light" w:cs="Calibri Light"/>
        </w:rPr>
      </w:pPr>
    </w:p>
    <w:p w14:paraId="5FB11438" w14:textId="7370DACD" w:rsidR="002542D4" w:rsidRDefault="002542D4" w:rsidP="002542D4">
      <w:pPr>
        <w:spacing w:line="360" w:lineRule="auto"/>
        <w:jc w:val="both"/>
        <w:rPr>
          <w:rFonts w:ascii="Calibri Light" w:hAnsi="Calibri Light" w:cs="Calibri Light"/>
        </w:rPr>
      </w:pPr>
      <w:r>
        <w:rPr>
          <w:rFonts w:ascii="Calibri Light" w:hAnsi="Calibri Light" w:cs="Calibri Light"/>
        </w:rPr>
        <w:t xml:space="preserve">The specific concern </w:t>
      </w:r>
      <w:r w:rsidR="002C16AB">
        <w:rPr>
          <w:rFonts w:ascii="Calibri Light" w:hAnsi="Calibri Light" w:cs="Calibri Light"/>
        </w:rPr>
        <w:t>is</w:t>
      </w:r>
      <w:r>
        <w:rPr>
          <w:rFonts w:ascii="Calibri Light" w:hAnsi="Calibri Light" w:cs="Calibri Light"/>
        </w:rPr>
        <w:t xml:space="preserve"> that </w:t>
      </w:r>
      <w:r w:rsidR="00586DEE">
        <w:rPr>
          <w:rFonts w:ascii="Calibri Light" w:hAnsi="Calibri Light" w:cs="Calibri Light"/>
        </w:rPr>
        <w:t>TVCE</w:t>
      </w:r>
      <w:r>
        <w:rPr>
          <w:rFonts w:ascii="Calibri Light" w:hAnsi="Calibri Light" w:cs="Calibri Light"/>
        </w:rPr>
        <w:t xml:space="preserve"> is too indeterminate [E3]. Without more, however, it is the objection that wants definition. Pure determinacy cannot be what is wanted. A solution insensitive to difference is no solution at all. Contrarily, no-one wants indeterminacy as arbitrariness (note how ‘particular’ slips so easily into the pejorative: uniquely, idiosyncratically, oddly so).</w:t>
      </w:r>
      <w:r w:rsidR="002C16AB">
        <w:rPr>
          <w:rStyle w:val="FootnoteReference"/>
          <w:rFonts w:ascii="Calibri Light" w:hAnsi="Calibri Light" w:cs="Calibri Light"/>
        </w:rPr>
        <w:footnoteReference w:id="78"/>
      </w:r>
      <w:r>
        <w:rPr>
          <w:rFonts w:ascii="Calibri Light" w:hAnsi="Calibri Light" w:cs="Calibri Light"/>
        </w:rPr>
        <w:t xml:space="preserve"> </w:t>
      </w:r>
      <w:r w:rsidRPr="00825DDF">
        <w:rPr>
          <w:rFonts w:ascii="Calibri Light" w:hAnsi="Calibri Light" w:cs="Calibri Light"/>
        </w:rPr>
        <w:t>I</w:t>
      </w:r>
      <w:r>
        <w:rPr>
          <w:rFonts w:ascii="Calibri Light" w:hAnsi="Calibri Light" w:cs="Calibri Light"/>
        </w:rPr>
        <w:t>n</w:t>
      </w:r>
      <w:r w:rsidRPr="00825DDF">
        <w:rPr>
          <w:rFonts w:ascii="Calibri Light" w:hAnsi="Calibri Light" w:cs="Calibri Light"/>
        </w:rPr>
        <w:t xml:space="preserve"> (P)</w:t>
      </w:r>
      <w:r>
        <w:rPr>
          <w:rFonts w:ascii="Calibri Light" w:hAnsi="Calibri Light" w:cs="Calibri Light"/>
        </w:rPr>
        <w:t xml:space="preserve"> terms</w:t>
      </w:r>
      <w:r w:rsidRPr="00825DDF">
        <w:rPr>
          <w:rFonts w:ascii="Calibri Light" w:hAnsi="Calibri Light" w:cs="Calibri Light"/>
        </w:rPr>
        <w:t>,</w:t>
      </w:r>
      <w:r>
        <w:rPr>
          <w:rFonts w:ascii="Calibri Light" w:hAnsi="Calibri Light" w:cs="Calibri Light"/>
        </w:rPr>
        <w:t xml:space="preserve"> should </w:t>
      </w:r>
      <w:r w:rsidR="00972CB1">
        <w:rPr>
          <w:rFonts w:ascii="Calibri Light" w:hAnsi="Calibri Light" w:cs="Calibri Light"/>
        </w:rPr>
        <w:t>NADP!</w:t>
      </w:r>
      <w:r>
        <w:rPr>
          <w:rFonts w:ascii="Calibri Light" w:hAnsi="Calibri Light" w:cs="Calibri Light"/>
        </w:rPr>
        <w:t xml:space="preserve"> strictly forbid any variety? For the objection to bite, what amounts to an acceptable level of </w:t>
      </w:r>
      <w:r w:rsidR="002C16AB">
        <w:rPr>
          <w:rFonts w:ascii="Calibri Light" w:hAnsi="Calibri Light" w:cs="Calibri Light"/>
        </w:rPr>
        <w:t>disagreement</w:t>
      </w:r>
      <w:r>
        <w:rPr>
          <w:rFonts w:ascii="Calibri Light" w:hAnsi="Calibri Light" w:cs="Calibri Light"/>
        </w:rPr>
        <w:t xml:space="preserve"> and satisfactory consensus needs to be set out. There is an easy defence: no situations are alike. </w:t>
      </w:r>
      <w:r w:rsidR="002C16AB">
        <w:rPr>
          <w:rFonts w:ascii="Calibri Light" w:hAnsi="Calibri Light" w:cs="Calibri Light"/>
        </w:rPr>
        <w:t>If that fails, it matters not</w:t>
      </w:r>
      <w:r>
        <w:rPr>
          <w:rFonts w:ascii="Calibri Light" w:hAnsi="Calibri Light" w:cs="Calibri Light"/>
        </w:rPr>
        <w:t xml:space="preserve">. It’s neither for critic nor us to pre-determine the standard for </w:t>
      </w:r>
      <w:r>
        <w:rPr>
          <w:rFonts w:ascii="Calibri Light" w:hAnsi="Calibri Light" w:cs="Calibri Light"/>
        </w:rPr>
        <w:lastRenderedPageBreak/>
        <w:t xml:space="preserve">convergence/consensus. It is a social, practical question which depends on context. We should expect some difference between experts (how much we would want depends on the field) but if the decision is </w:t>
      </w:r>
      <w:r>
        <w:rPr>
          <w:rFonts w:ascii="Calibri Light" w:hAnsi="Calibri Light" w:cs="Calibri Light"/>
          <w:i/>
          <w:iCs/>
        </w:rPr>
        <w:t>ours</w:t>
      </w:r>
      <w:r>
        <w:rPr>
          <w:rFonts w:ascii="Calibri Light" w:hAnsi="Calibri Light" w:cs="Calibri Light"/>
        </w:rPr>
        <w:t>, made by this group of people here, then it will be different. As we would want it, not least because the decision is, precisely, ours.</w:t>
      </w:r>
    </w:p>
    <w:p w14:paraId="44506A7E" w14:textId="77777777" w:rsidR="002C16AB" w:rsidRDefault="002C16AB" w:rsidP="002542D4">
      <w:pPr>
        <w:spacing w:line="360" w:lineRule="auto"/>
        <w:jc w:val="both"/>
        <w:rPr>
          <w:rFonts w:ascii="Calibri Light" w:hAnsi="Calibri Light" w:cs="Calibri Light"/>
        </w:rPr>
      </w:pPr>
    </w:p>
    <w:p w14:paraId="2761985D" w14:textId="44504D94" w:rsidR="002542D4" w:rsidRDefault="00BF390A" w:rsidP="002542D4">
      <w:pPr>
        <w:spacing w:line="360" w:lineRule="auto"/>
        <w:jc w:val="both"/>
        <w:rPr>
          <w:rFonts w:ascii="Calibri Light" w:hAnsi="Calibri Light" w:cs="Calibri Light"/>
        </w:rPr>
      </w:pPr>
      <w:r>
        <w:rPr>
          <w:rFonts w:ascii="Calibri Light" w:hAnsi="Calibri Light" w:cs="Calibri Light"/>
        </w:rPr>
        <w:t xml:space="preserve">With the </w:t>
      </w:r>
      <w:r w:rsidR="002542D4">
        <w:rPr>
          <w:rFonts w:ascii="Calibri Light" w:hAnsi="Calibri Light" w:cs="Calibri Light"/>
        </w:rPr>
        <w:t>Virtues of Practice and constraint-integration</w:t>
      </w:r>
      <w:r>
        <w:rPr>
          <w:rFonts w:ascii="Calibri Light" w:hAnsi="Calibri Light" w:cs="Calibri Light"/>
        </w:rPr>
        <w:t>, there is a</w:t>
      </w:r>
      <w:r w:rsidR="002542D4">
        <w:rPr>
          <w:rFonts w:ascii="Calibri Light" w:hAnsi="Calibri Light" w:cs="Calibri Light"/>
        </w:rPr>
        <w:t xml:space="preserve"> clear and simple procedure. With humility and creativity, in succession, the specific, context-sensitive constraints </w:t>
      </w:r>
      <w:r>
        <w:rPr>
          <w:rFonts w:ascii="Calibri Light" w:hAnsi="Calibri Light" w:cs="Calibri Light"/>
        </w:rPr>
        <w:t>are successively</w:t>
      </w:r>
      <w:r w:rsidR="002542D4">
        <w:rPr>
          <w:rFonts w:ascii="Calibri Light" w:hAnsi="Calibri Light" w:cs="Calibri Light"/>
        </w:rPr>
        <w:t xml:space="preserve"> negotiated</w:t>
      </w:r>
      <w:r>
        <w:rPr>
          <w:rFonts w:ascii="Calibri Light" w:hAnsi="Calibri Light" w:cs="Calibri Light"/>
        </w:rPr>
        <w:t xml:space="preserve">. The </w:t>
      </w:r>
      <w:r w:rsidR="002542D4">
        <w:rPr>
          <w:rFonts w:ascii="Calibri Light" w:hAnsi="Calibri Light" w:cs="Calibri Light"/>
        </w:rPr>
        <w:t>problem transformed. For here in real</w:t>
      </w:r>
      <w:r>
        <w:rPr>
          <w:rFonts w:ascii="Calibri Light" w:hAnsi="Calibri Light" w:cs="Calibri Light"/>
        </w:rPr>
        <w:t>-</w:t>
      </w:r>
      <w:r w:rsidR="002542D4">
        <w:rPr>
          <w:rFonts w:ascii="Calibri Light" w:hAnsi="Calibri Light" w:cs="Calibri Light"/>
        </w:rPr>
        <w:t>lif</w:t>
      </w:r>
      <w:r>
        <w:rPr>
          <w:rFonts w:ascii="Calibri Light" w:hAnsi="Calibri Light" w:cs="Calibri Light"/>
        </w:rPr>
        <w:t>e:</w:t>
      </w:r>
      <w:r w:rsidR="002542D4">
        <w:rPr>
          <w:rFonts w:ascii="Calibri Light" w:hAnsi="Calibri Light" w:cs="Calibri Light"/>
        </w:rPr>
        <w:t xml:space="preserve"> we modify, find out, negotiate</w:t>
      </w:r>
      <w:r>
        <w:rPr>
          <w:rFonts w:ascii="Calibri Light" w:hAnsi="Calibri Light" w:cs="Calibri Light"/>
        </w:rPr>
        <w:t xml:space="preserve">, </w:t>
      </w:r>
      <w:r w:rsidR="002542D4">
        <w:rPr>
          <w:rFonts w:ascii="Calibri Light" w:hAnsi="Calibri Light" w:cs="Calibri Light"/>
        </w:rPr>
        <w:t>compromise</w:t>
      </w:r>
      <w:r>
        <w:rPr>
          <w:rFonts w:ascii="Calibri Light" w:hAnsi="Calibri Light" w:cs="Calibri Light"/>
        </w:rPr>
        <w:t>.</w:t>
      </w:r>
      <w:r w:rsidR="002542D4">
        <w:rPr>
          <w:rFonts w:ascii="Calibri Light" w:hAnsi="Calibri Light" w:cs="Calibri Light"/>
        </w:rPr>
        <w:t xml:space="preserve"> Constraint-integration </w:t>
      </w:r>
      <w:r>
        <w:rPr>
          <w:rFonts w:ascii="Calibri Light" w:hAnsi="Calibri Light" w:cs="Calibri Light"/>
        </w:rPr>
        <w:t>sorts</w:t>
      </w:r>
      <w:r w:rsidR="002542D4">
        <w:rPr>
          <w:rFonts w:ascii="Calibri Light" w:hAnsi="Calibri Light" w:cs="Calibri Light"/>
        </w:rPr>
        <w:t xml:space="preserve"> concrete details</w:t>
      </w:r>
      <w:r>
        <w:rPr>
          <w:rFonts w:ascii="Calibri Light" w:hAnsi="Calibri Light" w:cs="Calibri Light"/>
        </w:rPr>
        <w:t>. T</w:t>
      </w:r>
      <w:r w:rsidR="002542D4">
        <w:rPr>
          <w:rFonts w:ascii="Calibri Light" w:hAnsi="Calibri Light" w:cs="Calibri Light"/>
        </w:rPr>
        <w:t xml:space="preserve">he fine-grained opposite of abstract principles </w:t>
      </w:r>
      <w:r>
        <w:rPr>
          <w:rFonts w:ascii="Calibri Light" w:hAnsi="Calibri Light" w:cs="Calibri Light"/>
        </w:rPr>
        <w:t>resolutely</w:t>
      </w:r>
      <w:r w:rsidR="002542D4">
        <w:rPr>
          <w:rFonts w:ascii="Calibri Light" w:hAnsi="Calibri Light" w:cs="Calibri Light"/>
        </w:rPr>
        <w:t xml:space="preserve"> opposed to integration. </w:t>
      </w:r>
    </w:p>
    <w:p w14:paraId="15A9A0AB" w14:textId="77777777" w:rsidR="00BF390A" w:rsidRDefault="00BF390A" w:rsidP="002542D4">
      <w:pPr>
        <w:spacing w:line="360" w:lineRule="auto"/>
        <w:jc w:val="both"/>
        <w:rPr>
          <w:rFonts w:ascii="Calibri Light" w:hAnsi="Calibri Light" w:cs="Calibri Light"/>
        </w:rPr>
      </w:pPr>
    </w:p>
    <w:p w14:paraId="4BFBE669" w14:textId="49B5C266" w:rsidR="002542D4" w:rsidRDefault="002542D4" w:rsidP="002542D4">
      <w:pPr>
        <w:spacing w:line="360" w:lineRule="auto"/>
        <w:jc w:val="both"/>
        <w:rPr>
          <w:rFonts w:ascii="Calibri Light" w:hAnsi="Calibri Light" w:cs="Calibri Light"/>
        </w:rPr>
      </w:pPr>
      <w:r>
        <w:rPr>
          <w:rFonts w:ascii="Calibri Light" w:hAnsi="Calibri Light" w:cs="Calibri Light"/>
        </w:rPr>
        <w:t xml:space="preserve">Swanton concedes that constraint integration cannot, by itself, meet </w:t>
      </w:r>
      <w:r w:rsidR="00BF390A">
        <w:rPr>
          <w:rFonts w:ascii="Calibri Light" w:hAnsi="Calibri Light" w:cs="Calibri Light"/>
        </w:rPr>
        <w:t>AGO</w:t>
      </w:r>
      <w:r>
        <w:rPr>
          <w:rFonts w:ascii="Calibri Light" w:hAnsi="Calibri Light" w:cs="Calibri Light"/>
        </w:rPr>
        <w:t xml:space="preserve">. Virtues </w:t>
      </w:r>
      <w:r w:rsidR="00BF390A">
        <w:rPr>
          <w:rFonts w:ascii="Calibri Light" w:hAnsi="Calibri Light" w:cs="Calibri Light"/>
        </w:rPr>
        <w:t xml:space="preserve">still </w:t>
      </w:r>
      <w:r>
        <w:rPr>
          <w:rFonts w:ascii="Calibri Light" w:hAnsi="Calibri Light" w:cs="Calibri Light"/>
        </w:rPr>
        <w:t>conflict</w:t>
      </w:r>
      <w:r w:rsidR="00BF390A">
        <w:rPr>
          <w:rFonts w:ascii="Calibri Light" w:hAnsi="Calibri Light" w:cs="Calibri Light"/>
        </w:rPr>
        <w:t xml:space="preserve">, </w:t>
      </w:r>
      <w:r>
        <w:rPr>
          <w:rFonts w:ascii="Calibri Light" w:hAnsi="Calibri Light" w:cs="Calibri Light"/>
        </w:rPr>
        <w:t xml:space="preserve">VE </w:t>
      </w:r>
      <w:r w:rsidR="00BF390A">
        <w:rPr>
          <w:rFonts w:ascii="Calibri Light" w:hAnsi="Calibri Light" w:cs="Calibri Light"/>
        </w:rPr>
        <w:t>unable to</w:t>
      </w:r>
      <w:r>
        <w:rPr>
          <w:rFonts w:ascii="Calibri Light" w:hAnsi="Calibri Light" w:cs="Calibri Light"/>
        </w:rPr>
        <w:t xml:space="preserve"> adjudicate. The ‘structural’ issue</w:t>
      </w:r>
      <w:r w:rsidR="00BF390A">
        <w:rPr>
          <w:rFonts w:ascii="Calibri Light" w:hAnsi="Calibri Light" w:cs="Calibri Light"/>
        </w:rPr>
        <w:t xml:space="preserve"> of</w:t>
      </w:r>
      <w:r>
        <w:rPr>
          <w:rFonts w:ascii="Calibri Light" w:hAnsi="Calibri Light" w:cs="Calibri Light"/>
        </w:rPr>
        <w:t xml:space="preserve"> two VPs </w:t>
      </w:r>
      <w:r w:rsidR="00BF390A">
        <w:rPr>
          <w:rFonts w:ascii="Calibri Light" w:hAnsi="Calibri Light" w:cs="Calibri Light"/>
        </w:rPr>
        <w:t>giving</w:t>
      </w:r>
      <w:r>
        <w:rPr>
          <w:rFonts w:ascii="Calibri Light" w:hAnsi="Calibri Light" w:cs="Calibri Light"/>
        </w:rPr>
        <w:t xml:space="preserve"> two different answers</w:t>
      </w:r>
      <w:r w:rsidR="00BF390A">
        <w:rPr>
          <w:rFonts w:ascii="Calibri Light" w:hAnsi="Calibri Light" w:cs="Calibri Light"/>
        </w:rPr>
        <w:t xml:space="preserve"> is gone but an </w:t>
      </w:r>
      <w:r>
        <w:rPr>
          <w:rFonts w:ascii="Calibri Light" w:hAnsi="Calibri Light" w:cs="Calibri Light"/>
        </w:rPr>
        <w:t>account of practical reason</w:t>
      </w:r>
      <w:r w:rsidR="00BF390A">
        <w:rPr>
          <w:rFonts w:ascii="Calibri Light" w:hAnsi="Calibri Light" w:cs="Calibri Light"/>
        </w:rPr>
        <w:t xml:space="preserve"> is required</w:t>
      </w:r>
      <w:r>
        <w:rPr>
          <w:rFonts w:ascii="Calibri Light" w:hAnsi="Calibri Light" w:cs="Calibri Light"/>
        </w:rPr>
        <w:t xml:space="preserve">. </w:t>
      </w:r>
    </w:p>
    <w:p w14:paraId="19C33A8A" w14:textId="77777777" w:rsidR="002542D4" w:rsidRDefault="002542D4" w:rsidP="002542D4">
      <w:pPr>
        <w:spacing w:line="360" w:lineRule="auto"/>
        <w:jc w:val="both"/>
        <w:rPr>
          <w:rFonts w:ascii="Calibri Light" w:hAnsi="Calibri Light" w:cs="Calibri Light"/>
        </w:rPr>
      </w:pPr>
    </w:p>
    <w:p w14:paraId="71A9854A" w14:textId="5CEF952D" w:rsidR="002542D4" w:rsidRDefault="003C414E" w:rsidP="002542D4">
      <w:pPr>
        <w:spacing w:line="360" w:lineRule="auto"/>
        <w:jc w:val="both"/>
        <w:rPr>
          <w:rFonts w:ascii="Calibri Light" w:hAnsi="Calibri Light" w:cs="Calibri Light"/>
        </w:rPr>
      </w:pPr>
      <w:r>
        <w:rPr>
          <w:rFonts w:ascii="Calibri Light" w:hAnsi="Calibri Light" w:cs="Calibri Light"/>
        </w:rPr>
        <w:t>That is provided by</w:t>
      </w:r>
      <w:r w:rsidR="00BF390A">
        <w:rPr>
          <w:rFonts w:ascii="Calibri Light" w:hAnsi="Calibri Light" w:cs="Calibri Light"/>
        </w:rPr>
        <w:t xml:space="preserve"> Virtue Ethical Particularism</w:t>
      </w:r>
      <w:r>
        <w:rPr>
          <w:rFonts w:ascii="Calibri Light" w:hAnsi="Calibri Light" w:cs="Calibri Light"/>
        </w:rPr>
        <w:t xml:space="preserve"> (“VEP”).</w:t>
      </w:r>
      <w:r w:rsidR="002C16AB">
        <w:rPr>
          <w:rStyle w:val="FootnoteReference"/>
          <w:rFonts w:ascii="Calibri Light" w:hAnsi="Calibri Light" w:cs="Calibri Light"/>
        </w:rPr>
        <w:footnoteReference w:id="79"/>
      </w:r>
      <w:r>
        <w:rPr>
          <w:rFonts w:ascii="Calibri Light" w:hAnsi="Calibri Light" w:cs="Calibri Light"/>
        </w:rPr>
        <w:t xml:space="preserve"> With an ontological commitment to Dancy particularism, s</w:t>
      </w:r>
      <w:r w:rsidR="00BF390A">
        <w:rPr>
          <w:rFonts w:ascii="Calibri Light" w:hAnsi="Calibri Light" w:cs="Calibri Light"/>
        </w:rPr>
        <w:t xml:space="preserve">he appreciates </w:t>
      </w:r>
      <w:r>
        <w:rPr>
          <w:rFonts w:ascii="Calibri Light" w:hAnsi="Calibri Light" w:cs="Calibri Light"/>
        </w:rPr>
        <w:t>it’s</w:t>
      </w:r>
      <w:r w:rsidR="00BF390A">
        <w:rPr>
          <w:rFonts w:ascii="Calibri Light" w:hAnsi="Calibri Light" w:cs="Calibri Light"/>
        </w:rPr>
        <w:t xml:space="preserve"> controversial.</w:t>
      </w:r>
      <w:r>
        <w:rPr>
          <w:rFonts w:ascii="Calibri Light" w:hAnsi="Calibri Light" w:cs="Calibri Light"/>
        </w:rPr>
        <w:t xml:space="preserve"> The objections are deeply held. Radical or not, it is ultimately a statement that holism is true. Nonetheless, to deny the constancy of the code you have is provocative</w:t>
      </w:r>
      <w:r w:rsidR="00AC01ED">
        <w:rPr>
          <w:rFonts w:ascii="Calibri Light" w:hAnsi="Calibri Light" w:cs="Calibri Light"/>
        </w:rPr>
        <w:t xml:space="preserve"> but,</w:t>
      </w:r>
      <w:r>
        <w:rPr>
          <w:rFonts w:ascii="Calibri Light" w:hAnsi="Calibri Light" w:cs="Calibri Light"/>
        </w:rPr>
        <w:t xml:space="preserve"> steering a course between commitments, Swanton sets out a comprehensive account with sufficiently stable code. </w:t>
      </w:r>
      <w:r w:rsidR="00AC01ED">
        <w:rPr>
          <w:rFonts w:ascii="Calibri Light" w:hAnsi="Calibri Light" w:cs="Calibri Light"/>
        </w:rPr>
        <w:t xml:space="preserve">The </w:t>
      </w:r>
      <w:r w:rsidR="002542D4">
        <w:rPr>
          <w:rFonts w:ascii="Calibri Light" w:hAnsi="Calibri Light" w:cs="Calibri Light"/>
        </w:rPr>
        <w:t xml:space="preserve">v-rules, specified through thick v-concepts, </w:t>
      </w:r>
      <w:r w:rsidR="00AC01ED">
        <w:rPr>
          <w:rFonts w:ascii="Calibri Light" w:hAnsi="Calibri Light" w:cs="Calibri Light"/>
        </w:rPr>
        <w:t>codify</w:t>
      </w:r>
      <w:r w:rsidR="002542D4">
        <w:rPr>
          <w:rFonts w:ascii="Calibri Light" w:hAnsi="Calibri Light" w:cs="Calibri Light"/>
        </w:rPr>
        <w:t xml:space="preserve"> default reasons for action capable of switching off defeat.</w:t>
      </w:r>
      <w:r w:rsidR="00AC01ED">
        <w:rPr>
          <w:rFonts w:ascii="Calibri Light" w:hAnsi="Calibri Light" w:cs="Calibri Light"/>
        </w:rPr>
        <w:t xml:space="preserve"> So whilst there </w:t>
      </w:r>
      <w:r w:rsidR="002542D4">
        <w:rPr>
          <w:rFonts w:ascii="Calibri Light" w:hAnsi="Calibri Light" w:cs="Calibri Light"/>
        </w:rPr>
        <w:t xml:space="preserve">is no suitable supply of moral principles which codify invariant reasons for action, she holds that there is a suitable supply of v-rules that codify v-reasons. </w:t>
      </w:r>
      <w:r w:rsidR="00AC01ED">
        <w:rPr>
          <w:rFonts w:ascii="Calibri Light" w:hAnsi="Calibri Light" w:cs="Calibri Light"/>
        </w:rPr>
        <w:t>Their</w:t>
      </w:r>
      <w:r w:rsidR="002542D4">
        <w:rPr>
          <w:rFonts w:ascii="Calibri Light" w:hAnsi="Calibri Light" w:cs="Calibri Light"/>
        </w:rPr>
        <w:t xml:space="preserve"> valence</w:t>
      </w:r>
      <w:r w:rsidR="00AC01ED">
        <w:rPr>
          <w:rFonts w:ascii="Calibri Light" w:hAnsi="Calibri Light" w:cs="Calibri Light"/>
        </w:rPr>
        <w:t xml:space="preserve"> is variable but</w:t>
      </w:r>
      <w:r w:rsidR="002542D4">
        <w:rPr>
          <w:rFonts w:ascii="Calibri Light" w:hAnsi="Calibri Light" w:cs="Calibri Light"/>
        </w:rPr>
        <w:t xml:space="preserve"> </w:t>
      </w:r>
      <w:r w:rsidR="00AC01ED">
        <w:rPr>
          <w:rFonts w:ascii="Calibri Light" w:hAnsi="Calibri Light" w:cs="Calibri Light"/>
        </w:rPr>
        <w:t>v</w:t>
      </w:r>
      <w:r w:rsidR="002542D4">
        <w:rPr>
          <w:rFonts w:ascii="Calibri Light" w:hAnsi="Calibri Light" w:cs="Calibri Light"/>
        </w:rPr>
        <w:t xml:space="preserve">-reasons characteristically switch off defeat. </w:t>
      </w:r>
      <w:r w:rsidR="00AC01ED">
        <w:rPr>
          <w:rFonts w:ascii="Calibri Light" w:hAnsi="Calibri Light" w:cs="Calibri Light"/>
        </w:rPr>
        <w:t>Generalism is denied. R</w:t>
      </w:r>
      <w:r w:rsidR="002542D4">
        <w:rPr>
          <w:rFonts w:ascii="Calibri Light" w:hAnsi="Calibri Light" w:cs="Calibri Light"/>
        </w:rPr>
        <w:t>easons</w:t>
      </w:r>
      <w:r w:rsidR="00AC01ED">
        <w:rPr>
          <w:rFonts w:ascii="Calibri Light" w:hAnsi="Calibri Light" w:cs="Calibri Light"/>
        </w:rPr>
        <w:t xml:space="preserve"> may</w:t>
      </w:r>
      <w:r w:rsidR="002542D4">
        <w:rPr>
          <w:rFonts w:ascii="Calibri Light" w:hAnsi="Calibri Light" w:cs="Calibri Light"/>
        </w:rPr>
        <w:t xml:space="preserve">, a priori, have positive valence.   </w:t>
      </w:r>
    </w:p>
    <w:p w14:paraId="67169F4E" w14:textId="77777777" w:rsidR="002C16AB" w:rsidRDefault="002C16AB" w:rsidP="002542D4">
      <w:pPr>
        <w:spacing w:line="360" w:lineRule="auto"/>
        <w:jc w:val="both"/>
        <w:rPr>
          <w:rFonts w:ascii="Calibri Light" w:hAnsi="Calibri Light" w:cs="Calibri Light"/>
        </w:rPr>
      </w:pPr>
    </w:p>
    <w:p w14:paraId="7B6FFCFB" w14:textId="252C00FE" w:rsidR="00AC01ED" w:rsidRDefault="006E287D" w:rsidP="002542D4">
      <w:pPr>
        <w:spacing w:line="360" w:lineRule="auto"/>
        <w:jc w:val="both"/>
        <w:rPr>
          <w:rFonts w:ascii="Calibri Light" w:hAnsi="Calibri Light" w:cs="Calibri Light"/>
        </w:rPr>
      </w:pPr>
      <w:r>
        <w:rPr>
          <w:rFonts w:ascii="Calibri Light" w:hAnsi="Calibri Light" w:cs="Calibri Light"/>
        </w:rPr>
        <w:t>Default reasons</w:t>
      </w:r>
      <w:r w:rsidR="00AC01ED">
        <w:rPr>
          <w:rFonts w:ascii="Calibri Light" w:hAnsi="Calibri Light" w:cs="Calibri Light"/>
        </w:rPr>
        <w:t xml:space="preserve"> arrive </w:t>
      </w:r>
      <w:r w:rsidR="002542D4">
        <w:rPr>
          <w:rFonts w:ascii="Calibri Light" w:hAnsi="Calibri Light" w:cs="Calibri Light"/>
        </w:rPr>
        <w:t>switched on but switch off in the correct circumstances</w:t>
      </w:r>
      <w:r w:rsidR="00AC01ED">
        <w:rPr>
          <w:rFonts w:ascii="Calibri Light" w:hAnsi="Calibri Light" w:cs="Calibri Light"/>
        </w:rPr>
        <w:t xml:space="preserve"> is explained by </w:t>
      </w:r>
      <w:r w:rsidR="00AC01ED">
        <w:rPr>
          <w:rFonts w:ascii="Calibri Light" w:hAnsi="Calibri Light" w:cs="Calibri Light"/>
        </w:rPr>
        <w:t>institutional-historical-cultural factors that shape the Virtues</w:t>
      </w:r>
      <w:r w:rsidR="002542D4">
        <w:rPr>
          <w:rFonts w:ascii="Calibri Light" w:hAnsi="Calibri Light" w:cs="Calibri Light"/>
        </w:rPr>
        <w:t>.</w:t>
      </w:r>
      <w:r w:rsidR="002542D4">
        <w:rPr>
          <w:rStyle w:val="FootnoteReference"/>
          <w:rFonts w:ascii="Calibri Light" w:hAnsi="Calibri Light" w:cs="Calibri Light"/>
        </w:rPr>
        <w:footnoteReference w:id="80"/>
      </w:r>
      <w:r w:rsidR="002542D4">
        <w:rPr>
          <w:rFonts w:ascii="Calibri Light" w:hAnsi="Calibri Light" w:cs="Calibri Light"/>
        </w:rPr>
        <w:t xml:space="preserve"> </w:t>
      </w:r>
    </w:p>
    <w:p w14:paraId="1B4FB1F1" w14:textId="77777777" w:rsidR="00AC01ED" w:rsidRDefault="00AC01ED" w:rsidP="002542D4">
      <w:pPr>
        <w:spacing w:line="360" w:lineRule="auto"/>
        <w:jc w:val="both"/>
        <w:rPr>
          <w:rFonts w:ascii="Calibri Light" w:hAnsi="Calibri Light" w:cs="Calibri Light"/>
        </w:rPr>
      </w:pPr>
    </w:p>
    <w:p w14:paraId="24881C8F" w14:textId="18388655" w:rsidR="002542D4" w:rsidRDefault="002542D4" w:rsidP="002542D4">
      <w:pPr>
        <w:spacing w:line="360" w:lineRule="auto"/>
        <w:jc w:val="both"/>
        <w:rPr>
          <w:rFonts w:ascii="Calibri Light" w:hAnsi="Calibri Light" w:cs="Calibri Light"/>
        </w:rPr>
      </w:pPr>
      <w:r>
        <w:rPr>
          <w:rFonts w:ascii="Calibri Light" w:hAnsi="Calibri Light" w:cs="Calibri Light"/>
        </w:rPr>
        <w:lastRenderedPageBreak/>
        <w:t xml:space="preserve">There is a significant ontological difference </w:t>
      </w:r>
      <w:r w:rsidR="00AC01ED">
        <w:rPr>
          <w:rFonts w:ascii="Calibri Light" w:hAnsi="Calibri Light" w:cs="Calibri Light"/>
        </w:rPr>
        <w:t>from, say,</w:t>
      </w:r>
      <w:r>
        <w:rPr>
          <w:rFonts w:ascii="Calibri Light" w:hAnsi="Calibri Light" w:cs="Calibri Light"/>
        </w:rPr>
        <w:t xml:space="preserve"> kindness</w:t>
      </w:r>
      <w:r w:rsidR="00AC01ED">
        <w:rPr>
          <w:rFonts w:ascii="Calibri Light" w:hAnsi="Calibri Light" w:cs="Calibri Light"/>
        </w:rPr>
        <w:t xml:space="preserve"> being always positive but capable of being overridden. The practical difference between the two is not obvious. In dilemma, </w:t>
      </w:r>
      <w:r w:rsidR="00586DEE">
        <w:rPr>
          <w:rFonts w:ascii="Calibri Light" w:hAnsi="Calibri Light" w:cs="Calibri Light"/>
        </w:rPr>
        <w:t>TVCE</w:t>
      </w:r>
      <w:r w:rsidR="00AC01ED">
        <w:rPr>
          <w:rFonts w:ascii="Calibri Light" w:hAnsi="Calibri Light" w:cs="Calibri Light"/>
        </w:rPr>
        <w:t xml:space="preserve"> is advantaged by exceeding v-rules. </w:t>
      </w:r>
      <w:r>
        <w:rPr>
          <w:rFonts w:ascii="Calibri Light" w:hAnsi="Calibri Light" w:cs="Calibri Light"/>
        </w:rPr>
        <w:t xml:space="preserve"> </w:t>
      </w:r>
      <w:r w:rsidR="008B64FF">
        <w:rPr>
          <w:rFonts w:ascii="Calibri Light" w:hAnsi="Calibri Light" w:cs="Calibri Light"/>
        </w:rPr>
        <w:t>In sum, t</w:t>
      </w:r>
      <w:r>
        <w:rPr>
          <w:rFonts w:ascii="Calibri Light" w:hAnsi="Calibri Light" w:cs="Calibri Light"/>
        </w:rPr>
        <w:t xml:space="preserve">here is a suitable supply of relatively stable </w:t>
      </w:r>
      <w:r w:rsidRPr="00AC01ED">
        <w:rPr>
          <w:rFonts w:ascii="Calibri Light" w:hAnsi="Calibri Light" w:cs="Calibri Light"/>
          <w:i/>
          <w:iCs/>
        </w:rPr>
        <w:t>reasons</w:t>
      </w:r>
      <w:r>
        <w:rPr>
          <w:rFonts w:ascii="Calibri Light" w:hAnsi="Calibri Light" w:cs="Calibri Light"/>
        </w:rPr>
        <w:t xml:space="preserve">. </w:t>
      </w:r>
      <w:r w:rsidR="00AC01ED">
        <w:rPr>
          <w:rFonts w:ascii="Calibri Light" w:hAnsi="Calibri Light" w:cs="Calibri Light"/>
        </w:rPr>
        <w:t xml:space="preserve">The non-pervasiveness, short supply of v-rules and uncodifiability of some reasons is not problematic for there is a suitable supply. </w:t>
      </w:r>
      <w:r w:rsidR="008B64FF">
        <w:rPr>
          <w:rFonts w:ascii="Calibri Light" w:hAnsi="Calibri Light" w:cs="Calibri Light"/>
        </w:rPr>
        <w:t>Co</w:t>
      </w:r>
      <w:r w:rsidR="008B64FF">
        <w:rPr>
          <w:rFonts w:ascii="Calibri Light" w:hAnsi="Calibri Light" w:cs="Calibri Light"/>
        </w:rPr>
        <w:t>difiability and radical particularism are compatible.</w:t>
      </w:r>
    </w:p>
    <w:p w14:paraId="02E54DCC" w14:textId="77777777" w:rsidR="008B64FF" w:rsidRDefault="008B64FF" w:rsidP="002542D4">
      <w:pPr>
        <w:spacing w:line="360" w:lineRule="auto"/>
        <w:jc w:val="both"/>
        <w:rPr>
          <w:rFonts w:ascii="Calibri Light" w:hAnsi="Calibri Light" w:cs="Calibri Light"/>
        </w:rPr>
      </w:pPr>
    </w:p>
    <w:p w14:paraId="14BC4D81" w14:textId="58EDAEC6" w:rsidR="002542D4" w:rsidRDefault="002542D4" w:rsidP="002542D4">
      <w:pPr>
        <w:spacing w:line="360" w:lineRule="auto"/>
        <w:jc w:val="both"/>
        <w:rPr>
          <w:rFonts w:ascii="Calibri Light" w:hAnsi="Calibri Light" w:cs="Calibri Light"/>
        </w:rPr>
      </w:pPr>
      <w:r>
        <w:rPr>
          <w:rFonts w:ascii="Calibri Light" w:hAnsi="Calibri Light" w:cs="Calibri Light"/>
        </w:rPr>
        <w:t xml:space="preserve">There </w:t>
      </w:r>
      <w:r w:rsidR="008B64FF">
        <w:rPr>
          <w:rFonts w:ascii="Calibri Light" w:hAnsi="Calibri Light" w:cs="Calibri Light"/>
        </w:rPr>
        <w:t xml:space="preserve">remain </w:t>
      </w:r>
      <w:r>
        <w:rPr>
          <w:rFonts w:ascii="Calibri Light" w:hAnsi="Calibri Light" w:cs="Calibri Light"/>
        </w:rPr>
        <w:t>questions</w:t>
      </w:r>
      <w:r w:rsidR="008B64FF">
        <w:rPr>
          <w:rFonts w:ascii="Calibri Light" w:hAnsi="Calibri Light" w:cs="Calibri Light"/>
        </w:rPr>
        <w:t xml:space="preserve">. </w:t>
      </w:r>
      <w:r>
        <w:rPr>
          <w:rFonts w:ascii="Calibri Light" w:hAnsi="Calibri Light" w:cs="Calibri Light"/>
        </w:rPr>
        <w:t>I</w:t>
      </w:r>
      <w:r w:rsidRPr="00825DDF">
        <w:rPr>
          <w:rFonts w:ascii="Calibri Light" w:hAnsi="Calibri Light" w:cs="Calibri Light"/>
        </w:rPr>
        <w:t>f</w:t>
      </w:r>
      <w:r>
        <w:rPr>
          <w:rFonts w:ascii="Calibri Light" w:hAnsi="Calibri Light" w:cs="Calibri Light"/>
        </w:rPr>
        <w:t xml:space="preserve"> a default reason is</w:t>
      </w:r>
      <w:r w:rsidRPr="00825DDF">
        <w:rPr>
          <w:rFonts w:ascii="Calibri Light" w:hAnsi="Calibri Light" w:cs="Calibri Light"/>
        </w:rPr>
        <w:t xml:space="preserve"> positive, how strong</w:t>
      </w:r>
      <w:r>
        <w:rPr>
          <w:rFonts w:ascii="Calibri Light" w:hAnsi="Calibri Light" w:cs="Calibri Light"/>
        </w:rPr>
        <w:t>ly positive</w:t>
      </w:r>
      <w:r w:rsidRPr="00825DDF">
        <w:rPr>
          <w:rFonts w:ascii="Calibri Light" w:hAnsi="Calibri Light" w:cs="Calibri Light"/>
        </w:rPr>
        <w:t>?</w:t>
      </w:r>
      <w:r>
        <w:rPr>
          <w:rFonts w:ascii="Calibri Light" w:hAnsi="Calibri Light" w:cs="Calibri Light"/>
        </w:rPr>
        <w:t xml:space="preserve"> </w:t>
      </w:r>
      <w:r w:rsidR="008B64FF">
        <w:rPr>
          <w:rFonts w:ascii="Calibri Light" w:hAnsi="Calibri Light" w:cs="Calibri Light"/>
        </w:rPr>
        <w:t xml:space="preserve">Degree </w:t>
      </w:r>
      <w:r>
        <w:rPr>
          <w:rFonts w:ascii="Calibri Light" w:hAnsi="Calibri Light" w:cs="Calibri Light"/>
        </w:rPr>
        <w:t xml:space="preserve">seems as important as polarity when virtues are being netted. </w:t>
      </w:r>
    </w:p>
    <w:p w14:paraId="6A7C230F" w14:textId="77777777" w:rsidR="008B64FF" w:rsidRDefault="008B64FF" w:rsidP="002542D4">
      <w:pPr>
        <w:spacing w:line="360" w:lineRule="auto"/>
        <w:jc w:val="both"/>
        <w:rPr>
          <w:rFonts w:ascii="Calibri Light" w:hAnsi="Calibri Light" w:cs="Calibri Light"/>
        </w:rPr>
      </w:pPr>
    </w:p>
    <w:p w14:paraId="1F0D9A47" w14:textId="0438D2C5" w:rsidR="008B64FF" w:rsidRDefault="002542D4" w:rsidP="002542D4">
      <w:pPr>
        <w:spacing w:line="360" w:lineRule="auto"/>
        <w:jc w:val="both"/>
        <w:rPr>
          <w:rFonts w:ascii="Calibri Light" w:hAnsi="Calibri Light" w:cs="Calibri Light"/>
        </w:rPr>
      </w:pPr>
      <w:r>
        <w:rPr>
          <w:rFonts w:ascii="Calibri Light" w:hAnsi="Calibri Light" w:cs="Calibri Light"/>
        </w:rPr>
        <w:t xml:space="preserve">An alternative, i.e. Roger Crisp’s, whereby V-rules express decisive moral principles, V-acts conform to them and V-reasons form decisive, simple moral principles and virtues are unified by a practical wisdom that denies irresolvable conflict and action performed in conformity with a simple virtue </w:t>
      </w:r>
      <w:r w:rsidR="008B64FF">
        <w:rPr>
          <w:rFonts w:ascii="Calibri Light" w:hAnsi="Calibri Light" w:cs="Calibri Light"/>
        </w:rPr>
        <w:t>just is</w:t>
      </w:r>
      <w:r>
        <w:rPr>
          <w:rFonts w:ascii="Calibri Light" w:hAnsi="Calibri Light" w:cs="Calibri Light"/>
        </w:rPr>
        <w:t xml:space="preserve"> right seems naïve in comparison. </w:t>
      </w:r>
      <w:r w:rsidR="008B64FF">
        <w:rPr>
          <w:rFonts w:ascii="Calibri Light" w:hAnsi="Calibri Light" w:cs="Calibri Light"/>
        </w:rPr>
        <w:t>If a</w:t>
      </w:r>
      <w:r>
        <w:rPr>
          <w:rFonts w:ascii="Calibri Light" w:hAnsi="Calibri Light" w:cs="Calibri Light"/>
        </w:rPr>
        <w:t xml:space="preserve"> just act is an act in the field of justice which is right. </w:t>
      </w:r>
      <w:r w:rsidR="00601581">
        <w:rPr>
          <w:rFonts w:ascii="Calibri Light" w:hAnsi="Calibri Light" w:cs="Calibri Light"/>
        </w:rPr>
        <w:t xml:space="preserve">In disagreeing about the </w:t>
      </w:r>
      <w:r w:rsidR="008B64FF">
        <w:rPr>
          <w:rFonts w:ascii="Calibri Light" w:hAnsi="Calibri Light" w:cs="Calibri Light"/>
        </w:rPr>
        <w:t xml:space="preserve">correct supply of invariant </w:t>
      </w:r>
      <w:r w:rsidR="00601581">
        <w:rPr>
          <w:rFonts w:ascii="Calibri Light" w:hAnsi="Calibri Light" w:cs="Calibri Light"/>
        </w:rPr>
        <w:t>v-rules/v-reasons, VE has internalised AGO.</w:t>
      </w:r>
    </w:p>
    <w:p w14:paraId="3D823ABA" w14:textId="77777777" w:rsidR="008B64FF" w:rsidRDefault="008B64FF" w:rsidP="002542D4">
      <w:pPr>
        <w:spacing w:line="360" w:lineRule="auto"/>
        <w:jc w:val="both"/>
        <w:rPr>
          <w:rFonts w:ascii="Calibri Light" w:hAnsi="Calibri Light" w:cs="Calibri Light"/>
        </w:rPr>
      </w:pPr>
    </w:p>
    <w:p w14:paraId="76703A58" w14:textId="3976EADC" w:rsidR="002542D4" w:rsidRDefault="00601581" w:rsidP="002542D4">
      <w:pPr>
        <w:spacing w:line="360" w:lineRule="auto"/>
        <w:jc w:val="both"/>
        <w:rPr>
          <w:rFonts w:ascii="Calibri Light" w:hAnsi="Calibri Light" w:cs="Calibri Light"/>
        </w:rPr>
      </w:pPr>
      <w:r>
        <w:rPr>
          <w:rFonts w:ascii="Calibri Light" w:hAnsi="Calibri Light" w:cs="Calibri Light"/>
        </w:rPr>
        <w:t xml:space="preserve">The principal internecine dispute, however, is unavoidably about the foundations of Virtue which is foremost a dispute about wisdom and, therefore, guidance. </w:t>
      </w:r>
      <w:r w:rsidR="003B224E">
        <w:rPr>
          <w:rFonts w:ascii="Calibri Light" w:hAnsi="Calibri Light" w:cs="Calibri Light"/>
        </w:rPr>
        <w:t>It seems that AGO, res</w:t>
      </w:r>
      <w:r>
        <w:rPr>
          <w:rFonts w:ascii="Calibri Light" w:hAnsi="Calibri Light" w:cs="Calibri Light"/>
        </w:rPr>
        <w:t xml:space="preserve">taged </w:t>
      </w:r>
      <w:r w:rsidR="003B224E">
        <w:rPr>
          <w:rFonts w:ascii="Calibri Light" w:hAnsi="Calibri Light" w:cs="Calibri Light"/>
        </w:rPr>
        <w:t xml:space="preserve">by VE </w:t>
      </w:r>
      <w:r>
        <w:rPr>
          <w:rFonts w:ascii="Calibri Light" w:hAnsi="Calibri Light" w:cs="Calibri Light"/>
        </w:rPr>
        <w:t>at the fundamental level</w:t>
      </w:r>
      <w:r w:rsidR="003B224E">
        <w:rPr>
          <w:rFonts w:ascii="Calibri Light" w:hAnsi="Calibri Light" w:cs="Calibri Light"/>
        </w:rPr>
        <w:t xml:space="preserve"> becomes</w:t>
      </w:r>
      <w:r>
        <w:rPr>
          <w:rFonts w:ascii="Calibri Light" w:hAnsi="Calibri Light" w:cs="Calibri Light"/>
        </w:rPr>
        <w:t xml:space="preserve"> </w:t>
      </w:r>
      <w:r w:rsidR="003B224E">
        <w:rPr>
          <w:rFonts w:ascii="Calibri Light" w:hAnsi="Calibri Light" w:cs="Calibri Light"/>
        </w:rPr>
        <w:t xml:space="preserve">not </w:t>
      </w:r>
      <w:r>
        <w:rPr>
          <w:rFonts w:ascii="Calibri Light" w:hAnsi="Calibri Light" w:cs="Calibri Light"/>
        </w:rPr>
        <w:t xml:space="preserve">about adequacy but viability. </w:t>
      </w:r>
    </w:p>
    <w:p w14:paraId="3ACC48CA" w14:textId="77777777" w:rsidR="00601581" w:rsidRDefault="00601581" w:rsidP="002542D4">
      <w:pPr>
        <w:spacing w:line="360" w:lineRule="auto"/>
        <w:jc w:val="both"/>
        <w:rPr>
          <w:rFonts w:ascii="Calibri Light" w:hAnsi="Calibri Light" w:cs="Calibri Light"/>
        </w:rPr>
      </w:pPr>
    </w:p>
    <w:p w14:paraId="6A5A7164" w14:textId="71C525F2" w:rsidR="00601581" w:rsidRDefault="003B224E" w:rsidP="002542D4">
      <w:pPr>
        <w:spacing w:line="360" w:lineRule="auto"/>
        <w:jc w:val="both"/>
        <w:rPr>
          <w:rFonts w:ascii="Calibri Light" w:hAnsi="Calibri Light" w:cs="Calibri Light"/>
        </w:rPr>
      </w:pPr>
      <w:r>
        <w:rPr>
          <w:rFonts w:ascii="Calibri Light" w:hAnsi="Calibri Light" w:cs="Calibri Light"/>
        </w:rPr>
        <w:t>Swanton, like Slote, cannot</w:t>
      </w:r>
      <w:r w:rsidR="002542D4">
        <w:rPr>
          <w:rFonts w:ascii="Calibri Light" w:hAnsi="Calibri Light" w:cs="Calibri Light"/>
        </w:rPr>
        <w:t xml:space="preserve"> sanction </w:t>
      </w:r>
      <w:r>
        <w:rPr>
          <w:rFonts w:ascii="Calibri Light" w:hAnsi="Calibri Light" w:cs="Calibri Light"/>
        </w:rPr>
        <w:t>unified virtue. For Swa</w:t>
      </w:r>
      <w:r w:rsidR="00474579">
        <w:rPr>
          <w:rFonts w:ascii="Calibri Light" w:hAnsi="Calibri Light" w:cs="Calibri Light"/>
        </w:rPr>
        <w:t>n</w:t>
      </w:r>
      <w:r>
        <w:rPr>
          <w:rFonts w:ascii="Calibri Light" w:hAnsi="Calibri Light" w:cs="Calibri Light"/>
        </w:rPr>
        <w:t>ton,</w:t>
      </w:r>
      <w:r w:rsidR="002542D4">
        <w:rPr>
          <w:rFonts w:ascii="Calibri Light" w:hAnsi="Calibri Light" w:cs="Calibri Light"/>
        </w:rPr>
        <w:t xml:space="preserve"> PW is nonetheless necessary. It is</w:t>
      </w:r>
      <w:r>
        <w:rPr>
          <w:rFonts w:ascii="Calibri Light" w:hAnsi="Calibri Light" w:cs="Calibri Light"/>
        </w:rPr>
        <w:t xml:space="preserve"> accommodated within</w:t>
      </w:r>
      <w:r w:rsidR="002542D4">
        <w:rPr>
          <w:rFonts w:ascii="Calibri Light" w:hAnsi="Calibri Light" w:cs="Calibri Light"/>
        </w:rPr>
        <w:t xml:space="preserve"> each virtue. </w:t>
      </w:r>
      <w:r>
        <w:rPr>
          <w:rFonts w:ascii="Calibri Light" w:hAnsi="Calibri Light" w:cs="Calibri Light"/>
        </w:rPr>
        <w:t>Now, t</w:t>
      </w:r>
      <w:r w:rsidR="00601581">
        <w:rPr>
          <w:rFonts w:ascii="Calibri Light" w:hAnsi="Calibri Light" w:cs="Calibri Light"/>
        </w:rPr>
        <w:t>his will always be unacceptable to some as unified virtue and</w:t>
      </w:r>
      <w:r w:rsidR="002542D4">
        <w:rPr>
          <w:rFonts w:ascii="Calibri Light" w:hAnsi="Calibri Light" w:cs="Calibri Light"/>
        </w:rPr>
        <w:t xml:space="preserve"> a separate trait</w:t>
      </w:r>
      <w:r w:rsidR="00601581">
        <w:rPr>
          <w:rFonts w:ascii="Calibri Light" w:hAnsi="Calibri Light" w:cs="Calibri Light"/>
        </w:rPr>
        <w:t xml:space="preserve"> of phronesis </w:t>
      </w:r>
      <w:r>
        <w:rPr>
          <w:rFonts w:ascii="Calibri Light" w:hAnsi="Calibri Light" w:cs="Calibri Light"/>
        </w:rPr>
        <w:t>are</w:t>
      </w:r>
      <w:r w:rsidR="00601581">
        <w:rPr>
          <w:rFonts w:ascii="Calibri Light" w:hAnsi="Calibri Light" w:cs="Calibri Light"/>
        </w:rPr>
        <w:t xml:space="preserve"> for Swanton</w:t>
      </w:r>
      <w:r w:rsidR="002542D4">
        <w:rPr>
          <w:rFonts w:ascii="Calibri Light" w:hAnsi="Calibri Light" w:cs="Calibri Light"/>
        </w:rPr>
        <w:t>.</w:t>
      </w:r>
      <w:r w:rsidR="00601581">
        <w:rPr>
          <w:rStyle w:val="FootnoteReference"/>
          <w:rFonts w:ascii="Calibri Light" w:hAnsi="Calibri Light" w:cs="Calibri Light"/>
        </w:rPr>
        <w:footnoteReference w:id="81"/>
      </w:r>
      <w:r>
        <w:rPr>
          <w:rFonts w:ascii="Calibri Light" w:hAnsi="Calibri Light" w:cs="Calibri Light"/>
        </w:rPr>
        <w:t xml:space="preserve"> In Swanton’s complex epistemology, there is wisdom enough.</w:t>
      </w:r>
      <w:r w:rsidR="002542D4">
        <w:rPr>
          <w:rFonts w:ascii="Calibri Light" w:hAnsi="Calibri Light" w:cs="Calibri Light"/>
        </w:rPr>
        <w:t xml:space="preserve"> </w:t>
      </w:r>
      <w:r>
        <w:rPr>
          <w:rFonts w:ascii="Calibri Light" w:hAnsi="Calibri Light" w:cs="Calibri Light"/>
        </w:rPr>
        <w:t>However, note how ‘Fragmented’ virtue</w:t>
      </w:r>
      <w:r w:rsidR="00601581">
        <w:rPr>
          <w:rFonts w:ascii="Calibri Light" w:hAnsi="Calibri Light" w:cs="Calibri Light"/>
        </w:rPr>
        <w:t xml:space="preserve"> </w:t>
      </w:r>
      <w:r>
        <w:rPr>
          <w:rFonts w:ascii="Calibri Light" w:hAnsi="Calibri Light" w:cs="Calibri Light"/>
        </w:rPr>
        <w:t xml:space="preserve">is problematic </w:t>
      </w:r>
      <w:r w:rsidRPr="003B224E">
        <w:rPr>
          <w:rFonts w:ascii="Calibri Light" w:hAnsi="Calibri Light" w:cs="Calibri Light"/>
          <w:i/>
          <w:iCs/>
        </w:rPr>
        <w:t>because of its inability to resolve conflicts</w:t>
      </w:r>
      <w:r>
        <w:rPr>
          <w:rFonts w:ascii="Calibri Light" w:hAnsi="Calibri Light" w:cs="Calibri Light"/>
        </w:rPr>
        <w:t>.</w:t>
      </w:r>
      <w:r w:rsidR="00474579">
        <w:rPr>
          <w:rStyle w:val="FootnoteReference"/>
          <w:rFonts w:ascii="Calibri Light" w:hAnsi="Calibri Light" w:cs="Calibri Light"/>
        </w:rPr>
        <w:footnoteReference w:id="82"/>
      </w:r>
      <w:r>
        <w:rPr>
          <w:rFonts w:ascii="Calibri Light" w:hAnsi="Calibri Light" w:cs="Calibri Light"/>
        </w:rPr>
        <w:t xml:space="preserve"> We are back at AGO. VE is policing itself.  </w:t>
      </w:r>
    </w:p>
    <w:p w14:paraId="320703B0" w14:textId="77777777" w:rsidR="006E287D" w:rsidRDefault="006E287D" w:rsidP="002542D4">
      <w:pPr>
        <w:spacing w:line="360" w:lineRule="auto"/>
        <w:jc w:val="both"/>
        <w:rPr>
          <w:rFonts w:ascii="Calibri Light" w:hAnsi="Calibri Light" w:cs="Calibri Light"/>
        </w:rPr>
      </w:pPr>
    </w:p>
    <w:p w14:paraId="2C3281D1" w14:textId="3CD08664" w:rsidR="004E0E1E" w:rsidRPr="004E0E1E" w:rsidRDefault="003B224E" w:rsidP="002542D4">
      <w:pPr>
        <w:spacing w:line="360" w:lineRule="auto"/>
        <w:jc w:val="both"/>
        <w:rPr>
          <w:rFonts w:ascii="Calibri Light" w:hAnsi="Calibri Light" w:cs="Calibri Light"/>
        </w:rPr>
      </w:pPr>
      <w:r>
        <w:rPr>
          <w:rFonts w:ascii="Calibri Light" w:hAnsi="Calibri Light" w:cs="Calibri Light"/>
        </w:rPr>
        <w:t>Far from being existential, such internal debate</w:t>
      </w:r>
      <w:r w:rsidR="004E0E1E">
        <w:rPr>
          <w:rFonts w:ascii="Calibri Light" w:hAnsi="Calibri Light" w:cs="Calibri Light"/>
        </w:rPr>
        <w:t xml:space="preserve"> </w:t>
      </w:r>
      <w:r>
        <w:rPr>
          <w:rFonts w:ascii="Calibri Light" w:hAnsi="Calibri Light" w:cs="Calibri Light"/>
        </w:rPr>
        <w:t xml:space="preserve">is second-order concern </w:t>
      </w:r>
      <w:r w:rsidR="004E0E1E">
        <w:rPr>
          <w:rFonts w:ascii="Calibri Light" w:hAnsi="Calibri Light" w:cs="Calibri Light"/>
        </w:rPr>
        <w:t>about what it means to act with wisdom. These</w:t>
      </w:r>
      <w:r w:rsidR="004E0E1E">
        <w:rPr>
          <w:rFonts w:ascii="Calibri Light" w:hAnsi="Calibri Light" w:cs="Calibri Light"/>
        </w:rPr>
        <w:t xml:space="preserve"> theories </w:t>
      </w:r>
      <w:r w:rsidR="004E0E1E">
        <w:rPr>
          <w:rFonts w:ascii="Calibri Light" w:hAnsi="Calibri Light" w:cs="Calibri Light"/>
        </w:rPr>
        <w:t>can</w:t>
      </w:r>
      <w:r w:rsidR="004E0E1E">
        <w:rPr>
          <w:rFonts w:ascii="Calibri Light" w:hAnsi="Calibri Light" w:cs="Calibri Light"/>
        </w:rPr>
        <w:t xml:space="preserve"> co-exist</w:t>
      </w:r>
      <w:r w:rsidR="004E0E1E">
        <w:rPr>
          <w:rFonts w:ascii="Calibri Light" w:hAnsi="Calibri Light" w:cs="Calibri Light"/>
        </w:rPr>
        <w:t>.</w:t>
      </w:r>
      <w:r w:rsidR="001359A1" w:rsidRPr="001359A1">
        <w:rPr>
          <w:rStyle w:val="FootnoteReference"/>
          <w:rFonts w:ascii="Calibri Light" w:hAnsi="Calibri Light" w:cs="Calibri Light"/>
        </w:rPr>
        <w:t xml:space="preserve"> </w:t>
      </w:r>
      <w:r w:rsidR="001359A1">
        <w:rPr>
          <w:rStyle w:val="FootnoteReference"/>
          <w:rFonts w:ascii="Calibri Light" w:hAnsi="Calibri Light" w:cs="Calibri Light"/>
        </w:rPr>
        <w:footnoteReference w:id="83"/>
      </w:r>
      <w:r w:rsidR="004E0E1E">
        <w:rPr>
          <w:rFonts w:ascii="Calibri Light" w:hAnsi="Calibri Light" w:cs="Calibri Light"/>
        </w:rPr>
        <w:t xml:space="preserve"> By tying virtue to action, VE </w:t>
      </w:r>
      <w:r w:rsidR="004E0E1E">
        <w:rPr>
          <w:rFonts w:ascii="Calibri Light" w:hAnsi="Calibri Light" w:cs="Calibri Light"/>
          <w:i/>
          <w:iCs/>
        </w:rPr>
        <w:t xml:space="preserve">qua </w:t>
      </w:r>
      <w:r w:rsidR="004E0E1E">
        <w:rPr>
          <w:rFonts w:ascii="Calibri Light" w:hAnsi="Calibri Light" w:cs="Calibri Light"/>
        </w:rPr>
        <w:t xml:space="preserve">theory has </w:t>
      </w:r>
      <w:r w:rsidR="004E0E1E">
        <w:rPr>
          <w:rFonts w:ascii="Calibri Light" w:hAnsi="Calibri Light" w:cs="Calibri Light"/>
        </w:rPr>
        <w:lastRenderedPageBreak/>
        <w:t xml:space="preserve">subjected itself to considerable scrutiny. However, tying virtue to action, also provides the singular solution to AGO. Whether the complaint concerns conflicting virtues or the application of </w:t>
      </w:r>
      <w:r w:rsidR="004E0E1E">
        <w:rPr>
          <w:rFonts w:ascii="Calibri Light" w:hAnsi="Calibri Light" w:cs="Calibri Light"/>
          <w:i/>
          <w:iCs/>
        </w:rPr>
        <w:t>phronesis</w:t>
      </w:r>
      <w:r w:rsidR="004E0E1E">
        <w:rPr>
          <w:rFonts w:ascii="Calibri Light" w:hAnsi="Calibri Light" w:cs="Calibri Light"/>
        </w:rPr>
        <w:t>, the answer (by definition) lies with an exposition of the virtues. That is for VE</w:t>
      </w:r>
      <w:r w:rsidR="001359A1">
        <w:rPr>
          <w:rFonts w:ascii="Calibri Light" w:hAnsi="Calibri Light" w:cs="Calibri Light"/>
        </w:rPr>
        <w:t xml:space="preserve"> on its own terms;</w:t>
      </w:r>
      <w:r w:rsidR="004E0E1E">
        <w:rPr>
          <w:rFonts w:ascii="Calibri Light" w:hAnsi="Calibri Light" w:cs="Calibri Light"/>
        </w:rPr>
        <w:t xml:space="preserve"> found as much in its disagreements. </w:t>
      </w:r>
    </w:p>
    <w:p w14:paraId="402FB32D" w14:textId="77777777" w:rsidR="001359A1" w:rsidRDefault="001359A1" w:rsidP="002542D4">
      <w:pPr>
        <w:spacing w:line="360" w:lineRule="auto"/>
        <w:jc w:val="both"/>
        <w:rPr>
          <w:rFonts w:ascii="Calibri Light" w:hAnsi="Calibri Light" w:cs="Calibri Light"/>
        </w:rPr>
      </w:pPr>
    </w:p>
    <w:p w14:paraId="3E500BA7" w14:textId="5ECEB37F" w:rsidR="001359A1" w:rsidRDefault="00586DEE" w:rsidP="002542D4">
      <w:pPr>
        <w:spacing w:line="360" w:lineRule="auto"/>
        <w:jc w:val="both"/>
        <w:rPr>
          <w:rFonts w:ascii="Calibri Light" w:hAnsi="Calibri Light" w:cs="Calibri Light"/>
        </w:rPr>
      </w:pPr>
      <w:r>
        <w:rPr>
          <w:rFonts w:ascii="Calibri Light" w:hAnsi="Calibri Light" w:cs="Calibri Light"/>
        </w:rPr>
        <w:t>TVCE</w:t>
      </w:r>
      <w:r w:rsidR="002542D4">
        <w:rPr>
          <w:rFonts w:ascii="Calibri Light" w:hAnsi="Calibri Light" w:cs="Calibri Light"/>
        </w:rPr>
        <w:t xml:space="preserve"> gives us a comprehensive theory which satisfies a non-question-begging (T). It clearly satisfies </w:t>
      </w:r>
      <w:r w:rsidR="00972CB1">
        <w:rPr>
          <w:rFonts w:ascii="Calibri Light" w:hAnsi="Calibri Light" w:cs="Calibri Light"/>
        </w:rPr>
        <w:t>NADP!</w:t>
      </w:r>
      <w:r w:rsidR="002542D4">
        <w:rPr>
          <w:rFonts w:ascii="Calibri Light" w:hAnsi="Calibri Light" w:cs="Calibri Light"/>
        </w:rPr>
        <w:t xml:space="preserve">. </w:t>
      </w:r>
      <w:r w:rsidR="001359A1">
        <w:rPr>
          <w:rFonts w:ascii="Calibri Light" w:hAnsi="Calibri Light" w:cs="Calibri Light"/>
        </w:rPr>
        <w:t xml:space="preserve">In their different ways, EVE, SVE and </w:t>
      </w:r>
      <w:r>
        <w:rPr>
          <w:rFonts w:ascii="Calibri Light" w:hAnsi="Calibri Light" w:cs="Calibri Light"/>
        </w:rPr>
        <w:t>TVCE</w:t>
      </w:r>
      <w:r w:rsidR="001359A1">
        <w:rPr>
          <w:rFonts w:ascii="Calibri Light" w:hAnsi="Calibri Light" w:cs="Calibri Light"/>
        </w:rPr>
        <w:t xml:space="preserve"> can all PAWUG. </w:t>
      </w:r>
    </w:p>
    <w:p w14:paraId="5065380C" w14:textId="77777777" w:rsidR="001359A1" w:rsidRDefault="001359A1" w:rsidP="002542D4">
      <w:pPr>
        <w:spacing w:line="360" w:lineRule="auto"/>
        <w:jc w:val="both"/>
        <w:rPr>
          <w:rFonts w:ascii="Calibri Light" w:hAnsi="Calibri Light" w:cs="Calibri Light"/>
        </w:rPr>
      </w:pPr>
    </w:p>
    <w:p w14:paraId="73F73721" w14:textId="1614300F" w:rsidR="002542D4" w:rsidRDefault="001359A1" w:rsidP="002542D4">
      <w:pPr>
        <w:spacing w:line="360" w:lineRule="auto"/>
        <w:jc w:val="both"/>
        <w:rPr>
          <w:rFonts w:ascii="Calibri Light" w:hAnsi="Calibri Light" w:cs="Calibri Light"/>
        </w:rPr>
      </w:pPr>
      <w:r>
        <w:rPr>
          <w:rFonts w:ascii="Calibri Light" w:hAnsi="Calibri Light" w:cs="Calibri Light"/>
        </w:rPr>
        <w:t xml:space="preserve">In </w:t>
      </w:r>
      <w:r w:rsidR="002542D4">
        <w:rPr>
          <w:rFonts w:ascii="Calibri Light" w:hAnsi="Calibri Light" w:cs="Calibri Light"/>
        </w:rPr>
        <w:t>continued exposition of the Virtues and, as suits us, Vices</w:t>
      </w:r>
      <w:r>
        <w:rPr>
          <w:rFonts w:ascii="Calibri Light" w:hAnsi="Calibri Light" w:cs="Calibri Light"/>
        </w:rPr>
        <w:t>, VE will continue to guide</w:t>
      </w:r>
      <w:r w:rsidR="002542D4">
        <w:rPr>
          <w:rFonts w:ascii="Calibri Light" w:hAnsi="Calibri Light" w:cs="Calibri Light"/>
        </w:rPr>
        <w:t xml:space="preserve">. </w:t>
      </w:r>
      <w:r w:rsidR="001321E4">
        <w:rPr>
          <w:rFonts w:ascii="Calibri Light" w:hAnsi="Calibri Light" w:cs="Calibri Light"/>
        </w:rPr>
        <w:t>So</w:t>
      </w:r>
      <w:r w:rsidR="002542D4">
        <w:rPr>
          <w:rFonts w:ascii="Calibri Light" w:hAnsi="Calibri Light" w:cs="Calibri Light"/>
        </w:rPr>
        <w:t xml:space="preserve"> maybe love and vice can guide us so we can</w:t>
      </w:r>
      <w:r w:rsidR="001321E4">
        <w:rPr>
          <w:rFonts w:ascii="Calibri Light" w:hAnsi="Calibri Light" w:cs="Calibri Light"/>
        </w:rPr>
        <w:t xml:space="preserve"> finally</w:t>
      </w:r>
      <w:r w:rsidR="002542D4">
        <w:rPr>
          <w:rFonts w:ascii="Calibri Light" w:hAnsi="Calibri Light" w:cs="Calibri Light"/>
        </w:rPr>
        <w:t xml:space="preserve"> leave our</w:t>
      </w:r>
      <w:r w:rsidR="001321E4">
        <w:rPr>
          <w:rFonts w:ascii="Calibri Light" w:hAnsi="Calibri Light" w:cs="Calibri Light"/>
        </w:rPr>
        <w:t xml:space="preserve"> (especially moral)</w:t>
      </w:r>
      <w:r w:rsidR="002542D4">
        <w:rPr>
          <w:rFonts w:ascii="Calibri Light" w:hAnsi="Calibri Light" w:cs="Calibri Light"/>
        </w:rPr>
        <w:t xml:space="preserve"> obligations and prohibitions behind.</w:t>
      </w:r>
    </w:p>
    <w:p w14:paraId="25A74CED" w14:textId="77777777" w:rsidR="00291065" w:rsidRDefault="00291065" w:rsidP="007903AD">
      <w:pPr>
        <w:spacing w:line="360" w:lineRule="auto"/>
        <w:ind w:left="720"/>
        <w:jc w:val="both"/>
        <w:rPr>
          <w:rFonts w:ascii="Calibri Light" w:hAnsi="Calibri Light" w:cs="Calibri Light"/>
        </w:rPr>
      </w:pPr>
    </w:p>
    <w:p w14:paraId="4ABBDD32" w14:textId="77777777" w:rsidR="00291065" w:rsidRDefault="00291065" w:rsidP="007903AD">
      <w:pPr>
        <w:spacing w:line="360" w:lineRule="auto"/>
        <w:ind w:left="720"/>
        <w:jc w:val="both"/>
        <w:rPr>
          <w:rFonts w:ascii="Calibri Light" w:hAnsi="Calibri Light" w:cs="Calibri Light"/>
        </w:rPr>
      </w:pPr>
    </w:p>
    <w:p w14:paraId="388C5C26" w14:textId="77777777" w:rsidR="00291065" w:rsidRDefault="00291065" w:rsidP="007903AD">
      <w:pPr>
        <w:spacing w:line="360" w:lineRule="auto"/>
        <w:ind w:left="720"/>
        <w:jc w:val="both"/>
        <w:rPr>
          <w:rFonts w:ascii="Calibri Light" w:hAnsi="Calibri Light" w:cs="Calibri Light"/>
        </w:rPr>
      </w:pPr>
    </w:p>
    <w:p w14:paraId="01D5A8DD" w14:textId="77777777" w:rsidR="00B22BBD" w:rsidRDefault="00B22BBD" w:rsidP="007903AD">
      <w:pPr>
        <w:spacing w:line="360" w:lineRule="auto"/>
        <w:ind w:left="720"/>
        <w:jc w:val="both"/>
        <w:rPr>
          <w:rFonts w:ascii="Calibri Light" w:hAnsi="Calibri Light" w:cs="Calibri Light"/>
        </w:rPr>
      </w:pPr>
    </w:p>
    <w:p w14:paraId="4B9B56AA" w14:textId="77777777" w:rsidR="00B22BBD" w:rsidRDefault="00B22BBD" w:rsidP="007903AD">
      <w:pPr>
        <w:spacing w:line="360" w:lineRule="auto"/>
        <w:ind w:left="720"/>
        <w:jc w:val="both"/>
        <w:rPr>
          <w:rFonts w:ascii="Calibri Light" w:hAnsi="Calibri Light" w:cs="Calibri Light"/>
        </w:rPr>
      </w:pPr>
    </w:p>
    <w:p w14:paraId="5CC83869" w14:textId="77777777" w:rsidR="00B22BBD" w:rsidRDefault="00B22BBD" w:rsidP="007903AD">
      <w:pPr>
        <w:spacing w:line="360" w:lineRule="auto"/>
        <w:ind w:left="720"/>
        <w:jc w:val="both"/>
        <w:rPr>
          <w:rFonts w:ascii="Calibri Light" w:hAnsi="Calibri Light" w:cs="Calibri Light"/>
        </w:rPr>
      </w:pPr>
    </w:p>
    <w:p w14:paraId="64C8A6EC"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Anscombe, G.E.M. </w:t>
      </w:r>
      <w:r w:rsidRPr="00662585">
        <w:rPr>
          <w:rFonts w:ascii="Arial" w:hAnsi="Arial" w:cs="Arial"/>
          <w:color w:val="000000" w:themeColor="text1"/>
          <w:sz w:val="24"/>
          <w:szCs w:val="24"/>
        </w:rPr>
        <w:tab/>
        <w:t xml:space="preserve">‘Modern Moral Philosophy’, </w:t>
      </w:r>
      <w:r w:rsidRPr="00662585">
        <w:rPr>
          <w:rFonts w:ascii="Arial" w:hAnsi="Arial" w:cs="Arial"/>
          <w:i/>
          <w:iCs/>
          <w:color w:val="000000" w:themeColor="text1"/>
          <w:sz w:val="24"/>
          <w:szCs w:val="24"/>
        </w:rPr>
        <w:t xml:space="preserve">Philosophy </w:t>
      </w:r>
      <w:r w:rsidRPr="00662585">
        <w:rPr>
          <w:rFonts w:ascii="Arial" w:hAnsi="Arial" w:cs="Arial"/>
          <w:color w:val="000000" w:themeColor="text1"/>
          <w:sz w:val="24"/>
          <w:szCs w:val="24"/>
        </w:rPr>
        <w:t xml:space="preserve">(1958) 33 (124): 1 – 19. </w:t>
      </w:r>
    </w:p>
    <w:p w14:paraId="00B88A73" w14:textId="77777777" w:rsidR="00B22BBD" w:rsidRPr="00662585" w:rsidRDefault="00B22BBD" w:rsidP="00B22BBD">
      <w:pPr>
        <w:spacing w:line="360" w:lineRule="auto"/>
        <w:jc w:val="both"/>
        <w:rPr>
          <w:rFonts w:ascii="Arial" w:hAnsi="Arial" w:cs="Arial"/>
          <w:color w:val="000000" w:themeColor="text1"/>
        </w:rPr>
      </w:pPr>
    </w:p>
    <w:p w14:paraId="42A401AB" w14:textId="77777777" w:rsidR="00B22BBD" w:rsidRPr="00662585" w:rsidRDefault="00B22BBD" w:rsidP="00B22BBD">
      <w:pPr>
        <w:spacing w:line="360" w:lineRule="auto"/>
        <w:ind w:left="2160" w:hanging="2160"/>
        <w:jc w:val="both"/>
        <w:rPr>
          <w:rFonts w:ascii="Arial" w:hAnsi="Arial" w:cs="Arial"/>
          <w:color w:val="000000" w:themeColor="text1"/>
        </w:rPr>
      </w:pPr>
      <w:r w:rsidRPr="00662585">
        <w:rPr>
          <w:rFonts w:ascii="Arial" w:hAnsi="Arial" w:cs="Arial"/>
          <w:color w:val="000000" w:themeColor="text1"/>
        </w:rPr>
        <w:t xml:space="preserve">Annas, J. </w:t>
      </w:r>
      <w:r w:rsidRPr="00662585">
        <w:rPr>
          <w:rFonts w:ascii="Arial" w:hAnsi="Arial" w:cs="Arial"/>
          <w:color w:val="000000" w:themeColor="text1"/>
        </w:rPr>
        <w:tab/>
        <w:t xml:space="preserve">‘Being Virtuous and Doing the Right Thing’, </w:t>
      </w:r>
      <w:r w:rsidRPr="00662585">
        <w:rPr>
          <w:rFonts w:ascii="Arial" w:hAnsi="Arial" w:cs="Arial"/>
          <w:i/>
          <w:iCs/>
          <w:color w:val="000000" w:themeColor="text1"/>
        </w:rPr>
        <w:t xml:space="preserve">Proceedings and Addresses of the American Philosophical Association </w:t>
      </w:r>
      <w:r w:rsidRPr="00662585">
        <w:rPr>
          <w:rFonts w:ascii="Arial" w:hAnsi="Arial" w:cs="Arial"/>
          <w:color w:val="000000" w:themeColor="text1"/>
        </w:rPr>
        <w:t>(2004) Vol. 78, No. 2: 61 - 75.</w:t>
      </w:r>
    </w:p>
    <w:p w14:paraId="28E0D730" w14:textId="77777777" w:rsidR="00B22BBD" w:rsidRPr="00662585" w:rsidRDefault="00B22BBD" w:rsidP="00B22BBD">
      <w:pPr>
        <w:spacing w:line="360" w:lineRule="auto"/>
        <w:jc w:val="both"/>
        <w:rPr>
          <w:rFonts w:ascii="Arial" w:hAnsi="Arial" w:cs="Arial"/>
          <w:color w:val="000000" w:themeColor="text1"/>
        </w:rPr>
      </w:pPr>
    </w:p>
    <w:p w14:paraId="54AC181D" w14:textId="77777777" w:rsidR="00B22BBD" w:rsidRPr="00662585" w:rsidRDefault="00B22BBD" w:rsidP="00B22BBD">
      <w:pPr>
        <w:spacing w:line="360" w:lineRule="auto"/>
        <w:ind w:left="2160" w:hanging="2160"/>
        <w:jc w:val="both"/>
        <w:rPr>
          <w:rFonts w:ascii="Arial" w:hAnsi="Arial" w:cs="Arial"/>
          <w:color w:val="000000" w:themeColor="text1"/>
        </w:rPr>
      </w:pPr>
      <w:r w:rsidRPr="00662585">
        <w:rPr>
          <w:rFonts w:ascii="Arial" w:hAnsi="Arial" w:cs="Arial"/>
          <w:color w:val="000000" w:themeColor="text1"/>
        </w:rPr>
        <w:t xml:space="preserve">Annas, J. </w:t>
      </w:r>
      <w:r w:rsidRPr="00662585">
        <w:rPr>
          <w:rFonts w:ascii="Arial" w:hAnsi="Arial" w:cs="Arial"/>
          <w:color w:val="000000" w:themeColor="text1"/>
        </w:rPr>
        <w:tab/>
      </w:r>
      <w:r w:rsidRPr="00662585">
        <w:rPr>
          <w:rFonts w:ascii="Arial" w:hAnsi="Arial" w:cs="Arial"/>
          <w:color w:val="000000" w:themeColor="text1"/>
        </w:rPr>
        <w:tab/>
        <w:t xml:space="preserve">‘Virtue Ethics’, in D. Copp (ed.), </w:t>
      </w:r>
      <w:r w:rsidRPr="00662585">
        <w:rPr>
          <w:rFonts w:ascii="Arial" w:hAnsi="Arial" w:cs="Arial"/>
          <w:i/>
          <w:iCs/>
          <w:color w:val="000000" w:themeColor="text1"/>
        </w:rPr>
        <w:t>The Oxford Handbook of Ethical Theory</w:t>
      </w:r>
      <w:r>
        <w:rPr>
          <w:rFonts w:ascii="Arial" w:hAnsi="Arial" w:cs="Arial"/>
          <w:i/>
          <w:iCs/>
          <w:color w:val="000000" w:themeColor="text1"/>
        </w:rPr>
        <w:t xml:space="preserve"> </w:t>
      </w:r>
      <w:r w:rsidRPr="00662585">
        <w:rPr>
          <w:rFonts w:ascii="Arial" w:hAnsi="Arial" w:cs="Arial"/>
          <w:color w:val="000000" w:themeColor="text1"/>
        </w:rPr>
        <w:t xml:space="preserve">(Oxford: OUP, 2009). pp. 515 –536. </w:t>
      </w:r>
      <w:r w:rsidRPr="00662585">
        <w:rPr>
          <w:rFonts w:ascii="Arial" w:hAnsi="Arial" w:cs="Arial"/>
          <w:i/>
          <w:iCs/>
          <w:color w:val="000000" w:themeColor="text1"/>
        </w:rPr>
        <w:t>https://doi.org/10.1093/oxfordhb/9780195325911.001.0001</w:t>
      </w:r>
    </w:p>
    <w:p w14:paraId="6925FBE8"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p>
    <w:p w14:paraId="713DD848"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r w:rsidRPr="00662585">
        <w:rPr>
          <w:rFonts w:ascii="Arial" w:hAnsi="Arial" w:cs="Arial"/>
          <w:color w:val="000000" w:themeColor="text1"/>
        </w:rPr>
        <w:t xml:space="preserve">Annas, J. </w:t>
      </w:r>
      <w:r>
        <w:rPr>
          <w:rFonts w:ascii="Arial" w:hAnsi="Arial" w:cs="Arial"/>
          <w:color w:val="000000" w:themeColor="text1"/>
        </w:rPr>
        <w:tab/>
      </w:r>
      <w:r>
        <w:rPr>
          <w:rFonts w:ascii="Arial" w:hAnsi="Arial" w:cs="Arial"/>
          <w:color w:val="000000" w:themeColor="text1"/>
        </w:rPr>
        <w:tab/>
      </w:r>
      <w:r w:rsidRPr="00662585">
        <w:rPr>
          <w:rFonts w:ascii="Arial" w:hAnsi="Arial" w:cs="Arial"/>
          <w:i/>
          <w:iCs/>
          <w:color w:val="000000" w:themeColor="text1"/>
        </w:rPr>
        <w:t xml:space="preserve">Intelligent Virtue </w:t>
      </w:r>
      <w:r w:rsidRPr="00662585">
        <w:rPr>
          <w:rFonts w:ascii="Arial" w:hAnsi="Arial" w:cs="Arial"/>
          <w:color w:val="000000" w:themeColor="text1"/>
        </w:rPr>
        <w:t>(Oxford: OUP, 2011).</w:t>
      </w:r>
    </w:p>
    <w:p w14:paraId="6C9F3CA9"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p>
    <w:p w14:paraId="33E71F00" w14:textId="77777777" w:rsidR="00B22BBD" w:rsidRPr="00662585" w:rsidRDefault="00B22BBD" w:rsidP="00B22BBD">
      <w:pPr>
        <w:autoSpaceDE w:val="0"/>
        <w:autoSpaceDN w:val="0"/>
        <w:adjustRightInd w:val="0"/>
        <w:spacing w:line="360" w:lineRule="auto"/>
        <w:ind w:left="2160" w:hanging="2160"/>
        <w:jc w:val="both"/>
        <w:rPr>
          <w:rFonts w:ascii="Arial" w:hAnsi="Arial" w:cs="Arial"/>
          <w:color w:val="000000" w:themeColor="text1"/>
        </w:rPr>
      </w:pPr>
      <w:r w:rsidRPr="00662585">
        <w:rPr>
          <w:rFonts w:ascii="Arial" w:hAnsi="Arial" w:cs="Arial"/>
          <w:color w:val="000000" w:themeColor="text1"/>
        </w:rPr>
        <w:t xml:space="preserve">Annas, J. </w:t>
      </w:r>
      <w:r>
        <w:rPr>
          <w:rFonts w:ascii="Arial" w:hAnsi="Arial" w:cs="Arial"/>
          <w:color w:val="000000" w:themeColor="text1"/>
        </w:rPr>
        <w:tab/>
      </w:r>
      <w:r>
        <w:rPr>
          <w:rFonts w:ascii="Arial" w:hAnsi="Arial" w:cs="Arial"/>
          <w:color w:val="000000" w:themeColor="text1"/>
        </w:rPr>
        <w:tab/>
      </w:r>
      <w:r w:rsidRPr="00662585">
        <w:rPr>
          <w:rFonts w:ascii="Arial" w:hAnsi="Arial" w:cs="Arial"/>
          <w:color w:val="000000" w:themeColor="text1"/>
        </w:rPr>
        <w:t xml:space="preserve">‘Applying Virtue Ethics (Society of Applied Philosophy Annual Lecture 2014)’ </w:t>
      </w:r>
      <w:r w:rsidRPr="00662585">
        <w:rPr>
          <w:rFonts w:ascii="Arial" w:hAnsi="Arial" w:cs="Arial"/>
          <w:i/>
          <w:iCs/>
          <w:color w:val="000000" w:themeColor="text1"/>
        </w:rPr>
        <w:t xml:space="preserve">Journal of Applied Philosophy  </w:t>
      </w:r>
      <w:r w:rsidRPr="00662585">
        <w:rPr>
          <w:rFonts w:ascii="Arial" w:hAnsi="Arial" w:cs="Arial"/>
          <w:color w:val="000000" w:themeColor="text1"/>
        </w:rPr>
        <w:t>32(1): 1 – 14.</w:t>
      </w:r>
    </w:p>
    <w:p w14:paraId="449D035D"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shd w:val="clear" w:color="auto" w:fill="FFFFFF"/>
        </w:rPr>
      </w:pPr>
    </w:p>
    <w:p w14:paraId="5696E1BF" w14:textId="77777777" w:rsidR="00B22BBD" w:rsidRPr="00662585" w:rsidRDefault="00B22BBD" w:rsidP="00B22BBD">
      <w:pPr>
        <w:autoSpaceDE w:val="0"/>
        <w:autoSpaceDN w:val="0"/>
        <w:adjustRightInd w:val="0"/>
        <w:spacing w:line="360" w:lineRule="auto"/>
        <w:ind w:left="2160" w:hanging="2160"/>
        <w:jc w:val="both"/>
        <w:rPr>
          <w:rFonts w:ascii="Arial" w:hAnsi="Arial" w:cs="Arial"/>
          <w:color w:val="000000" w:themeColor="text1"/>
        </w:rPr>
      </w:pPr>
      <w:r w:rsidRPr="00662585">
        <w:rPr>
          <w:rFonts w:ascii="Arial" w:hAnsi="Arial" w:cs="Arial"/>
          <w:color w:val="000000" w:themeColor="text1"/>
          <w:shd w:val="clear" w:color="auto" w:fill="FFFFFF"/>
        </w:rPr>
        <w:lastRenderedPageBreak/>
        <w:t xml:space="preserve">Amaya, A. </w:t>
      </w:r>
      <w:r>
        <w:rPr>
          <w:rFonts w:ascii="Arial" w:hAnsi="Arial" w:cs="Arial"/>
          <w:color w:val="000000" w:themeColor="text1"/>
          <w:shd w:val="clear" w:color="auto" w:fill="FFFFFF"/>
        </w:rPr>
        <w:tab/>
      </w:r>
      <w:r>
        <w:rPr>
          <w:rFonts w:ascii="Arial" w:hAnsi="Arial" w:cs="Arial"/>
          <w:color w:val="000000" w:themeColor="text1"/>
          <w:shd w:val="clear" w:color="auto" w:fill="FFFFFF"/>
        </w:rPr>
        <w:tab/>
      </w:r>
      <w:r w:rsidRPr="00662585">
        <w:rPr>
          <w:rFonts w:ascii="Arial" w:hAnsi="Arial" w:cs="Arial"/>
          <w:color w:val="000000" w:themeColor="text1"/>
          <w:shd w:val="clear" w:color="auto" w:fill="FFFFFF"/>
        </w:rPr>
        <w:t>‘Reasoning in Character: Virtue, Legal Argumentation, and Judicial Ethics’. </w:t>
      </w:r>
      <w:r w:rsidRPr="00662585">
        <w:rPr>
          <w:rFonts w:ascii="Arial" w:hAnsi="Arial" w:cs="Arial"/>
          <w:i/>
          <w:iCs/>
          <w:color w:val="000000" w:themeColor="text1"/>
          <w:shd w:val="clear" w:color="auto" w:fill="FFFFFF"/>
        </w:rPr>
        <w:t>Ethical Theory Moral Practice</w:t>
      </w:r>
      <w:r w:rsidRPr="00662585">
        <w:rPr>
          <w:rFonts w:ascii="Arial" w:hAnsi="Arial" w:cs="Arial"/>
          <w:color w:val="000000" w:themeColor="text1"/>
          <w:shd w:val="clear" w:color="auto" w:fill="FFFFFF"/>
        </w:rPr>
        <w:t xml:space="preserve"> (2025) 28, 359–378 https://doi.org/10.1007/s10677-023-10414-z.</w:t>
      </w:r>
    </w:p>
    <w:p w14:paraId="755F49DB" w14:textId="77777777" w:rsidR="00B22BBD" w:rsidRDefault="00B22BBD" w:rsidP="00B22BBD">
      <w:pPr>
        <w:autoSpaceDE w:val="0"/>
        <w:autoSpaceDN w:val="0"/>
        <w:adjustRightInd w:val="0"/>
        <w:spacing w:line="360" w:lineRule="auto"/>
        <w:jc w:val="both"/>
        <w:rPr>
          <w:rStyle w:val="contributors"/>
          <w:rFonts w:ascii="Arial" w:hAnsi="Arial" w:cs="Arial"/>
          <w:color w:val="000000" w:themeColor="text1"/>
          <w:bdr w:val="none" w:sz="0" w:space="0" w:color="auto" w:frame="1"/>
        </w:rPr>
      </w:pPr>
    </w:p>
    <w:p w14:paraId="63A13EDB" w14:textId="77777777" w:rsidR="00B22BBD" w:rsidRPr="00662585" w:rsidRDefault="00B22BBD" w:rsidP="00B22BBD">
      <w:pPr>
        <w:autoSpaceDE w:val="0"/>
        <w:autoSpaceDN w:val="0"/>
        <w:adjustRightInd w:val="0"/>
        <w:spacing w:line="360" w:lineRule="auto"/>
        <w:ind w:left="2160" w:hanging="2160"/>
        <w:jc w:val="both"/>
        <w:rPr>
          <w:rFonts w:ascii="Arial" w:hAnsi="Arial" w:cs="Arial"/>
          <w:color w:val="000000" w:themeColor="text1"/>
        </w:rPr>
      </w:pPr>
      <w:r w:rsidRPr="00662585">
        <w:rPr>
          <w:rStyle w:val="contributors"/>
          <w:rFonts w:ascii="Arial" w:hAnsi="Arial" w:cs="Arial"/>
          <w:color w:val="000000" w:themeColor="text1"/>
          <w:bdr w:val="none" w:sz="0" w:space="0" w:color="auto" w:frame="1"/>
        </w:rPr>
        <w:t>Athanassoulis, N.,</w:t>
      </w:r>
      <w:r w:rsidRPr="00662585">
        <w:rPr>
          <w:rStyle w:val="apple-converted-space"/>
          <w:rFonts w:ascii="Arial" w:hAnsi="Arial" w:cs="Arial"/>
          <w:color w:val="000000" w:themeColor="text1"/>
          <w:bdr w:val="none" w:sz="0" w:space="0" w:color="auto" w:frame="1"/>
        </w:rPr>
        <w:t> </w:t>
      </w:r>
      <w:r>
        <w:rPr>
          <w:rStyle w:val="apple-converted-space"/>
          <w:rFonts w:ascii="Arial" w:hAnsi="Arial" w:cs="Arial"/>
          <w:color w:val="000000" w:themeColor="text1"/>
          <w:bdr w:val="none" w:sz="0" w:space="0" w:color="auto" w:frame="1"/>
        </w:rPr>
        <w:tab/>
      </w:r>
      <w:r>
        <w:rPr>
          <w:rStyle w:val="apple-converted-space"/>
          <w:rFonts w:ascii="Arial" w:hAnsi="Arial" w:cs="Arial"/>
          <w:color w:val="000000" w:themeColor="text1"/>
          <w:bdr w:val="none" w:sz="0" w:space="0" w:color="auto" w:frame="1"/>
        </w:rPr>
        <w:tab/>
      </w:r>
      <w:r w:rsidRPr="00662585">
        <w:rPr>
          <w:rStyle w:val="maintitle"/>
          <w:rFonts w:ascii="Arial" w:hAnsi="Arial" w:cs="Arial"/>
          <w:color w:val="000000" w:themeColor="text1"/>
          <w:bdr w:val="none" w:sz="0" w:space="0" w:color="auto" w:frame="1"/>
        </w:rPr>
        <w:t>'Acquiring Aristotelian Virtue'</w:t>
      </w:r>
      <w:r w:rsidRPr="00662585">
        <w:rPr>
          <w:rFonts w:ascii="Arial" w:hAnsi="Arial" w:cs="Arial"/>
          <w:color w:val="000000" w:themeColor="text1"/>
          <w:shd w:val="clear" w:color="auto" w:fill="FFFFFF"/>
        </w:rPr>
        <w:t>,</w:t>
      </w:r>
      <w:r w:rsidRPr="00662585">
        <w:rPr>
          <w:rStyle w:val="apple-converted-space"/>
          <w:rFonts w:ascii="Arial" w:hAnsi="Arial" w:cs="Arial"/>
          <w:color w:val="000000" w:themeColor="text1"/>
          <w:bdr w:val="none" w:sz="0" w:space="0" w:color="auto" w:frame="1"/>
        </w:rPr>
        <w:t> </w:t>
      </w:r>
      <w:r w:rsidRPr="00662585">
        <w:rPr>
          <w:rStyle w:val="editors"/>
          <w:rFonts w:ascii="Arial" w:hAnsi="Arial" w:cs="Arial"/>
          <w:color w:val="000000" w:themeColor="text1"/>
          <w:bdr w:val="none" w:sz="0" w:space="0" w:color="auto" w:frame="1"/>
        </w:rPr>
        <w:t>in Nancy E. Snow (ed.)</w:t>
      </w:r>
      <w:r w:rsidRPr="00662585">
        <w:rPr>
          <w:rFonts w:ascii="Arial" w:hAnsi="Arial" w:cs="Arial"/>
          <w:color w:val="000000" w:themeColor="text1"/>
          <w:shd w:val="clear" w:color="auto" w:fill="FFFFFF"/>
        </w:rPr>
        <w:t>,</w:t>
      </w:r>
      <w:r w:rsidRPr="00662585">
        <w:rPr>
          <w:rStyle w:val="apple-converted-space"/>
          <w:rFonts w:ascii="Arial" w:hAnsi="Arial" w:cs="Arial"/>
          <w:color w:val="000000" w:themeColor="text1"/>
          <w:shd w:val="clear" w:color="auto" w:fill="FFFFFF"/>
        </w:rPr>
        <w:t> </w:t>
      </w:r>
      <w:r w:rsidRPr="00662585">
        <w:rPr>
          <w:rStyle w:val="Emphasis"/>
          <w:rFonts w:ascii="Arial" w:hAnsi="Arial" w:cs="Arial"/>
          <w:color w:val="000000" w:themeColor="text1"/>
          <w:bdr w:val="none" w:sz="0" w:space="0" w:color="auto" w:frame="1"/>
        </w:rPr>
        <w:t>The Oxford Handbook of Virtue</w:t>
      </w:r>
      <w:r w:rsidRPr="00662585">
        <w:rPr>
          <w:rStyle w:val="series-title"/>
          <w:rFonts w:ascii="Arial" w:hAnsi="Arial" w:cs="Arial"/>
          <w:color w:val="000000" w:themeColor="text1"/>
          <w:bdr w:val="none" w:sz="0" w:space="0" w:color="auto" w:frame="1"/>
        </w:rPr>
        <w:t>, Oxford Handbooks</w:t>
      </w:r>
      <w:r w:rsidRPr="00662585">
        <w:rPr>
          <w:rStyle w:val="apple-converted-space"/>
          <w:rFonts w:ascii="Arial" w:hAnsi="Arial" w:cs="Arial"/>
          <w:color w:val="000000" w:themeColor="text1"/>
          <w:shd w:val="clear" w:color="auto" w:fill="FFFFFF"/>
        </w:rPr>
        <w:t> </w:t>
      </w:r>
      <w:r w:rsidRPr="00662585">
        <w:rPr>
          <w:rFonts w:ascii="Arial" w:hAnsi="Arial" w:cs="Arial"/>
          <w:color w:val="000000" w:themeColor="text1"/>
          <w:shd w:val="clear" w:color="auto" w:fill="FFFFFF"/>
        </w:rPr>
        <w:t>(</w:t>
      </w:r>
      <w:r w:rsidRPr="00662585">
        <w:rPr>
          <w:rStyle w:val="print-publication-date"/>
          <w:rFonts w:ascii="Arial" w:hAnsi="Arial" w:cs="Arial"/>
          <w:color w:val="000000" w:themeColor="text1"/>
          <w:bdr w:val="none" w:sz="0" w:space="0" w:color="auto" w:frame="1"/>
        </w:rPr>
        <w:t>2018;</w:t>
      </w:r>
      <w:r w:rsidRPr="00662585">
        <w:rPr>
          <w:rStyle w:val="apple-converted-space"/>
          <w:rFonts w:ascii="Arial" w:hAnsi="Arial" w:cs="Arial"/>
          <w:color w:val="000000" w:themeColor="text1"/>
          <w:bdr w:val="none" w:sz="0" w:space="0" w:color="auto" w:frame="1"/>
        </w:rPr>
        <w:t> </w:t>
      </w:r>
      <w:r w:rsidRPr="00662585">
        <w:rPr>
          <w:rStyle w:val="online-edition"/>
          <w:rFonts w:ascii="Arial" w:hAnsi="Arial" w:cs="Arial"/>
          <w:color w:val="000000" w:themeColor="text1"/>
          <w:bdr w:val="none" w:sz="0" w:space="0" w:color="auto" w:frame="1"/>
        </w:rPr>
        <w:t>online edn,</w:t>
      </w:r>
      <w:r w:rsidRPr="00662585">
        <w:rPr>
          <w:rStyle w:val="apple-converted-space"/>
          <w:rFonts w:ascii="Arial" w:hAnsi="Arial" w:cs="Arial"/>
          <w:color w:val="000000" w:themeColor="text1"/>
          <w:bdr w:val="none" w:sz="0" w:space="0" w:color="auto" w:frame="1"/>
        </w:rPr>
        <w:t> </w:t>
      </w:r>
      <w:r w:rsidRPr="00662585">
        <w:rPr>
          <w:rStyle w:val="containing-site"/>
          <w:rFonts w:ascii="Arial" w:hAnsi="Arial" w:cs="Arial"/>
          <w:color w:val="000000" w:themeColor="text1"/>
          <w:bdr w:val="none" w:sz="0" w:space="0" w:color="auto" w:frame="1"/>
        </w:rPr>
        <w:t>Oxford Academic</w:t>
      </w:r>
      <w:r w:rsidRPr="00662585">
        <w:rPr>
          <w:rStyle w:val="online-publication-date"/>
          <w:rFonts w:ascii="Arial" w:hAnsi="Arial" w:cs="Arial"/>
          <w:color w:val="000000" w:themeColor="text1"/>
          <w:bdr w:val="none" w:sz="0" w:space="0" w:color="auto" w:frame="1"/>
        </w:rPr>
        <w:t>, 6 Dec.</w:t>
      </w:r>
    </w:p>
    <w:p w14:paraId="3BF551C4" w14:textId="77777777" w:rsidR="00B22BBD" w:rsidRDefault="00B22BBD" w:rsidP="00B22BBD">
      <w:pPr>
        <w:pStyle w:val="FootnoteText"/>
        <w:spacing w:line="360" w:lineRule="auto"/>
        <w:jc w:val="both"/>
        <w:rPr>
          <w:rFonts w:ascii="Arial" w:eastAsia="Times New Roman" w:hAnsi="Arial" w:cs="Arial"/>
          <w:color w:val="000000" w:themeColor="text1"/>
          <w:kern w:val="0"/>
          <w:sz w:val="24"/>
          <w:szCs w:val="24"/>
          <w:lang w:eastAsia="en-GB"/>
          <w14:ligatures w14:val="none"/>
        </w:rPr>
      </w:pPr>
    </w:p>
    <w:p w14:paraId="4D4EAFDB"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eastAsia="Times New Roman" w:hAnsi="Arial" w:cs="Arial"/>
          <w:color w:val="000000" w:themeColor="text1"/>
          <w:kern w:val="0"/>
          <w:sz w:val="24"/>
          <w:szCs w:val="24"/>
          <w:lang w:eastAsia="en-GB"/>
          <w14:ligatures w14:val="none"/>
        </w:rPr>
        <w:t xml:space="preserve">Badhwar,  </w:t>
      </w:r>
      <w:r>
        <w:rPr>
          <w:rFonts w:ascii="Arial" w:eastAsia="Times New Roman" w:hAnsi="Arial" w:cs="Arial"/>
          <w:color w:val="000000" w:themeColor="text1"/>
          <w:kern w:val="0"/>
          <w:sz w:val="24"/>
          <w:szCs w:val="24"/>
          <w:lang w:eastAsia="en-GB"/>
          <w14:ligatures w14:val="none"/>
        </w:rPr>
        <w:tab/>
      </w:r>
      <w:r w:rsidRPr="00662585">
        <w:rPr>
          <w:rFonts w:ascii="Arial" w:eastAsia="Times New Roman" w:hAnsi="Arial" w:cs="Arial"/>
          <w:i/>
          <w:iCs/>
          <w:color w:val="000000" w:themeColor="text1"/>
          <w:kern w:val="0"/>
          <w:sz w:val="24"/>
          <w:szCs w:val="24"/>
          <w:lang w:eastAsia="en-GB"/>
          <w14:ligatures w14:val="none"/>
        </w:rPr>
        <w:t xml:space="preserve">Well-Being: Happiness in a Worthwhile Life </w:t>
      </w:r>
      <w:r w:rsidRPr="00662585">
        <w:rPr>
          <w:rFonts w:ascii="Arial" w:eastAsia="Times New Roman" w:hAnsi="Arial" w:cs="Arial"/>
          <w:color w:val="000000" w:themeColor="text1"/>
          <w:kern w:val="0"/>
          <w:sz w:val="24"/>
          <w:szCs w:val="24"/>
          <w:lang w:eastAsia="en-GB"/>
          <w14:ligatures w14:val="none"/>
        </w:rPr>
        <w:t xml:space="preserve">(Oxford: OUP, 2014) </w:t>
      </w:r>
    </w:p>
    <w:p w14:paraId="5EBD54BA" w14:textId="77777777" w:rsidR="00B22BBD" w:rsidRDefault="00B22BBD" w:rsidP="00B22BBD">
      <w:pPr>
        <w:autoSpaceDE w:val="0"/>
        <w:autoSpaceDN w:val="0"/>
        <w:adjustRightInd w:val="0"/>
        <w:spacing w:line="360" w:lineRule="auto"/>
        <w:jc w:val="both"/>
        <w:rPr>
          <w:rFonts w:ascii="Arial" w:hAnsi="Arial" w:cs="Arial"/>
          <w:color w:val="000000" w:themeColor="text1"/>
        </w:rPr>
      </w:pPr>
    </w:p>
    <w:p w14:paraId="20683A31"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r w:rsidRPr="00662585">
        <w:rPr>
          <w:rFonts w:ascii="Arial" w:hAnsi="Arial" w:cs="Arial"/>
          <w:color w:val="000000" w:themeColor="text1"/>
        </w:rPr>
        <w:t xml:space="preserve">Besser-Jones, L. ‘Two Objections to Virtue Ethics’ </w:t>
      </w:r>
      <w:r w:rsidRPr="00662585">
        <w:rPr>
          <w:rFonts w:ascii="Arial" w:hAnsi="Arial" w:cs="Arial"/>
          <w:i/>
          <w:iCs/>
          <w:color w:val="000000" w:themeColor="text1"/>
        </w:rPr>
        <w:t>Etica and Politica</w:t>
      </w:r>
      <w:r w:rsidRPr="00662585">
        <w:rPr>
          <w:rFonts w:ascii="Arial" w:hAnsi="Arial" w:cs="Arial"/>
          <w:color w:val="000000" w:themeColor="text1"/>
        </w:rPr>
        <w:t>/</w:t>
      </w:r>
      <w:r w:rsidRPr="00662585">
        <w:rPr>
          <w:rFonts w:ascii="Arial" w:hAnsi="Arial" w:cs="Arial"/>
          <w:i/>
          <w:iCs/>
          <w:color w:val="000000" w:themeColor="text1"/>
        </w:rPr>
        <w:t>Ethics and Politics</w:t>
      </w:r>
      <w:r w:rsidRPr="00662585">
        <w:rPr>
          <w:rFonts w:ascii="Arial" w:hAnsi="Arial" w:cs="Arial"/>
          <w:color w:val="000000" w:themeColor="text1"/>
        </w:rPr>
        <w:t xml:space="preserve"> XVII (2015) 2  60 -73;</w:t>
      </w:r>
    </w:p>
    <w:p w14:paraId="598D1C60" w14:textId="77777777" w:rsidR="00B22BBD" w:rsidRPr="00662585" w:rsidRDefault="00B22BBD" w:rsidP="00B22BBD">
      <w:pPr>
        <w:spacing w:line="360" w:lineRule="auto"/>
        <w:jc w:val="both"/>
        <w:rPr>
          <w:rFonts w:ascii="Arial" w:hAnsi="Arial" w:cs="Arial"/>
          <w:color w:val="000000" w:themeColor="text1"/>
        </w:rPr>
      </w:pPr>
    </w:p>
    <w:p w14:paraId="15868005" w14:textId="77777777" w:rsidR="00B22BBD" w:rsidRDefault="00B22BBD" w:rsidP="00B22BBD">
      <w:pPr>
        <w:autoSpaceDE w:val="0"/>
        <w:autoSpaceDN w:val="0"/>
        <w:adjustRightInd w:val="0"/>
        <w:spacing w:line="360" w:lineRule="auto"/>
        <w:jc w:val="both"/>
        <w:rPr>
          <w:rFonts w:ascii="Arial" w:hAnsi="Arial" w:cs="Arial"/>
          <w:color w:val="000000" w:themeColor="text1"/>
        </w:rPr>
      </w:pPr>
    </w:p>
    <w:p w14:paraId="63E9FDEE"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r w:rsidRPr="00662585">
        <w:rPr>
          <w:rFonts w:ascii="Arial" w:hAnsi="Arial" w:cs="Arial"/>
          <w:color w:val="000000" w:themeColor="text1"/>
        </w:rPr>
        <w:t>Blum, Lawrence, "Iris Murdoch", </w:t>
      </w:r>
      <w:r w:rsidRPr="00662585">
        <w:rPr>
          <w:rStyle w:val="Emphasis"/>
          <w:rFonts w:ascii="Arial" w:hAnsi="Arial" w:cs="Arial"/>
          <w:color w:val="000000" w:themeColor="text1"/>
        </w:rPr>
        <w:t>The Stanford Encyclopedia of Philosophy </w:t>
      </w:r>
      <w:r w:rsidRPr="00662585">
        <w:rPr>
          <w:rFonts w:ascii="Arial" w:hAnsi="Arial" w:cs="Arial"/>
          <w:color w:val="000000" w:themeColor="text1"/>
        </w:rPr>
        <w:t>(Fall 2023 Edition), Edward N. Zalta &amp; Uri Nodelman (eds.), URL = &lt;https://plato.stanford.edu/archives/fall2023/entries/murdoch/&gt;.</w:t>
      </w:r>
    </w:p>
    <w:p w14:paraId="22BF838E"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p>
    <w:p w14:paraId="2826AE3D"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r w:rsidRPr="00662585">
        <w:rPr>
          <w:rFonts w:ascii="Arial" w:hAnsi="Arial" w:cs="Arial"/>
          <w:color w:val="000000" w:themeColor="text1"/>
        </w:rPr>
        <w:t xml:space="preserve">Brewer, T. </w:t>
      </w:r>
      <w:r w:rsidRPr="00662585">
        <w:rPr>
          <w:rFonts w:ascii="Arial" w:hAnsi="Arial" w:cs="Arial"/>
          <w:i/>
          <w:iCs/>
          <w:color w:val="000000" w:themeColor="text1"/>
        </w:rPr>
        <w:t xml:space="preserve">The Retrieval of Ethics </w:t>
      </w:r>
      <w:r w:rsidRPr="00662585">
        <w:rPr>
          <w:rFonts w:ascii="Arial" w:hAnsi="Arial" w:cs="Arial"/>
          <w:color w:val="000000" w:themeColor="text1"/>
        </w:rPr>
        <w:t>(Oxford: OUP, 2009)</w:t>
      </w:r>
    </w:p>
    <w:p w14:paraId="6EF710DB"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r w:rsidRPr="00662585">
        <w:rPr>
          <w:rFonts w:ascii="Arial" w:hAnsi="Arial" w:cs="Arial"/>
          <w:color w:val="000000" w:themeColor="text1"/>
        </w:rPr>
        <w:t xml:space="preserve">Cafaro, P. (ed.) ‘Virtue ethics’, Journal of Agricultural and Environmental Ethics (2010), vol. 23, nos. 1–2, pp. 3–7. DOI: 10.1007/s10806–009–9204–3. </w:t>
      </w:r>
    </w:p>
    <w:p w14:paraId="174E9254"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p>
    <w:p w14:paraId="3C50623A"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r w:rsidRPr="00662585">
        <w:rPr>
          <w:rFonts w:ascii="Arial" w:hAnsi="Arial" w:cs="Arial"/>
          <w:color w:val="000000" w:themeColor="text1"/>
        </w:rPr>
        <w:t>Carr, D., and J. W. Steutel, eds. 1999. Virtue Ethics and Moral Education (New york: Routledge).</w:t>
      </w:r>
    </w:p>
    <w:p w14:paraId="72D5305F"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p>
    <w:p w14:paraId="77AD9C87"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Chappell, T. ‘Virtue Ethics in the Twentieth Century’ in D.C. Russell (ed.) </w:t>
      </w:r>
      <w:r w:rsidRPr="00662585">
        <w:rPr>
          <w:rFonts w:ascii="Arial" w:hAnsi="Arial" w:cs="Arial"/>
          <w:i/>
          <w:iCs/>
          <w:color w:val="000000" w:themeColor="text1"/>
        </w:rPr>
        <w:t xml:space="preserve">The Cambridge Companion to Virtue Ethics </w:t>
      </w:r>
      <w:r w:rsidRPr="00662585">
        <w:rPr>
          <w:rFonts w:ascii="Arial" w:hAnsi="Arial" w:cs="Arial"/>
          <w:color w:val="000000" w:themeColor="text1"/>
        </w:rPr>
        <w:t>(Cambridge: Cambridge UP, 2013) 149 – 171.</w:t>
      </w:r>
    </w:p>
    <w:p w14:paraId="5A5AD629" w14:textId="77777777" w:rsidR="00B22BBD" w:rsidRPr="00662585" w:rsidRDefault="00B22BBD" w:rsidP="00B22BBD">
      <w:pPr>
        <w:autoSpaceDE w:val="0"/>
        <w:autoSpaceDN w:val="0"/>
        <w:adjustRightInd w:val="0"/>
        <w:spacing w:line="360" w:lineRule="auto"/>
        <w:jc w:val="both"/>
        <w:rPr>
          <w:rFonts w:ascii="Arial" w:hAnsi="Arial" w:cs="Arial"/>
          <w:color w:val="000000" w:themeColor="text1"/>
        </w:rPr>
      </w:pPr>
    </w:p>
    <w:p w14:paraId="69D6CB1E" w14:textId="77777777" w:rsidR="00B22BBD" w:rsidRPr="00662585" w:rsidRDefault="00B22BBD" w:rsidP="00B22BBD">
      <w:pPr>
        <w:autoSpaceDE w:val="0"/>
        <w:autoSpaceDN w:val="0"/>
        <w:adjustRightInd w:val="0"/>
        <w:spacing w:line="360" w:lineRule="auto"/>
        <w:jc w:val="both"/>
        <w:rPr>
          <w:rFonts w:ascii="Arial" w:hAnsi="Arial" w:cs="Arial"/>
          <w:i/>
          <w:iCs/>
          <w:color w:val="000000" w:themeColor="text1"/>
        </w:rPr>
      </w:pPr>
      <w:r w:rsidRPr="00662585">
        <w:rPr>
          <w:rFonts w:ascii="Arial" w:hAnsi="Arial" w:cs="Arial"/>
          <w:color w:val="000000" w:themeColor="text1"/>
        </w:rPr>
        <w:t xml:space="preserve">Copp, D. (ed.) </w:t>
      </w:r>
      <w:r w:rsidRPr="00662585">
        <w:rPr>
          <w:rFonts w:ascii="Arial" w:hAnsi="Arial" w:cs="Arial"/>
          <w:i/>
          <w:iCs/>
          <w:color w:val="000000" w:themeColor="text1"/>
        </w:rPr>
        <w:t xml:space="preserve">The Oxford Handbook of Ethical Theory  </w:t>
      </w:r>
      <w:r w:rsidRPr="00662585">
        <w:rPr>
          <w:rFonts w:ascii="Arial" w:hAnsi="Arial" w:cs="Arial"/>
          <w:color w:val="000000" w:themeColor="text1"/>
        </w:rPr>
        <w:t>(Oxford: OUP, 2009)</w:t>
      </w:r>
      <w:r w:rsidRPr="00662585">
        <w:rPr>
          <w:rFonts w:ascii="Arial" w:hAnsi="Arial" w:cs="Arial"/>
          <w:i/>
          <w:iCs/>
          <w:color w:val="000000" w:themeColor="text1"/>
        </w:rPr>
        <w:t>https://doi.org/10.1093/oxfordhb/9780195325911.001.0001</w:t>
      </w:r>
      <w:r>
        <w:rPr>
          <w:rFonts w:ascii="Arial" w:hAnsi="Arial" w:cs="Arial"/>
          <w:i/>
          <w:iCs/>
          <w:color w:val="000000" w:themeColor="text1"/>
        </w:rPr>
        <w:t>.</w:t>
      </w:r>
    </w:p>
    <w:p w14:paraId="703B3123" w14:textId="77777777" w:rsidR="00B22BBD" w:rsidRPr="00662585" w:rsidRDefault="00B22BBD" w:rsidP="00B22BBD">
      <w:pPr>
        <w:spacing w:line="360" w:lineRule="auto"/>
        <w:jc w:val="both"/>
        <w:rPr>
          <w:rFonts w:ascii="Arial" w:hAnsi="Arial" w:cs="Arial"/>
          <w:color w:val="000000" w:themeColor="text1"/>
        </w:rPr>
      </w:pPr>
    </w:p>
    <w:p w14:paraId="29D8F37E" w14:textId="77777777" w:rsidR="00B22BBD" w:rsidRPr="00662585" w:rsidRDefault="00B22BBD" w:rsidP="00B22BBD">
      <w:pPr>
        <w:spacing w:line="360" w:lineRule="auto"/>
        <w:jc w:val="both"/>
        <w:rPr>
          <w:rFonts w:ascii="Arial" w:hAnsi="Arial" w:cs="Arial"/>
          <w:color w:val="000000" w:themeColor="text1"/>
          <w:shd w:val="clear" w:color="auto" w:fill="FFFFFF"/>
        </w:rPr>
      </w:pPr>
      <w:r w:rsidRPr="00662585">
        <w:rPr>
          <w:rFonts w:ascii="Arial" w:hAnsi="Arial" w:cs="Arial"/>
          <w:color w:val="000000" w:themeColor="text1"/>
        </w:rPr>
        <w:t xml:space="preserve">Crisp, R. and M. Slote (eds.) </w:t>
      </w:r>
      <w:r w:rsidRPr="00662585">
        <w:rPr>
          <w:rFonts w:ascii="Arial" w:hAnsi="Arial" w:cs="Arial"/>
          <w:i/>
          <w:iCs/>
          <w:color w:val="000000" w:themeColor="text1"/>
        </w:rPr>
        <w:t xml:space="preserve">Virtue </w:t>
      </w:r>
      <w:r w:rsidRPr="00662585">
        <w:rPr>
          <w:rFonts w:ascii="Arial" w:hAnsi="Arial" w:cs="Arial"/>
          <w:color w:val="000000" w:themeColor="text1"/>
        </w:rPr>
        <w:t>Ethics: Oxford Readings in Philosophy (Oxford: OUP, 1997)</w:t>
      </w:r>
    </w:p>
    <w:p w14:paraId="0301F248" w14:textId="77777777" w:rsidR="00B22BBD" w:rsidRPr="00662585" w:rsidRDefault="00B22BBD" w:rsidP="00B22BBD">
      <w:pPr>
        <w:shd w:val="clear" w:color="auto" w:fill="FFFFFF"/>
        <w:spacing w:line="360" w:lineRule="auto"/>
        <w:jc w:val="both"/>
        <w:textAlignment w:val="baseline"/>
        <w:rPr>
          <w:rFonts w:ascii="Arial" w:hAnsi="Arial" w:cs="Arial"/>
          <w:i/>
          <w:iCs/>
          <w:color w:val="000000" w:themeColor="text1"/>
        </w:rPr>
      </w:pPr>
    </w:p>
    <w:p w14:paraId="7CB86EE6" w14:textId="77777777" w:rsidR="00B22BBD"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lastRenderedPageBreak/>
        <w:t xml:space="preserve">Das, R. ‘Virtue Ethics and Right Action’ </w:t>
      </w:r>
      <w:r w:rsidRPr="00662585">
        <w:rPr>
          <w:rFonts w:ascii="Arial" w:hAnsi="Arial" w:cs="Arial"/>
          <w:i/>
          <w:iCs/>
          <w:color w:val="000000" w:themeColor="text1"/>
          <w:sz w:val="24"/>
          <w:szCs w:val="24"/>
        </w:rPr>
        <w:t xml:space="preserve">Australasian Journal of Philosophy </w:t>
      </w:r>
      <w:r w:rsidRPr="00662585">
        <w:rPr>
          <w:rFonts w:ascii="Arial" w:hAnsi="Arial" w:cs="Arial"/>
          <w:color w:val="000000" w:themeColor="text1"/>
          <w:sz w:val="24"/>
          <w:szCs w:val="24"/>
        </w:rPr>
        <w:t xml:space="preserve">81 (3): 324 – 339. </w:t>
      </w:r>
    </w:p>
    <w:p w14:paraId="4A8356FB" w14:textId="77777777" w:rsidR="00B22BBD" w:rsidRDefault="00B22BBD" w:rsidP="00B22BBD">
      <w:pPr>
        <w:pStyle w:val="FootnoteText"/>
        <w:spacing w:line="360" w:lineRule="auto"/>
        <w:jc w:val="both"/>
        <w:rPr>
          <w:rFonts w:ascii="Arial" w:hAnsi="Arial" w:cs="Arial"/>
          <w:color w:val="000000" w:themeColor="text1"/>
          <w:sz w:val="24"/>
          <w:szCs w:val="24"/>
        </w:rPr>
      </w:pPr>
    </w:p>
    <w:p w14:paraId="2BACBB78" w14:textId="77777777" w:rsidR="00B22BBD" w:rsidRPr="008D5AFD"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Doviak, D.  ‘A New Form of Agent-Based Virtue Ethics’, </w:t>
      </w:r>
      <w:r w:rsidRPr="00662585">
        <w:rPr>
          <w:rFonts w:ascii="Arial" w:hAnsi="Arial" w:cs="Arial"/>
          <w:i/>
          <w:iCs/>
          <w:color w:val="000000" w:themeColor="text1"/>
          <w:sz w:val="24"/>
          <w:szCs w:val="24"/>
        </w:rPr>
        <w:t>Ethical Theory and Moral Practice</w:t>
      </w:r>
      <w:r w:rsidRPr="00662585">
        <w:rPr>
          <w:rFonts w:ascii="Arial" w:hAnsi="Arial" w:cs="Arial"/>
          <w:color w:val="000000" w:themeColor="text1"/>
          <w:sz w:val="24"/>
          <w:szCs w:val="24"/>
        </w:rPr>
        <w:t xml:space="preserve"> (2011) 14 (3): 259 – 272.</w:t>
      </w:r>
    </w:p>
    <w:p w14:paraId="1CA0ADBB" w14:textId="77777777" w:rsidR="00B22BBD" w:rsidRDefault="00B22BBD" w:rsidP="00B22BBD">
      <w:pPr>
        <w:spacing w:line="360" w:lineRule="auto"/>
        <w:jc w:val="both"/>
        <w:rPr>
          <w:rFonts w:ascii="Arial" w:hAnsi="Arial" w:cs="Arial"/>
          <w:color w:val="000000" w:themeColor="text1"/>
          <w:shd w:val="clear" w:color="auto" w:fill="FFFFFF"/>
        </w:rPr>
      </w:pPr>
    </w:p>
    <w:p w14:paraId="5B35AF2E"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Driver, Julia, "Moral Theory",</w:t>
      </w:r>
      <w:r w:rsidRPr="00662585">
        <w:rPr>
          <w:rStyle w:val="apple-converted-space"/>
          <w:rFonts w:ascii="Arial" w:hAnsi="Arial" w:cs="Arial"/>
          <w:color w:val="000000" w:themeColor="text1"/>
        </w:rPr>
        <w:t> </w:t>
      </w:r>
      <w:r w:rsidRPr="00662585">
        <w:rPr>
          <w:rStyle w:val="Emphasis"/>
          <w:rFonts w:ascii="Arial" w:hAnsi="Arial" w:cs="Arial"/>
          <w:color w:val="000000" w:themeColor="text1"/>
        </w:rPr>
        <w:t>The Stanford Encyclopedia of Philosophy</w:t>
      </w:r>
      <w:r w:rsidRPr="00662585">
        <w:rPr>
          <w:rStyle w:val="apple-converted-space"/>
          <w:rFonts w:ascii="Arial" w:hAnsi="Arial" w:cs="Arial"/>
          <w:i/>
          <w:iCs/>
          <w:color w:val="000000" w:themeColor="text1"/>
        </w:rPr>
        <w:t> </w:t>
      </w:r>
      <w:r w:rsidRPr="00662585">
        <w:rPr>
          <w:rFonts w:ascii="Arial" w:hAnsi="Arial" w:cs="Arial"/>
          <w:color w:val="000000" w:themeColor="text1"/>
        </w:rPr>
        <w:t>(Fall 2022 Edition), Edward N. Zalta &amp; Uri Nodelman (eds.), URL = &lt;https://plato.stanford.edu/archives/fall2022/entries/moral-theory/&gt;.</w:t>
      </w:r>
    </w:p>
    <w:p w14:paraId="358E6628" w14:textId="77777777" w:rsidR="00B22BBD" w:rsidRDefault="00B22BBD" w:rsidP="00B22BBD">
      <w:pPr>
        <w:spacing w:line="360" w:lineRule="auto"/>
        <w:jc w:val="both"/>
        <w:rPr>
          <w:rFonts w:ascii="Arial" w:hAnsi="Arial" w:cs="Arial"/>
          <w:color w:val="000000" w:themeColor="text1"/>
          <w:shd w:val="clear" w:color="auto" w:fill="FFFFFF"/>
        </w:rPr>
      </w:pPr>
    </w:p>
    <w:p w14:paraId="32F1DC55"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shd w:val="clear" w:color="auto" w:fill="FFFFFF"/>
        </w:rPr>
        <w:t>Greenwood, J., and A.</w:t>
      </w:r>
      <w:r>
        <w:rPr>
          <w:rFonts w:ascii="Arial" w:hAnsi="Arial" w:cs="Arial"/>
          <w:color w:val="000000" w:themeColor="text1"/>
          <w:shd w:val="clear" w:color="auto" w:fill="FFFFFF"/>
        </w:rPr>
        <w:t xml:space="preserve"> </w:t>
      </w:r>
      <w:r w:rsidRPr="00662585">
        <w:rPr>
          <w:rFonts w:ascii="Arial" w:hAnsi="Arial" w:cs="Arial"/>
          <w:color w:val="000000" w:themeColor="text1"/>
          <w:shd w:val="clear" w:color="auto" w:fill="FFFFFF"/>
        </w:rPr>
        <w:t>Crowden. 2026. “Understanding Virtuous Person-Centred Nursing Care: A Neo-Aristotelean Perspective.”</w:t>
      </w:r>
    </w:p>
    <w:p w14:paraId="039E6D84" w14:textId="77777777" w:rsidR="00B22BBD" w:rsidRDefault="00B22BBD" w:rsidP="00B22BBD">
      <w:pPr>
        <w:pStyle w:val="FootnoteText"/>
        <w:spacing w:line="360" w:lineRule="auto"/>
        <w:jc w:val="both"/>
        <w:rPr>
          <w:rFonts w:ascii="Arial" w:hAnsi="Arial" w:cs="Arial"/>
          <w:color w:val="000000" w:themeColor="text1"/>
          <w:sz w:val="24"/>
          <w:szCs w:val="24"/>
        </w:rPr>
      </w:pPr>
    </w:p>
    <w:p w14:paraId="6FDC231D" w14:textId="77777777" w:rsidR="00B22BBD" w:rsidRPr="00662585" w:rsidRDefault="00B22BBD" w:rsidP="00B22BBD">
      <w:pPr>
        <w:spacing w:line="360" w:lineRule="auto"/>
        <w:jc w:val="both"/>
        <w:rPr>
          <w:rFonts w:ascii="Arial" w:hAnsi="Arial" w:cs="Arial"/>
          <w:color w:val="000000" w:themeColor="text1"/>
        </w:rPr>
      </w:pPr>
    </w:p>
    <w:p w14:paraId="6B3BF848"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Hacker-Wright, J.  ‘Virtue Ethics without Right Action: Anscombe, Foot and Contemporary Virtue Ethics’ </w:t>
      </w:r>
      <w:r w:rsidRPr="00662585">
        <w:rPr>
          <w:rFonts w:ascii="Arial" w:hAnsi="Arial" w:cs="Arial"/>
          <w:i/>
          <w:iCs/>
          <w:color w:val="000000" w:themeColor="text1"/>
        </w:rPr>
        <w:t xml:space="preserve">Journal of Value Inquiry </w:t>
      </w:r>
      <w:r w:rsidRPr="00662585">
        <w:rPr>
          <w:rFonts w:ascii="Arial" w:hAnsi="Arial" w:cs="Arial"/>
          <w:color w:val="000000" w:themeColor="text1"/>
        </w:rPr>
        <w:t>(2010) 44(2): 209 – 224.</w:t>
      </w:r>
    </w:p>
    <w:p w14:paraId="76B0DFCF" w14:textId="77777777" w:rsidR="00B22BBD" w:rsidRPr="00662585" w:rsidRDefault="00B22BBD" w:rsidP="00B22BBD">
      <w:pPr>
        <w:spacing w:line="360" w:lineRule="auto"/>
        <w:jc w:val="both"/>
        <w:rPr>
          <w:rFonts w:ascii="Arial" w:hAnsi="Arial" w:cs="Arial"/>
          <w:color w:val="000000" w:themeColor="text1"/>
        </w:rPr>
      </w:pPr>
    </w:p>
    <w:p w14:paraId="7A86F990"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Hursthouse, R. </w:t>
      </w:r>
      <w:r w:rsidRPr="00662585">
        <w:rPr>
          <w:rFonts w:ascii="Arial" w:hAnsi="Arial" w:cs="Arial"/>
          <w:i/>
          <w:iCs/>
          <w:color w:val="000000" w:themeColor="text1"/>
        </w:rPr>
        <w:t xml:space="preserve">On Virtue Ethics </w:t>
      </w:r>
      <w:r w:rsidRPr="00662585">
        <w:rPr>
          <w:rFonts w:ascii="Arial" w:hAnsi="Arial" w:cs="Arial"/>
          <w:color w:val="000000" w:themeColor="text1"/>
        </w:rPr>
        <w:t>(Oxford: OUP, 1999)</w:t>
      </w:r>
    </w:p>
    <w:p w14:paraId="272102C6"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Hartman, E. ‘The Virtue Ethics Approach to Business’ in D. Russell (ed.), </w:t>
      </w:r>
      <w:r w:rsidRPr="00662585">
        <w:rPr>
          <w:rFonts w:ascii="Arial" w:hAnsi="Arial" w:cs="Arial"/>
          <w:i/>
          <w:iCs/>
          <w:color w:val="000000" w:themeColor="text1"/>
        </w:rPr>
        <w:t xml:space="preserve">The Cambridge Companion to Virtue Ethics </w:t>
      </w:r>
      <w:r w:rsidRPr="00662585">
        <w:rPr>
          <w:rFonts w:ascii="Arial" w:hAnsi="Arial" w:cs="Arial"/>
          <w:color w:val="000000" w:themeColor="text1"/>
        </w:rPr>
        <w:t>(Cambridge: CUP, 2013) 240 – 264.</w:t>
      </w:r>
    </w:p>
    <w:p w14:paraId="38742A57" w14:textId="77777777" w:rsidR="00B22BBD" w:rsidRPr="00662585" w:rsidRDefault="00B22BBD" w:rsidP="00B22BBD">
      <w:pPr>
        <w:spacing w:line="360" w:lineRule="auto"/>
        <w:jc w:val="both"/>
        <w:rPr>
          <w:rFonts w:ascii="Arial" w:hAnsi="Arial" w:cs="Arial"/>
          <w:color w:val="000000" w:themeColor="text1"/>
        </w:rPr>
      </w:pPr>
    </w:p>
    <w:p w14:paraId="5B891F39"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Hursthouse, R. ‘Virtue Theory and Abortion’, in D. Statman (ed.), </w:t>
      </w:r>
      <w:r w:rsidRPr="00662585">
        <w:rPr>
          <w:rFonts w:ascii="Arial" w:hAnsi="Arial" w:cs="Arial"/>
          <w:i/>
          <w:iCs/>
          <w:color w:val="000000" w:themeColor="text1"/>
        </w:rPr>
        <w:t xml:space="preserve">Virtue Ethics: A Critical Reader </w:t>
      </w:r>
      <w:r w:rsidRPr="00662585">
        <w:rPr>
          <w:rFonts w:ascii="Arial" w:hAnsi="Arial" w:cs="Arial"/>
          <w:color w:val="000000" w:themeColor="text1"/>
        </w:rPr>
        <w:t xml:space="preserve">(Edinburgh: Edinburgh UP, 1997), 180 – 193. </w:t>
      </w:r>
    </w:p>
    <w:p w14:paraId="367FC2D2" w14:textId="77777777" w:rsidR="00B22BBD" w:rsidRPr="00662585" w:rsidRDefault="00B22BBD" w:rsidP="00B22BBD">
      <w:pPr>
        <w:spacing w:line="360" w:lineRule="auto"/>
        <w:jc w:val="both"/>
        <w:rPr>
          <w:rFonts w:ascii="Arial" w:hAnsi="Arial" w:cs="Arial"/>
          <w:color w:val="000000" w:themeColor="text1"/>
        </w:rPr>
      </w:pPr>
    </w:p>
    <w:p w14:paraId="5E61C874" w14:textId="77777777" w:rsidR="00B22BBD" w:rsidRPr="00662585" w:rsidRDefault="00B22BBD" w:rsidP="00B22BBD">
      <w:pPr>
        <w:spacing w:line="360" w:lineRule="auto"/>
        <w:ind w:left="2880" w:hanging="2880"/>
        <w:jc w:val="both"/>
        <w:rPr>
          <w:rFonts w:ascii="Arial" w:hAnsi="Arial" w:cs="Arial"/>
          <w:color w:val="000000" w:themeColor="text1"/>
        </w:rPr>
      </w:pPr>
    </w:p>
    <w:p w14:paraId="685405FF" w14:textId="77777777" w:rsidR="00B22BBD" w:rsidRPr="00662585" w:rsidRDefault="00B22BBD" w:rsidP="00B22BBD">
      <w:pPr>
        <w:spacing w:line="360" w:lineRule="auto"/>
        <w:ind w:left="2880" w:hanging="2880"/>
        <w:jc w:val="both"/>
        <w:rPr>
          <w:rFonts w:ascii="Arial" w:hAnsi="Arial" w:cs="Arial"/>
          <w:color w:val="000000" w:themeColor="text1"/>
        </w:rPr>
      </w:pPr>
      <w:r w:rsidRPr="00662585">
        <w:rPr>
          <w:rFonts w:ascii="Arial" w:hAnsi="Arial" w:cs="Arial"/>
          <w:color w:val="000000" w:themeColor="text1"/>
        </w:rPr>
        <w:t xml:space="preserve">Hursthouse, R. </w:t>
      </w:r>
      <w:r w:rsidRPr="00662585">
        <w:rPr>
          <w:rFonts w:ascii="Arial" w:hAnsi="Arial" w:cs="Arial"/>
          <w:color w:val="000000" w:themeColor="text1"/>
        </w:rPr>
        <w:tab/>
      </w:r>
      <w:r w:rsidRPr="00662585">
        <w:rPr>
          <w:rFonts w:ascii="Arial" w:hAnsi="Arial" w:cs="Arial"/>
          <w:color w:val="000000" w:themeColor="text1"/>
        </w:rPr>
        <w:tab/>
      </w:r>
      <w:r w:rsidRPr="00662585">
        <w:rPr>
          <w:rFonts w:ascii="Arial" w:hAnsi="Arial" w:cs="Arial"/>
          <w:i/>
          <w:iCs/>
          <w:color w:val="000000" w:themeColor="text1"/>
        </w:rPr>
        <w:t xml:space="preserve">Ethics, Humans and other Animals: An Introduction With </w:t>
      </w:r>
      <w:r w:rsidRPr="00662585">
        <w:rPr>
          <w:rFonts w:ascii="Arial" w:hAnsi="Arial" w:cs="Arial"/>
          <w:i/>
          <w:iCs/>
          <w:color w:val="000000" w:themeColor="text1"/>
        </w:rPr>
        <w:tab/>
        <w:t>Readings</w:t>
      </w:r>
      <w:r w:rsidRPr="00662585">
        <w:rPr>
          <w:rFonts w:ascii="Arial" w:hAnsi="Arial" w:cs="Arial"/>
          <w:color w:val="000000" w:themeColor="text1"/>
        </w:rPr>
        <w:t xml:space="preserve"> (London: Routledge, 2000)</w:t>
      </w:r>
    </w:p>
    <w:p w14:paraId="7A76EB23" w14:textId="77777777" w:rsidR="00B22BBD" w:rsidRPr="00662585" w:rsidRDefault="00B22BBD" w:rsidP="00B22BBD">
      <w:pPr>
        <w:spacing w:line="360" w:lineRule="auto"/>
        <w:jc w:val="both"/>
        <w:rPr>
          <w:rFonts w:ascii="Arial" w:hAnsi="Arial" w:cs="Arial"/>
          <w:color w:val="000000" w:themeColor="text1"/>
        </w:rPr>
      </w:pPr>
    </w:p>
    <w:p w14:paraId="3F27A64F"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Hursthouse, R. and G. Pettigrove, "Virtue Ethics", </w:t>
      </w:r>
      <w:r w:rsidRPr="00662585">
        <w:rPr>
          <w:rFonts w:ascii="Arial" w:hAnsi="Arial" w:cs="Arial"/>
          <w:i/>
          <w:iCs/>
          <w:color w:val="000000" w:themeColor="text1"/>
        </w:rPr>
        <w:t>The Stanford Encyclopedia of Philosophy </w:t>
      </w:r>
      <w:r w:rsidRPr="00662585">
        <w:rPr>
          <w:rFonts w:ascii="Arial" w:hAnsi="Arial" w:cs="Arial"/>
          <w:color w:val="000000" w:themeColor="text1"/>
        </w:rPr>
        <w:t>(Fall 2023 Edition), Edward N. Zalta &amp; Uri Nodelman (eds.), URL = &lt;https://plato.stanford.edu/archives/fall2023/entries/ethics-virtue/&gt;.</w:t>
      </w:r>
    </w:p>
    <w:p w14:paraId="6F2403A1" w14:textId="77777777" w:rsidR="00B22BBD" w:rsidRPr="00662585" w:rsidRDefault="00B22BBD" w:rsidP="00B22BBD">
      <w:pPr>
        <w:spacing w:line="360" w:lineRule="auto"/>
        <w:jc w:val="both"/>
        <w:rPr>
          <w:rFonts w:ascii="Arial" w:hAnsi="Arial" w:cs="Arial"/>
          <w:color w:val="000000" w:themeColor="text1"/>
        </w:rPr>
      </w:pPr>
    </w:p>
    <w:p w14:paraId="53AC3D02"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Hursthouse, R. </w:t>
      </w:r>
      <w:r w:rsidRPr="00662585">
        <w:rPr>
          <w:rFonts w:ascii="Arial" w:hAnsi="Arial" w:cs="Arial"/>
          <w:i/>
          <w:iCs/>
          <w:color w:val="000000" w:themeColor="text1"/>
        </w:rPr>
        <w:t xml:space="preserve">Virtue And Action </w:t>
      </w:r>
      <w:r w:rsidRPr="00662585">
        <w:rPr>
          <w:rFonts w:ascii="Arial" w:hAnsi="Arial" w:cs="Arial"/>
          <w:color w:val="000000" w:themeColor="text1"/>
        </w:rPr>
        <w:t>(Oxford: OUP, 2023)</w:t>
      </w:r>
    </w:p>
    <w:p w14:paraId="11AD69CB"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lastRenderedPageBreak/>
        <w:t xml:space="preserve">McDowell, J. ‘Virtue and Reason’ in R.Crisp and M. Slote (eds.) </w:t>
      </w:r>
      <w:r w:rsidRPr="00662585">
        <w:rPr>
          <w:rFonts w:ascii="Arial" w:hAnsi="Arial" w:cs="Arial"/>
          <w:i/>
          <w:iCs/>
          <w:color w:val="000000" w:themeColor="text1"/>
        </w:rPr>
        <w:t xml:space="preserve">Virtue </w:t>
      </w:r>
      <w:r w:rsidRPr="00662585">
        <w:rPr>
          <w:rFonts w:ascii="Arial" w:hAnsi="Arial" w:cs="Arial"/>
          <w:color w:val="000000" w:themeColor="text1"/>
        </w:rPr>
        <w:t>Ethics: Oxford Readings in Philosophy (Oxford: OUP, 1997) 163 – 177.</w:t>
      </w:r>
    </w:p>
    <w:p w14:paraId="44C05215" w14:textId="77777777" w:rsidR="00B22BBD" w:rsidRPr="00662585" w:rsidRDefault="00B22BBD" w:rsidP="00B22BBD">
      <w:pPr>
        <w:spacing w:line="360" w:lineRule="auto"/>
        <w:jc w:val="both"/>
        <w:rPr>
          <w:rFonts w:ascii="Arial" w:hAnsi="Arial" w:cs="Arial"/>
          <w:color w:val="000000" w:themeColor="text1"/>
        </w:rPr>
      </w:pPr>
    </w:p>
    <w:p w14:paraId="2119D875"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Kawall, J. (2014) ‘Qualified Agent and Agent-Based Virtue Ethics and the Problems of Right Action’ in S Van Hooft (ed.) </w:t>
      </w:r>
      <w:r w:rsidRPr="00662585">
        <w:rPr>
          <w:rFonts w:ascii="Arial" w:hAnsi="Arial" w:cs="Arial"/>
          <w:i/>
          <w:iCs/>
          <w:color w:val="000000" w:themeColor="text1"/>
        </w:rPr>
        <w:t xml:space="preserve">The Handbook of Virtue Ethics </w:t>
      </w:r>
      <w:r w:rsidRPr="00662585">
        <w:rPr>
          <w:rFonts w:ascii="Arial" w:hAnsi="Arial" w:cs="Arial"/>
          <w:color w:val="000000" w:themeColor="text1"/>
        </w:rPr>
        <w:t>(2014) 209 – 224.</w:t>
      </w:r>
    </w:p>
    <w:p w14:paraId="7791B866"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Keller, S. ‘Virtue Ethics is Self-Effacing’ </w:t>
      </w:r>
      <w:r w:rsidRPr="00662585">
        <w:rPr>
          <w:rFonts w:ascii="Arial" w:hAnsi="Arial" w:cs="Arial"/>
          <w:i/>
          <w:iCs/>
          <w:color w:val="000000" w:themeColor="text1"/>
        </w:rPr>
        <w:t>Australasian Journal of Philosophy</w:t>
      </w:r>
      <w:r w:rsidRPr="00662585">
        <w:rPr>
          <w:rFonts w:ascii="Arial" w:hAnsi="Arial" w:cs="Arial"/>
          <w:color w:val="000000" w:themeColor="text1"/>
        </w:rPr>
        <w:t xml:space="preserve"> (2007) 85, 2 221 – 31.</w:t>
      </w:r>
    </w:p>
    <w:p w14:paraId="2C5C0E3A" w14:textId="77777777" w:rsidR="00B22BBD" w:rsidRPr="00662585" w:rsidRDefault="00B22BBD" w:rsidP="00B22BBD">
      <w:pPr>
        <w:spacing w:line="360" w:lineRule="auto"/>
        <w:jc w:val="both"/>
        <w:rPr>
          <w:rFonts w:ascii="Arial" w:hAnsi="Arial" w:cs="Arial"/>
          <w:color w:val="000000" w:themeColor="text1"/>
        </w:rPr>
      </w:pPr>
    </w:p>
    <w:p w14:paraId="629A9392"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Style w:val="contributors"/>
          <w:rFonts w:ascii="Arial" w:hAnsi="Arial" w:cs="Arial"/>
          <w:color w:val="000000" w:themeColor="text1"/>
          <w:sz w:val="24"/>
          <w:szCs w:val="24"/>
          <w:bdr w:val="none" w:sz="0" w:space="0" w:color="auto" w:frame="1"/>
        </w:rPr>
        <w:t xml:space="preserve">LeBar,M. </w:t>
      </w:r>
      <w:r w:rsidRPr="00662585">
        <w:rPr>
          <w:rStyle w:val="maintitle"/>
          <w:rFonts w:ascii="Arial" w:hAnsi="Arial" w:cs="Arial"/>
          <w:color w:val="000000" w:themeColor="text1"/>
          <w:sz w:val="24"/>
          <w:szCs w:val="24"/>
          <w:bdr w:val="none" w:sz="0" w:space="0" w:color="auto" w:frame="1"/>
        </w:rPr>
        <w:t>'Eudaimonism'</w:t>
      </w:r>
      <w:r w:rsidRPr="00662585">
        <w:rPr>
          <w:rFonts w:ascii="Arial" w:hAnsi="Arial" w:cs="Arial"/>
          <w:color w:val="000000" w:themeColor="text1"/>
          <w:sz w:val="24"/>
          <w:szCs w:val="24"/>
          <w:shd w:val="clear" w:color="auto" w:fill="FFFFFF"/>
        </w:rPr>
        <w:t>,</w:t>
      </w:r>
      <w:r w:rsidRPr="00662585">
        <w:rPr>
          <w:rStyle w:val="apple-converted-space"/>
          <w:rFonts w:ascii="Arial" w:hAnsi="Arial" w:cs="Arial"/>
          <w:color w:val="000000" w:themeColor="text1"/>
          <w:sz w:val="24"/>
          <w:szCs w:val="24"/>
          <w:bdr w:val="none" w:sz="0" w:space="0" w:color="auto" w:frame="1"/>
        </w:rPr>
        <w:t> </w:t>
      </w:r>
      <w:r w:rsidRPr="00662585">
        <w:rPr>
          <w:rStyle w:val="editors"/>
          <w:rFonts w:ascii="Arial" w:hAnsi="Arial" w:cs="Arial"/>
          <w:color w:val="000000" w:themeColor="text1"/>
          <w:sz w:val="24"/>
          <w:szCs w:val="24"/>
          <w:bdr w:val="none" w:sz="0" w:space="0" w:color="auto" w:frame="1"/>
        </w:rPr>
        <w:t>in Nancy E. Snow (ed.)</w:t>
      </w:r>
      <w:r w:rsidRPr="00662585">
        <w:rPr>
          <w:rFonts w:ascii="Arial" w:hAnsi="Arial" w:cs="Arial"/>
          <w:color w:val="000000" w:themeColor="text1"/>
          <w:sz w:val="24"/>
          <w:szCs w:val="24"/>
          <w:shd w:val="clear" w:color="auto" w:fill="FFFFFF"/>
        </w:rPr>
        <w:t>,</w:t>
      </w:r>
      <w:r w:rsidRPr="00662585">
        <w:rPr>
          <w:rStyle w:val="apple-converted-space"/>
          <w:rFonts w:ascii="Arial" w:hAnsi="Arial" w:cs="Arial"/>
          <w:color w:val="000000" w:themeColor="text1"/>
          <w:sz w:val="24"/>
          <w:szCs w:val="24"/>
          <w:shd w:val="clear" w:color="auto" w:fill="FFFFFF"/>
        </w:rPr>
        <w:t> </w:t>
      </w:r>
      <w:r w:rsidRPr="00662585">
        <w:rPr>
          <w:rStyle w:val="Emphasis"/>
          <w:rFonts w:ascii="Arial" w:hAnsi="Arial" w:cs="Arial"/>
          <w:color w:val="000000" w:themeColor="text1"/>
          <w:sz w:val="24"/>
          <w:szCs w:val="24"/>
          <w:bdr w:val="none" w:sz="0" w:space="0" w:color="auto" w:frame="1"/>
        </w:rPr>
        <w:t>The Oxford Handbook of Virtue</w:t>
      </w:r>
      <w:r w:rsidRPr="00662585">
        <w:rPr>
          <w:rStyle w:val="series-title"/>
          <w:rFonts w:ascii="Arial" w:hAnsi="Arial" w:cs="Arial"/>
          <w:color w:val="000000" w:themeColor="text1"/>
          <w:sz w:val="24"/>
          <w:szCs w:val="24"/>
          <w:bdr w:val="none" w:sz="0" w:space="0" w:color="auto" w:frame="1"/>
        </w:rPr>
        <w:t>, Oxford Handbooks</w:t>
      </w:r>
      <w:r w:rsidRPr="00662585">
        <w:rPr>
          <w:rFonts w:ascii="Arial" w:hAnsi="Arial" w:cs="Arial"/>
          <w:color w:val="000000" w:themeColor="text1"/>
          <w:sz w:val="24"/>
          <w:szCs w:val="24"/>
          <w:shd w:val="clear" w:color="auto" w:fill="FFFFFF"/>
        </w:rPr>
        <w:t>(</w:t>
      </w:r>
      <w:r w:rsidRPr="00662585">
        <w:rPr>
          <w:rStyle w:val="print-publication-date"/>
          <w:rFonts w:ascii="Arial" w:hAnsi="Arial" w:cs="Arial"/>
          <w:color w:val="000000" w:themeColor="text1"/>
          <w:sz w:val="24"/>
          <w:szCs w:val="24"/>
          <w:bdr w:val="none" w:sz="0" w:space="0" w:color="auto" w:frame="1"/>
        </w:rPr>
        <w:t>2018;</w:t>
      </w:r>
      <w:r w:rsidRPr="00662585">
        <w:rPr>
          <w:rStyle w:val="apple-converted-space"/>
          <w:rFonts w:ascii="Arial" w:hAnsi="Arial" w:cs="Arial"/>
          <w:color w:val="000000" w:themeColor="text1"/>
          <w:sz w:val="24"/>
          <w:szCs w:val="24"/>
          <w:bdr w:val="none" w:sz="0" w:space="0" w:color="auto" w:frame="1"/>
        </w:rPr>
        <w:t> </w:t>
      </w:r>
      <w:r w:rsidRPr="00662585">
        <w:rPr>
          <w:rStyle w:val="online-edition"/>
          <w:rFonts w:ascii="Arial" w:hAnsi="Arial" w:cs="Arial"/>
          <w:color w:val="000000" w:themeColor="text1"/>
          <w:sz w:val="24"/>
          <w:szCs w:val="24"/>
          <w:bdr w:val="none" w:sz="0" w:space="0" w:color="auto" w:frame="1"/>
        </w:rPr>
        <w:t>online edn,</w:t>
      </w:r>
      <w:r w:rsidRPr="00662585">
        <w:rPr>
          <w:rStyle w:val="apple-converted-space"/>
          <w:rFonts w:ascii="Arial" w:hAnsi="Arial" w:cs="Arial"/>
          <w:color w:val="000000" w:themeColor="text1"/>
          <w:sz w:val="24"/>
          <w:szCs w:val="24"/>
          <w:bdr w:val="none" w:sz="0" w:space="0" w:color="auto" w:frame="1"/>
        </w:rPr>
        <w:t> </w:t>
      </w:r>
      <w:r w:rsidRPr="00662585">
        <w:rPr>
          <w:rStyle w:val="containing-site"/>
          <w:rFonts w:ascii="Arial" w:hAnsi="Arial" w:cs="Arial"/>
          <w:color w:val="000000" w:themeColor="text1"/>
          <w:sz w:val="24"/>
          <w:szCs w:val="24"/>
          <w:bdr w:val="none" w:sz="0" w:space="0" w:color="auto" w:frame="1"/>
        </w:rPr>
        <w:t>Oxford Academic</w:t>
      </w:r>
      <w:r w:rsidRPr="00662585">
        <w:rPr>
          <w:rStyle w:val="online-publication-date"/>
          <w:rFonts w:ascii="Arial" w:hAnsi="Arial" w:cs="Arial"/>
          <w:color w:val="000000" w:themeColor="text1"/>
          <w:sz w:val="24"/>
          <w:szCs w:val="24"/>
          <w:bdr w:val="none" w:sz="0" w:space="0" w:color="auto" w:frame="1"/>
        </w:rPr>
        <w:t>, 6 Dec. 2017</w:t>
      </w:r>
      <w:r w:rsidRPr="00662585">
        <w:rPr>
          <w:rFonts w:ascii="Arial" w:hAnsi="Arial" w:cs="Arial"/>
          <w:color w:val="000000" w:themeColor="text1"/>
          <w:sz w:val="24"/>
          <w:szCs w:val="24"/>
          <w:shd w:val="clear" w:color="auto" w:fill="FFFFFF"/>
        </w:rPr>
        <w:t>),</w:t>
      </w:r>
      <w:r w:rsidRPr="00662585">
        <w:rPr>
          <w:rStyle w:val="apple-converted-space"/>
          <w:rFonts w:ascii="Arial" w:hAnsi="Arial" w:cs="Arial"/>
          <w:color w:val="000000" w:themeColor="text1"/>
          <w:sz w:val="24"/>
          <w:szCs w:val="24"/>
          <w:shd w:val="clear" w:color="auto" w:fill="FFFFFF"/>
        </w:rPr>
        <w:t> </w:t>
      </w:r>
      <w:r w:rsidRPr="00662585">
        <w:rPr>
          <w:rFonts w:ascii="Arial" w:hAnsi="Arial" w:cs="Arial"/>
          <w:color w:val="000000" w:themeColor="text1"/>
          <w:sz w:val="24"/>
          <w:szCs w:val="24"/>
          <w:bdr w:val="none" w:sz="0" w:space="0" w:color="auto" w:frame="1"/>
        </w:rPr>
        <w:t>https://doi.org/10.1093/oxfordhb/9780199385195.013.27</w:t>
      </w:r>
      <w:r w:rsidRPr="00662585">
        <w:rPr>
          <w:rFonts w:ascii="Arial" w:hAnsi="Arial" w:cs="Arial"/>
          <w:color w:val="000000" w:themeColor="text1"/>
          <w:sz w:val="24"/>
          <w:szCs w:val="24"/>
          <w:shd w:val="clear" w:color="auto" w:fill="FFFFFF"/>
        </w:rPr>
        <w:t>,</w:t>
      </w:r>
      <w:r w:rsidRPr="00662585">
        <w:rPr>
          <w:rStyle w:val="apple-converted-space"/>
          <w:rFonts w:ascii="Arial" w:hAnsi="Arial" w:cs="Arial"/>
          <w:color w:val="000000" w:themeColor="text1"/>
          <w:sz w:val="24"/>
          <w:szCs w:val="24"/>
          <w:shd w:val="clear" w:color="auto" w:fill="FFFFFF"/>
        </w:rPr>
        <w:t> </w:t>
      </w:r>
      <w:r w:rsidRPr="00662585">
        <w:rPr>
          <w:rStyle w:val="accessed-date"/>
          <w:rFonts w:ascii="Arial" w:hAnsi="Arial" w:cs="Arial"/>
          <w:color w:val="000000" w:themeColor="text1"/>
          <w:sz w:val="24"/>
          <w:szCs w:val="24"/>
          <w:bdr w:val="none" w:sz="0" w:space="0" w:color="auto" w:frame="1"/>
        </w:rPr>
        <w:t>accessed 26 Apr. 2026.</w:t>
      </w:r>
      <w:r w:rsidRPr="00662585">
        <w:rPr>
          <w:rFonts w:ascii="Arial" w:eastAsia="Times New Roman" w:hAnsi="Arial" w:cs="Arial"/>
          <w:color w:val="000000" w:themeColor="text1"/>
          <w:kern w:val="0"/>
          <w:sz w:val="24"/>
          <w:szCs w:val="24"/>
          <w:lang w:eastAsia="en-GB"/>
          <w14:ligatures w14:val="none"/>
        </w:rPr>
        <w:t xml:space="preserve"> </w:t>
      </w:r>
    </w:p>
    <w:p w14:paraId="5F1C3356" w14:textId="77777777" w:rsidR="00B22BBD" w:rsidRPr="00662585" w:rsidRDefault="00B22BBD" w:rsidP="00B22BBD">
      <w:pPr>
        <w:spacing w:line="360" w:lineRule="auto"/>
        <w:jc w:val="both"/>
        <w:rPr>
          <w:rFonts w:ascii="Arial" w:hAnsi="Arial" w:cs="Arial"/>
          <w:color w:val="000000" w:themeColor="text1"/>
        </w:rPr>
      </w:pPr>
    </w:p>
    <w:p w14:paraId="57EA4847"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Louden R 1997 (1984) On Some Vices of Virtue Ethics in Virtue Ethics ed. Statman 180 -93</w:t>
      </w:r>
    </w:p>
    <w:p w14:paraId="51E3A40F" w14:textId="77777777" w:rsidR="00B22BBD" w:rsidRDefault="00B22BBD" w:rsidP="00B22BBD">
      <w:pPr>
        <w:spacing w:line="360" w:lineRule="auto"/>
        <w:jc w:val="both"/>
        <w:rPr>
          <w:rFonts w:ascii="Arial" w:hAnsi="Arial" w:cs="Arial"/>
          <w:color w:val="000000" w:themeColor="text1"/>
        </w:rPr>
      </w:pPr>
    </w:p>
    <w:p w14:paraId="2519AC3E"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Louden, Robert, 1990, “Virtue Ethics and Anti-Theory,” Philosophia, 20(1–2): 93–114.  </w:t>
      </w:r>
    </w:p>
    <w:p w14:paraId="64F1835D" w14:textId="77777777" w:rsidR="00B22BBD" w:rsidRDefault="00B22BBD" w:rsidP="00B22BBD">
      <w:pPr>
        <w:spacing w:line="360" w:lineRule="auto"/>
        <w:jc w:val="both"/>
        <w:rPr>
          <w:rStyle w:val="contributors"/>
          <w:rFonts w:ascii="Arial" w:hAnsi="Arial" w:cs="Arial"/>
          <w:color w:val="000000" w:themeColor="text1"/>
          <w:bdr w:val="none" w:sz="0" w:space="0" w:color="auto" w:frame="1"/>
          <w:shd w:val="clear" w:color="auto" w:fill="FFFFFF"/>
        </w:rPr>
      </w:pPr>
    </w:p>
    <w:p w14:paraId="20497382" w14:textId="77777777" w:rsidR="00B22BBD" w:rsidRDefault="00B22BBD" w:rsidP="00B22BBD">
      <w:pPr>
        <w:spacing w:line="360" w:lineRule="auto"/>
        <w:jc w:val="both"/>
        <w:rPr>
          <w:rStyle w:val="accessed-date"/>
          <w:rFonts w:ascii="Arial" w:hAnsi="Arial" w:cs="Arial"/>
          <w:color w:val="000000" w:themeColor="text1"/>
          <w:bdr w:val="none" w:sz="0" w:space="0" w:color="auto" w:frame="1"/>
          <w:shd w:val="clear" w:color="auto" w:fill="FFFFFF"/>
        </w:rPr>
      </w:pPr>
      <w:r w:rsidRPr="00662585">
        <w:rPr>
          <w:rStyle w:val="contributors"/>
          <w:rFonts w:ascii="Arial" w:hAnsi="Arial" w:cs="Arial"/>
          <w:color w:val="000000" w:themeColor="text1"/>
          <w:bdr w:val="none" w:sz="0" w:space="0" w:color="auto" w:frame="1"/>
          <w:shd w:val="clear" w:color="auto" w:fill="FFFFFF"/>
        </w:rPr>
        <w:t>Louden, Robert B., </w:t>
      </w:r>
      <w:r w:rsidRPr="00662585">
        <w:rPr>
          <w:rStyle w:val="Emphasis"/>
          <w:rFonts w:ascii="Arial" w:hAnsi="Arial" w:cs="Arial"/>
          <w:color w:val="000000" w:themeColor="text1"/>
          <w:bdr w:val="none" w:sz="0" w:space="0" w:color="auto" w:frame="1"/>
          <w:shd w:val="clear" w:color="auto" w:fill="FFFFFF"/>
        </w:rPr>
        <w:t>Morality and Moral Theory: A Reappraisal and Reaffirmation</w:t>
      </w:r>
      <w:r w:rsidRPr="00662585">
        <w:rPr>
          <w:rFonts w:ascii="Arial" w:hAnsi="Arial" w:cs="Arial"/>
          <w:color w:val="000000" w:themeColor="text1"/>
          <w:shd w:val="clear" w:color="auto" w:fill="FFFFFF"/>
        </w:rPr>
        <w:t> (</w:t>
      </w:r>
      <w:r w:rsidRPr="00662585">
        <w:rPr>
          <w:rStyle w:val="publisher-location"/>
          <w:rFonts w:ascii="Arial" w:hAnsi="Arial" w:cs="Arial"/>
          <w:color w:val="000000" w:themeColor="text1"/>
          <w:bdr w:val="none" w:sz="0" w:space="0" w:color="auto" w:frame="1"/>
          <w:shd w:val="clear" w:color="auto" w:fill="FFFFFF"/>
        </w:rPr>
        <w:t>New York, </w:t>
      </w:r>
      <w:r w:rsidRPr="00662585">
        <w:rPr>
          <w:rStyle w:val="print-publication-date"/>
          <w:rFonts w:ascii="Arial" w:hAnsi="Arial" w:cs="Arial"/>
          <w:color w:val="000000" w:themeColor="text1"/>
          <w:bdr w:val="none" w:sz="0" w:space="0" w:color="auto" w:frame="1"/>
          <w:shd w:val="clear" w:color="auto" w:fill="FFFFFF"/>
        </w:rPr>
        <w:t>1992; </w:t>
      </w:r>
      <w:r w:rsidRPr="00662585">
        <w:rPr>
          <w:rStyle w:val="online-edition"/>
          <w:rFonts w:ascii="Arial" w:hAnsi="Arial" w:cs="Arial"/>
          <w:color w:val="000000" w:themeColor="text1"/>
          <w:bdr w:val="none" w:sz="0" w:space="0" w:color="auto" w:frame="1"/>
          <w:shd w:val="clear" w:color="auto" w:fill="FFFFFF"/>
        </w:rPr>
        <w:t>online edn, </w:t>
      </w:r>
      <w:r w:rsidRPr="00662585">
        <w:rPr>
          <w:rStyle w:val="containing-site"/>
          <w:rFonts w:ascii="Arial" w:hAnsi="Arial" w:cs="Arial"/>
          <w:color w:val="000000" w:themeColor="text1"/>
          <w:bdr w:val="none" w:sz="0" w:space="0" w:color="auto" w:frame="1"/>
          <w:shd w:val="clear" w:color="auto" w:fill="FFFFFF"/>
        </w:rPr>
        <w:t>Oxford Academic</w:t>
      </w:r>
      <w:r w:rsidRPr="00662585">
        <w:rPr>
          <w:rStyle w:val="online-publication-date"/>
          <w:rFonts w:ascii="Arial" w:hAnsi="Arial" w:cs="Arial"/>
          <w:color w:val="000000" w:themeColor="text1"/>
          <w:bdr w:val="none" w:sz="0" w:space="0" w:color="auto" w:frame="1"/>
          <w:shd w:val="clear" w:color="auto" w:fill="FFFFFF"/>
        </w:rPr>
        <w:t>, 3 Oct. 2011</w:t>
      </w:r>
      <w:r w:rsidRPr="00662585">
        <w:rPr>
          <w:rFonts w:ascii="Arial" w:hAnsi="Arial" w:cs="Arial"/>
          <w:color w:val="000000" w:themeColor="text1"/>
          <w:shd w:val="clear" w:color="auto" w:fill="FFFFFF"/>
        </w:rPr>
        <w:t>), </w:t>
      </w:r>
      <w:hyperlink r:id="rId8" w:history="1">
        <w:r w:rsidRPr="00662585">
          <w:rPr>
            <w:rStyle w:val="Hyperlink"/>
            <w:rFonts w:ascii="Arial" w:hAnsi="Arial" w:cs="Arial"/>
            <w:color w:val="000000" w:themeColor="text1"/>
            <w:bdr w:val="none" w:sz="0" w:space="0" w:color="auto" w:frame="1"/>
            <w:shd w:val="clear" w:color="auto" w:fill="FFFFFF"/>
          </w:rPr>
          <w:t>https://doi-org.uwtsd.idm.oclc.org/10.1093/acprof:oso/9780195072921.001.0001</w:t>
        </w:r>
      </w:hyperlink>
      <w:r w:rsidRPr="00662585">
        <w:rPr>
          <w:rFonts w:ascii="Arial" w:hAnsi="Arial" w:cs="Arial"/>
          <w:color w:val="000000" w:themeColor="text1"/>
          <w:shd w:val="clear" w:color="auto" w:fill="FFFFFF"/>
        </w:rPr>
        <w:t>, </w:t>
      </w:r>
      <w:r w:rsidRPr="00662585">
        <w:rPr>
          <w:rStyle w:val="accessed-date"/>
          <w:rFonts w:ascii="Arial" w:hAnsi="Arial" w:cs="Arial"/>
          <w:color w:val="000000" w:themeColor="text1"/>
          <w:bdr w:val="none" w:sz="0" w:space="0" w:color="auto" w:frame="1"/>
          <w:shd w:val="clear" w:color="auto" w:fill="FFFFFF"/>
        </w:rPr>
        <w:t>accessed 5 Mar. 2026.</w:t>
      </w:r>
    </w:p>
    <w:p w14:paraId="3CE10B35" w14:textId="77777777" w:rsidR="00B22BBD" w:rsidRPr="00662585" w:rsidRDefault="00B22BBD" w:rsidP="00B22BBD">
      <w:pPr>
        <w:spacing w:line="360" w:lineRule="auto"/>
        <w:jc w:val="both"/>
        <w:rPr>
          <w:rStyle w:val="accessed-date"/>
          <w:rFonts w:ascii="Arial" w:hAnsi="Arial" w:cs="Arial"/>
          <w:color w:val="000000" w:themeColor="text1"/>
          <w:bdr w:val="none" w:sz="0" w:space="0" w:color="auto" w:frame="1"/>
          <w:shd w:val="clear" w:color="auto" w:fill="FFFFFF"/>
        </w:rPr>
      </w:pPr>
    </w:p>
    <w:p w14:paraId="2077C6F3"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MacIntyre, A. ‘Does Applied Ethics Rest on A Mistake’, </w:t>
      </w:r>
      <w:r w:rsidRPr="00662585">
        <w:rPr>
          <w:rFonts w:ascii="Arial" w:hAnsi="Arial" w:cs="Arial"/>
          <w:i/>
          <w:iCs/>
          <w:color w:val="000000" w:themeColor="text1"/>
        </w:rPr>
        <w:t>The Monist</w:t>
      </w:r>
      <w:r w:rsidRPr="00662585">
        <w:rPr>
          <w:rFonts w:ascii="Arial" w:hAnsi="Arial" w:cs="Arial"/>
          <w:color w:val="000000" w:themeColor="text1"/>
        </w:rPr>
        <w:t xml:space="preserve"> (1984) Vol.67 No.4, 498 – 513. </w:t>
      </w:r>
    </w:p>
    <w:p w14:paraId="2E1811D3" w14:textId="77777777" w:rsidR="00B22BBD" w:rsidRDefault="00B22BBD" w:rsidP="00B22BBD">
      <w:pPr>
        <w:spacing w:line="360" w:lineRule="auto"/>
        <w:jc w:val="both"/>
        <w:rPr>
          <w:rFonts w:ascii="Arial" w:hAnsi="Arial" w:cs="Arial"/>
          <w:color w:val="000000" w:themeColor="text1"/>
        </w:rPr>
      </w:pPr>
    </w:p>
    <w:p w14:paraId="6C70924F"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Murdoch, I.  ‘The Sovereignty of Good over Other Concepts’ in R. Crisp and M. Slote (eds.) (1997) </w:t>
      </w:r>
      <w:r w:rsidRPr="00662585">
        <w:rPr>
          <w:rFonts w:ascii="Arial" w:hAnsi="Arial" w:cs="Arial"/>
          <w:i/>
          <w:iCs/>
          <w:color w:val="000000" w:themeColor="text1"/>
        </w:rPr>
        <w:t xml:space="preserve">Virtue </w:t>
      </w:r>
      <w:r w:rsidRPr="00662585">
        <w:rPr>
          <w:rFonts w:ascii="Arial" w:hAnsi="Arial" w:cs="Arial"/>
          <w:color w:val="000000" w:themeColor="text1"/>
        </w:rPr>
        <w:t>Ethics: Oxford Readings in Philosophy (Oxford: OUP, 1997) 99 – 117.</w:t>
      </w:r>
    </w:p>
    <w:p w14:paraId="35A9C58E" w14:textId="77777777" w:rsidR="00B22BBD" w:rsidRPr="00662585" w:rsidRDefault="00B22BBD" w:rsidP="00B22BBD">
      <w:pPr>
        <w:spacing w:line="360" w:lineRule="auto"/>
        <w:jc w:val="both"/>
        <w:rPr>
          <w:rFonts w:ascii="Arial" w:hAnsi="Arial" w:cs="Arial"/>
          <w:color w:val="000000" w:themeColor="text1"/>
        </w:rPr>
      </w:pPr>
    </w:p>
    <w:p w14:paraId="4D0C9ECB"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Nicolaides, A. &amp; S.Vettori ‘The Duty of Lawyers:  Virtue Ethics and Pursuing a Hopeless Legal Case’  </w:t>
      </w:r>
      <w:r w:rsidRPr="00662585">
        <w:rPr>
          <w:rFonts w:ascii="Arial" w:hAnsi="Arial" w:cs="Arial"/>
          <w:i/>
          <w:iCs/>
          <w:color w:val="000000" w:themeColor="text1"/>
        </w:rPr>
        <w:t>Athens Journal of Law</w:t>
      </w:r>
      <w:r w:rsidRPr="00662585">
        <w:rPr>
          <w:rFonts w:ascii="Arial" w:hAnsi="Arial" w:cs="Arial"/>
          <w:color w:val="000000" w:themeColor="text1"/>
        </w:rPr>
        <w:t xml:space="preserve">  (2019) Volume 5, Issue 2, 149-164. </w:t>
      </w:r>
    </w:p>
    <w:p w14:paraId="7834B326" w14:textId="77777777" w:rsidR="00B22BBD" w:rsidRPr="00662585" w:rsidRDefault="00B22BBD" w:rsidP="00B22BBD">
      <w:pPr>
        <w:spacing w:line="360" w:lineRule="auto"/>
        <w:jc w:val="both"/>
        <w:rPr>
          <w:rFonts w:ascii="Arial" w:hAnsi="Arial" w:cs="Arial"/>
          <w:color w:val="000000" w:themeColor="text1"/>
        </w:rPr>
      </w:pPr>
    </w:p>
    <w:p w14:paraId="18C9BE1B"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lastRenderedPageBreak/>
        <w:t>Oakley, J. and D. Cocking. Virtue Ethics and Professional Roles (Cambridge: Cambridge University Press, 2001).</w:t>
      </w:r>
    </w:p>
    <w:p w14:paraId="0E8ECAAF" w14:textId="77777777" w:rsidR="00B22BBD" w:rsidRPr="00662585" w:rsidRDefault="00B22BBD" w:rsidP="00B22BBD">
      <w:pPr>
        <w:spacing w:line="360" w:lineRule="auto"/>
        <w:jc w:val="both"/>
        <w:rPr>
          <w:rFonts w:ascii="Arial" w:hAnsi="Arial" w:cs="Arial"/>
          <w:color w:val="000000" w:themeColor="text1"/>
        </w:rPr>
      </w:pPr>
    </w:p>
    <w:p w14:paraId="170249E2" w14:textId="77777777" w:rsidR="00B22BBD" w:rsidRPr="00662585" w:rsidRDefault="00B22BBD" w:rsidP="00B22BBD">
      <w:pPr>
        <w:spacing w:line="360" w:lineRule="auto"/>
        <w:jc w:val="both"/>
        <w:rPr>
          <w:rFonts w:ascii="Arial" w:hAnsi="Arial" w:cs="Arial"/>
          <w:i/>
          <w:iCs/>
          <w:color w:val="000000" w:themeColor="text1"/>
        </w:rPr>
      </w:pPr>
      <w:r w:rsidRPr="00662585">
        <w:rPr>
          <w:rFonts w:ascii="Arial" w:hAnsi="Arial" w:cs="Arial"/>
          <w:color w:val="000000" w:themeColor="text1"/>
        </w:rPr>
        <w:t>Oakley, J. ‘Virtue Ethics and Bioethics’ in Russell (2013) 197 – 220</w:t>
      </w:r>
    </w:p>
    <w:p w14:paraId="4DD92051" w14:textId="77777777" w:rsidR="00B22BBD" w:rsidRPr="00662585" w:rsidRDefault="00B22BBD" w:rsidP="00B22BBD">
      <w:pPr>
        <w:spacing w:line="360" w:lineRule="auto"/>
        <w:jc w:val="both"/>
        <w:rPr>
          <w:rFonts w:ascii="Arial" w:hAnsi="Arial" w:cs="Arial"/>
          <w:color w:val="000000" w:themeColor="text1"/>
        </w:rPr>
      </w:pPr>
    </w:p>
    <w:p w14:paraId="1DB9ACA1" w14:textId="77777777" w:rsidR="00B22BBD" w:rsidRDefault="00B22BBD" w:rsidP="00B22BBD">
      <w:pPr>
        <w:spacing w:line="360" w:lineRule="auto"/>
        <w:jc w:val="both"/>
        <w:rPr>
          <w:rFonts w:ascii="Arial" w:hAnsi="Arial" w:cs="Arial"/>
          <w:color w:val="000000" w:themeColor="text1"/>
          <w:shd w:val="clear" w:color="auto" w:fill="FFFFFF"/>
        </w:rPr>
      </w:pPr>
      <w:r w:rsidRPr="00662585">
        <w:rPr>
          <w:rFonts w:ascii="Arial" w:hAnsi="Arial" w:cs="Arial"/>
          <w:color w:val="000000" w:themeColor="text1"/>
        </w:rPr>
        <w:t xml:space="preserve">Pettigrove, G,  </w:t>
      </w:r>
      <w:r w:rsidRPr="00662585">
        <w:rPr>
          <w:rFonts w:ascii="Arial" w:hAnsi="Arial" w:cs="Arial"/>
          <w:color w:val="000000" w:themeColor="text1"/>
          <w:kern w:val="36"/>
        </w:rPr>
        <w:fldChar w:fldCharType="begin"/>
      </w:r>
      <w:r w:rsidRPr="00662585">
        <w:rPr>
          <w:rFonts w:ascii="Arial" w:hAnsi="Arial" w:cs="Arial"/>
          <w:color w:val="000000" w:themeColor="text1"/>
          <w:kern w:val="36"/>
        </w:rPr>
        <w:instrText>HYPERLINK "https://philpapers.org/go.pl?id=PETIVE&amp;proxyId=&amp;u=https%3A%2F%2Fdx.doi.org%2F10.1007%2Fs10892-010-9089-4"</w:instrText>
      </w:r>
      <w:r w:rsidRPr="00662585">
        <w:rPr>
          <w:rFonts w:ascii="Arial" w:hAnsi="Arial" w:cs="Arial"/>
          <w:color w:val="000000" w:themeColor="text1"/>
          <w:kern w:val="36"/>
        </w:rPr>
      </w:r>
      <w:r w:rsidRPr="00662585">
        <w:rPr>
          <w:rFonts w:ascii="Arial" w:hAnsi="Arial" w:cs="Arial"/>
          <w:color w:val="000000" w:themeColor="text1"/>
          <w:kern w:val="36"/>
        </w:rPr>
        <w:fldChar w:fldCharType="separate"/>
      </w:r>
      <w:r w:rsidRPr="00662585">
        <w:rPr>
          <w:rFonts w:ascii="Arial" w:hAnsi="Arial" w:cs="Arial"/>
          <w:color w:val="000000" w:themeColor="text1"/>
          <w:kern w:val="36"/>
        </w:rPr>
        <w:t>Is Virtue Ethics Self-Effacing?</w:t>
      </w:r>
      <w:r w:rsidRPr="00662585">
        <w:rPr>
          <w:rFonts w:ascii="Arial" w:hAnsi="Arial" w:cs="Arial"/>
          <w:color w:val="000000" w:themeColor="text1"/>
          <w:kern w:val="36"/>
        </w:rPr>
        <w:fldChar w:fldCharType="end"/>
      </w:r>
      <w:r w:rsidRPr="00662585">
        <w:rPr>
          <w:rFonts w:ascii="Arial" w:hAnsi="Arial" w:cs="Arial"/>
          <w:color w:val="000000" w:themeColor="text1"/>
        </w:rPr>
        <w:t xml:space="preserve"> </w:t>
      </w:r>
      <w:hyperlink r:id="rId9" w:history="1">
        <w:r w:rsidRPr="00662585">
          <w:rPr>
            <w:rStyle w:val="Hyperlink"/>
            <w:rFonts w:ascii="Arial" w:hAnsi="Arial" w:cs="Arial"/>
            <w:i/>
            <w:iCs/>
            <w:color w:val="000000" w:themeColor="text1"/>
            <w:u w:val="none"/>
          </w:rPr>
          <w:t>The Journal of Ethics</w:t>
        </w:r>
      </w:hyperlink>
      <w:r w:rsidRPr="00662585">
        <w:rPr>
          <w:rFonts w:ascii="Arial" w:hAnsi="Arial" w:cs="Arial"/>
          <w:color w:val="000000" w:themeColor="text1"/>
          <w:shd w:val="clear" w:color="auto" w:fill="FFFFFF"/>
        </w:rPr>
        <w:t> (2011) 15 (3):191-207 (2011)</w:t>
      </w:r>
    </w:p>
    <w:p w14:paraId="772050DC" w14:textId="77777777" w:rsidR="00B22BBD" w:rsidRPr="00662585" w:rsidRDefault="00B22BBD" w:rsidP="00B22BBD">
      <w:pPr>
        <w:spacing w:line="360" w:lineRule="auto"/>
        <w:jc w:val="both"/>
        <w:rPr>
          <w:rFonts w:ascii="Arial" w:hAnsi="Arial" w:cs="Arial"/>
          <w:color w:val="000000" w:themeColor="text1"/>
        </w:rPr>
      </w:pPr>
    </w:p>
    <w:p w14:paraId="2DCB06DA"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Pincoffs, E. </w:t>
      </w:r>
      <w:r w:rsidRPr="00662585">
        <w:rPr>
          <w:rFonts w:ascii="Arial" w:hAnsi="Arial" w:cs="Arial"/>
          <w:i/>
          <w:iCs/>
          <w:color w:val="000000" w:themeColor="text1"/>
        </w:rPr>
        <w:t xml:space="preserve">Quandaries and Virtues </w:t>
      </w:r>
      <w:r w:rsidRPr="00662585">
        <w:rPr>
          <w:rFonts w:ascii="Arial" w:hAnsi="Arial" w:cs="Arial"/>
          <w:color w:val="000000" w:themeColor="text1"/>
        </w:rPr>
        <w:t xml:space="preserve">(Lawrence, Kansas: University of Kansas Press, 1986). </w:t>
      </w:r>
    </w:p>
    <w:p w14:paraId="60D2A77E" w14:textId="77777777" w:rsidR="00B22BBD" w:rsidRDefault="00B22BBD" w:rsidP="00B22BBD">
      <w:pPr>
        <w:spacing w:line="360" w:lineRule="auto"/>
        <w:jc w:val="both"/>
        <w:rPr>
          <w:rFonts w:ascii="Arial" w:hAnsi="Arial" w:cs="Arial"/>
          <w:color w:val="000000" w:themeColor="text1"/>
        </w:rPr>
      </w:pPr>
    </w:p>
    <w:p w14:paraId="0C7085DC"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Quinn, A. ‘Moral Virtues for Journalists,’ </w:t>
      </w:r>
      <w:r w:rsidRPr="00662585">
        <w:rPr>
          <w:rFonts w:ascii="Arial" w:hAnsi="Arial" w:cs="Arial"/>
          <w:i/>
          <w:iCs/>
          <w:color w:val="000000" w:themeColor="text1"/>
        </w:rPr>
        <w:t>Journal of Mass Media Ethics</w:t>
      </w:r>
      <w:r w:rsidRPr="00662585">
        <w:rPr>
          <w:rFonts w:ascii="Arial" w:hAnsi="Arial" w:cs="Arial"/>
          <w:color w:val="000000" w:themeColor="text1"/>
        </w:rPr>
        <w:t xml:space="preserve"> (2007), vol. 22, nos. 2–3, 168–186.</w:t>
      </w:r>
    </w:p>
    <w:p w14:paraId="53CC10C7" w14:textId="77777777" w:rsidR="00B22BBD" w:rsidRDefault="00B22BBD" w:rsidP="00B22BBD">
      <w:pPr>
        <w:spacing w:line="360" w:lineRule="auto"/>
        <w:jc w:val="both"/>
        <w:rPr>
          <w:rFonts w:ascii="Arial" w:hAnsi="Arial" w:cs="Arial"/>
          <w:color w:val="000000" w:themeColor="text1"/>
        </w:rPr>
      </w:pPr>
    </w:p>
    <w:p w14:paraId="56AC838D"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Russell, Daniel C.</w:t>
      </w:r>
      <w:r w:rsidRPr="00662585">
        <w:rPr>
          <w:rFonts w:ascii="Arial" w:hAnsi="Arial" w:cs="Arial"/>
          <w:color w:val="000000" w:themeColor="text1"/>
        </w:rPr>
        <w:tab/>
      </w:r>
      <w:r w:rsidRPr="00662585">
        <w:rPr>
          <w:rFonts w:ascii="Arial" w:hAnsi="Arial" w:cs="Arial"/>
          <w:color w:val="000000" w:themeColor="text1"/>
        </w:rPr>
        <w:tab/>
      </w:r>
      <w:r w:rsidRPr="00662585">
        <w:rPr>
          <w:rFonts w:ascii="Arial" w:hAnsi="Arial" w:cs="Arial"/>
          <w:i/>
          <w:iCs/>
          <w:color w:val="000000" w:themeColor="text1"/>
        </w:rPr>
        <w:t xml:space="preserve">Practical Intelligence and the Virtues </w:t>
      </w:r>
      <w:r w:rsidRPr="00662585">
        <w:rPr>
          <w:rFonts w:ascii="Arial" w:hAnsi="Arial" w:cs="Arial"/>
          <w:color w:val="000000" w:themeColor="text1"/>
        </w:rPr>
        <w:t>(Oxford: OUP, 2009)</w:t>
      </w:r>
    </w:p>
    <w:p w14:paraId="333F8939" w14:textId="77777777" w:rsidR="00B22BBD" w:rsidRPr="00662585" w:rsidRDefault="00B22BBD" w:rsidP="00B22BBD">
      <w:pPr>
        <w:spacing w:line="360" w:lineRule="auto"/>
        <w:jc w:val="both"/>
        <w:rPr>
          <w:rFonts w:ascii="Arial" w:hAnsi="Arial" w:cs="Arial"/>
          <w:i/>
          <w:iCs/>
          <w:color w:val="000000" w:themeColor="text1"/>
        </w:rPr>
      </w:pPr>
    </w:p>
    <w:p w14:paraId="278010BF"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Russell, Daniel C. (ed.) </w:t>
      </w:r>
      <w:r w:rsidRPr="00662585">
        <w:rPr>
          <w:rFonts w:ascii="Arial" w:hAnsi="Arial" w:cs="Arial"/>
          <w:i/>
          <w:iCs/>
          <w:color w:val="000000" w:themeColor="text1"/>
        </w:rPr>
        <w:t xml:space="preserve">The Cambridge Companion to Virtue Ethics </w:t>
      </w:r>
      <w:r w:rsidRPr="00662585">
        <w:rPr>
          <w:rFonts w:ascii="Arial" w:hAnsi="Arial" w:cs="Arial"/>
          <w:color w:val="000000" w:themeColor="text1"/>
        </w:rPr>
        <w:t>(Cambridge: CUP, 2013)</w:t>
      </w:r>
    </w:p>
    <w:p w14:paraId="770F3C56" w14:textId="77777777" w:rsidR="00B22BBD" w:rsidRDefault="00B22BBD" w:rsidP="00B22BBD">
      <w:pPr>
        <w:spacing w:line="360" w:lineRule="auto"/>
        <w:jc w:val="both"/>
        <w:rPr>
          <w:rStyle w:val="contributors"/>
          <w:rFonts w:ascii="Arial" w:hAnsi="Arial" w:cs="Arial"/>
          <w:color w:val="000000" w:themeColor="text1"/>
          <w:bdr w:val="none" w:sz="0" w:space="0" w:color="auto" w:frame="1"/>
        </w:rPr>
      </w:pPr>
    </w:p>
    <w:p w14:paraId="1E8A9DFD" w14:textId="77777777" w:rsidR="00B22BBD" w:rsidRPr="00662585" w:rsidRDefault="00B22BBD" w:rsidP="00B22BBD">
      <w:pPr>
        <w:spacing w:line="360" w:lineRule="auto"/>
        <w:jc w:val="both"/>
        <w:rPr>
          <w:rFonts w:ascii="Arial" w:hAnsi="Arial" w:cs="Arial"/>
          <w:color w:val="000000" w:themeColor="text1"/>
        </w:rPr>
      </w:pPr>
      <w:r w:rsidRPr="00662585">
        <w:rPr>
          <w:rStyle w:val="contributors"/>
          <w:rFonts w:ascii="Arial" w:hAnsi="Arial" w:cs="Arial"/>
          <w:color w:val="000000" w:themeColor="text1"/>
          <w:bdr w:val="none" w:sz="0" w:space="0" w:color="auto" w:frame="1"/>
        </w:rPr>
        <w:t>Russell, Daniel C.,</w:t>
      </w:r>
      <w:r w:rsidRPr="00662585">
        <w:rPr>
          <w:rStyle w:val="apple-converted-space"/>
          <w:rFonts w:ascii="Arial" w:hAnsi="Arial" w:cs="Arial"/>
          <w:color w:val="000000" w:themeColor="text1"/>
          <w:bdr w:val="none" w:sz="0" w:space="0" w:color="auto" w:frame="1"/>
        </w:rPr>
        <w:t> </w:t>
      </w:r>
      <w:r w:rsidRPr="00662585">
        <w:rPr>
          <w:rStyle w:val="maintitle"/>
          <w:rFonts w:ascii="Arial" w:hAnsi="Arial" w:cs="Arial"/>
          <w:color w:val="000000" w:themeColor="text1"/>
          <w:bdr w:val="none" w:sz="0" w:space="0" w:color="auto" w:frame="1"/>
        </w:rPr>
        <w:t>'Putting Ideals in Their Place'</w:t>
      </w:r>
      <w:r w:rsidRPr="00662585">
        <w:rPr>
          <w:rFonts w:ascii="Arial" w:hAnsi="Arial" w:cs="Arial"/>
          <w:color w:val="000000" w:themeColor="text1"/>
          <w:shd w:val="clear" w:color="auto" w:fill="FFFFFF"/>
        </w:rPr>
        <w:t>,</w:t>
      </w:r>
      <w:r w:rsidRPr="00662585">
        <w:rPr>
          <w:rStyle w:val="apple-converted-space"/>
          <w:rFonts w:ascii="Arial" w:hAnsi="Arial" w:cs="Arial"/>
          <w:color w:val="000000" w:themeColor="text1"/>
          <w:bdr w:val="none" w:sz="0" w:space="0" w:color="auto" w:frame="1"/>
        </w:rPr>
        <w:t> </w:t>
      </w:r>
      <w:r w:rsidRPr="00662585">
        <w:rPr>
          <w:rStyle w:val="editors"/>
          <w:rFonts w:ascii="Arial" w:hAnsi="Arial" w:cs="Arial"/>
          <w:color w:val="000000" w:themeColor="text1"/>
          <w:bdr w:val="none" w:sz="0" w:space="0" w:color="auto" w:frame="1"/>
        </w:rPr>
        <w:t>in Nancy E. Snow (ed.)</w:t>
      </w:r>
      <w:r w:rsidRPr="00662585">
        <w:rPr>
          <w:rFonts w:ascii="Arial" w:hAnsi="Arial" w:cs="Arial"/>
          <w:color w:val="000000" w:themeColor="text1"/>
          <w:shd w:val="clear" w:color="auto" w:fill="FFFFFF"/>
        </w:rPr>
        <w:t>,</w:t>
      </w:r>
      <w:r w:rsidRPr="00662585">
        <w:rPr>
          <w:rStyle w:val="apple-converted-space"/>
          <w:rFonts w:ascii="Arial" w:hAnsi="Arial" w:cs="Arial"/>
          <w:color w:val="000000" w:themeColor="text1"/>
          <w:shd w:val="clear" w:color="auto" w:fill="FFFFFF"/>
        </w:rPr>
        <w:t> </w:t>
      </w:r>
      <w:r w:rsidRPr="00662585">
        <w:rPr>
          <w:rStyle w:val="Emphasis"/>
          <w:rFonts w:ascii="Arial" w:hAnsi="Arial" w:cs="Arial"/>
          <w:color w:val="000000" w:themeColor="text1"/>
          <w:bdr w:val="none" w:sz="0" w:space="0" w:color="auto" w:frame="1"/>
        </w:rPr>
        <w:t>The Oxford Handbook of Virtue</w:t>
      </w:r>
      <w:r w:rsidRPr="00662585">
        <w:rPr>
          <w:rStyle w:val="series-title"/>
          <w:rFonts w:ascii="Arial" w:hAnsi="Arial" w:cs="Arial"/>
          <w:color w:val="000000" w:themeColor="text1"/>
          <w:bdr w:val="none" w:sz="0" w:space="0" w:color="auto" w:frame="1"/>
        </w:rPr>
        <w:t>, Oxford Handbooks</w:t>
      </w:r>
      <w:r w:rsidRPr="00662585">
        <w:rPr>
          <w:rStyle w:val="apple-converted-space"/>
          <w:rFonts w:ascii="Arial" w:hAnsi="Arial" w:cs="Arial"/>
          <w:color w:val="000000" w:themeColor="text1"/>
          <w:shd w:val="clear" w:color="auto" w:fill="FFFFFF"/>
        </w:rPr>
        <w:t> </w:t>
      </w:r>
      <w:r w:rsidRPr="00662585">
        <w:rPr>
          <w:rFonts w:ascii="Arial" w:hAnsi="Arial" w:cs="Arial"/>
          <w:color w:val="000000" w:themeColor="text1"/>
          <w:shd w:val="clear" w:color="auto" w:fill="FFFFFF"/>
        </w:rPr>
        <w:t>(</w:t>
      </w:r>
      <w:r w:rsidRPr="00662585">
        <w:rPr>
          <w:rStyle w:val="print-publication-date"/>
          <w:rFonts w:ascii="Arial" w:hAnsi="Arial" w:cs="Arial"/>
          <w:color w:val="000000" w:themeColor="text1"/>
          <w:bdr w:val="none" w:sz="0" w:space="0" w:color="auto" w:frame="1"/>
        </w:rPr>
        <w:t>2018;</w:t>
      </w:r>
      <w:r w:rsidRPr="00662585">
        <w:rPr>
          <w:rStyle w:val="apple-converted-space"/>
          <w:rFonts w:ascii="Arial" w:hAnsi="Arial" w:cs="Arial"/>
          <w:color w:val="000000" w:themeColor="text1"/>
          <w:bdr w:val="none" w:sz="0" w:space="0" w:color="auto" w:frame="1"/>
        </w:rPr>
        <w:t> </w:t>
      </w:r>
      <w:r w:rsidRPr="00662585">
        <w:rPr>
          <w:rStyle w:val="online-edition"/>
          <w:rFonts w:ascii="Arial" w:hAnsi="Arial" w:cs="Arial"/>
          <w:color w:val="000000" w:themeColor="text1"/>
          <w:bdr w:val="none" w:sz="0" w:space="0" w:color="auto" w:frame="1"/>
        </w:rPr>
        <w:t>online edn,</w:t>
      </w:r>
      <w:r w:rsidRPr="00662585">
        <w:rPr>
          <w:rStyle w:val="apple-converted-space"/>
          <w:rFonts w:ascii="Arial" w:hAnsi="Arial" w:cs="Arial"/>
          <w:color w:val="000000" w:themeColor="text1"/>
          <w:bdr w:val="none" w:sz="0" w:space="0" w:color="auto" w:frame="1"/>
        </w:rPr>
        <w:t> </w:t>
      </w:r>
      <w:r w:rsidRPr="00662585">
        <w:rPr>
          <w:rStyle w:val="containing-site"/>
          <w:rFonts w:ascii="Arial" w:hAnsi="Arial" w:cs="Arial"/>
          <w:color w:val="000000" w:themeColor="text1"/>
          <w:bdr w:val="none" w:sz="0" w:space="0" w:color="auto" w:frame="1"/>
        </w:rPr>
        <w:t>Oxford Academic</w:t>
      </w:r>
      <w:r w:rsidRPr="00662585">
        <w:rPr>
          <w:rStyle w:val="online-publication-date"/>
          <w:rFonts w:ascii="Arial" w:hAnsi="Arial" w:cs="Arial"/>
          <w:color w:val="000000" w:themeColor="text1"/>
          <w:bdr w:val="none" w:sz="0" w:space="0" w:color="auto" w:frame="1"/>
        </w:rPr>
        <w:t>, 6 Dec. 2017</w:t>
      </w:r>
      <w:r w:rsidRPr="00662585">
        <w:rPr>
          <w:rFonts w:ascii="Arial" w:hAnsi="Arial" w:cs="Arial"/>
          <w:color w:val="000000" w:themeColor="text1"/>
          <w:shd w:val="clear" w:color="auto" w:fill="FFFFFF"/>
        </w:rPr>
        <w:t>),</w:t>
      </w:r>
      <w:r w:rsidRPr="00662585">
        <w:rPr>
          <w:rStyle w:val="apple-converted-space"/>
          <w:rFonts w:ascii="Arial" w:hAnsi="Arial" w:cs="Arial"/>
          <w:color w:val="000000" w:themeColor="text1"/>
          <w:shd w:val="clear" w:color="auto" w:fill="FFFFFF"/>
        </w:rPr>
        <w:t> </w:t>
      </w:r>
      <w:hyperlink r:id="rId10" w:history="1">
        <w:r w:rsidRPr="00662585">
          <w:rPr>
            <w:rStyle w:val="Hyperlink"/>
            <w:rFonts w:ascii="Arial" w:hAnsi="Arial" w:cs="Arial"/>
            <w:color w:val="000000" w:themeColor="text1"/>
            <w:u w:val="none"/>
            <w:bdr w:val="none" w:sz="0" w:space="0" w:color="auto" w:frame="1"/>
          </w:rPr>
          <w:t>https://doi.org/10.1093/oxfordhb/9780199385195.013.48</w:t>
        </w:r>
      </w:hyperlink>
      <w:r w:rsidRPr="00662585">
        <w:rPr>
          <w:rFonts w:ascii="Arial" w:hAnsi="Arial" w:cs="Arial"/>
          <w:color w:val="000000" w:themeColor="text1"/>
          <w:shd w:val="clear" w:color="auto" w:fill="FFFFFF"/>
        </w:rPr>
        <w:t>,</w:t>
      </w:r>
      <w:r w:rsidRPr="00662585">
        <w:rPr>
          <w:rStyle w:val="apple-converted-space"/>
          <w:rFonts w:ascii="Arial" w:hAnsi="Arial" w:cs="Arial"/>
          <w:color w:val="000000" w:themeColor="text1"/>
          <w:shd w:val="clear" w:color="auto" w:fill="FFFFFF"/>
        </w:rPr>
        <w:t> </w:t>
      </w:r>
      <w:r w:rsidRPr="00662585">
        <w:rPr>
          <w:rStyle w:val="accessed-date"/>
          <w:rFonts w:ascii="Arial" w:hAnsi="Arial" w:cs="Arial"/>
          <w:color w:val="000000" w:themeColor="text1"/>
          <w:bdr w:val="none" w:sz="0" w:space="0" w:color="auto" w:frame="1"/>
        </w:rPr>
        <w:t>accessed 26 Apr. 2026.</w:t>
      </w:r>
    </w:p>
    <w:p w14:paraId="46DBB838" w14:textId="77777777" w:rsidR="00B22BBD" w:rsidRPr="009F74E9" w:rsidRDefault="00B22BBD" w:rsidP="00B22BBD">
      <w:pPr>
        <w:spacing w:line="360" w:lineRule="auto"/>
        <w:jc w:val="both"/>
        <w:rPr>
          <w:rFonts w:ascii="Arial" w:hAnsi="Arial" w:cs="Arial"/>
          <w:color w:val="000000" w:themeColor="text1"/>
        </w:rPr>
      </w:pPr>
      <w:r w:rsidRPr="009F74E9">
        <w:rPr>
          <w:rFonts w:ascii="Arial" w:hAnsi="Arial" w:cs="Arial"/>
          <w:color w:val="000000" w:themeColor="text1"/>
        </w:rPr>
        <w:t xml:space="preserve">Schneewind, J.B., ‘The Misfortunes of Virtue’, </w:t>
      </w:r>
      <w:r w:rsidRPr="009F74E9">
        <w:rPr>
          <w:rFonts w:ascii="Arial" w:hAnsi="Arial" w:cs="Arial"/>
          <w:i/>
          <w:iCs/>
          <w:color w:val="000000" w:themeColor="text1"/>
        </w:rPr>
        <w:t xml:space="preserve">Ethics </w:t>
      </w:r>
      <w:r w:rsidRPr="009F74E9">
        <w:rPr>
          <w:rFonts w:ascii="Arial" w:hAnsi="Arial" w:cs="Arial"/>
          <w:color w:val="000000" w:themeColor="text1"/>
        </w:rPr>
        <w:t xml:space="preserve">101 (1990): 42 – 63.   </w:t>
      </w:r>
    </w:p>
    <w:p w14:paraId="763716DB" w14:textId="77777777" w:rsidR="00B22BBD" w:rsidRPr="00662585" w:rsidRDefault="00B22BBD" w:rsidP="00B22BBD">
      <w:pPr>
        <w:spacing w:line="360" w:lineRule="auto"/>
        <w:jc w:val="both"/>
        <w:rPr>
          <w:rFonts w:ascii="Arial" w:hAnsi="Arial" w:cs="Arial"/>
          <w:color w:val="000000" w:themeColor="text1"/>
          <w:shd w:val="clear" w:color="auto" w:fill="FFFFFF"/>
        </w:rPr>
      </w:pPr>
    </w:p>
    <w:p w14:paraId="3A74B995"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shd w:val="clear" w:color="auto" w:fill="FFFFFF"/>
        </w:rPr>
        <w:t xml:space="preserve">Schuster, N. ‘The Skill Model: A Dilemma for Virtue Ethics’ </w:t>
      </w:r>
      <w:r w:rsidRPr="00662585">
        <w:rPr>
          <w:rFonts w:ascii="Arial" w:hAnsi="Arial" w:cs="Arial"/>
          <w:i/>
          <w:iCs/>
          <w:color w:val="000000" w:themeColor="text1"/>
          <w:shd w:val="clear" w:color="auto" w:fill="FFFFFF"/>
        </w:rPr>
        <w:t xml:space="preserve">Ethical Theory Moral Practice </w:t>
      </w:r>
      <w:r w:rsidRPr="00662585">
        <w:rPr>
          <w:rFonts w:ascii="Arial" w:hAnsi="Arial" w:cs="Arial"/>
          <w:color w:val="000000" w:themeColor="text1"/>
          <w:shd w:val="clear" w:color="auto" w:fill="FFFFFF"/>
        </w:rPr>
        <w:t>(2023) </w:t>
      </w:r>
      <w:r w:rsidRPr="00662585">
        <w:rPr>
          <w:rFonts w:ascii="Arial" w:hAnsi="Arial" w:cs="Arial"/>
          <w:b/>
          <w:bCs/>
          <w:color w:val="000000" w:themeColor="text1"/>
          <w:shd w:val="clear" w:color="auto" w:fill="FFFFFF"/>
        </w:rPr>
        <w:t>26</w:t>
      </w:r>
      <w:r w:rsidRPr="00662585">
        <w:rPr>
          <w:rFonts w:ascii="Arial" w:hAnsi="Arial" w:cs="Arial"/>
          <w:color w:val="000000" w:themeColor="text1"/>
          <w:shd w:val="clear" w:color="auto" w:fill="FFFFFF"/>
        </w:rPr>
        <w:t>, 447–461. https://doi.org/10.1007/s10677-023-10380-6</w:t>
      </w:r>
    </w:p>
    <w:p w14:paraId="2B0063DE" w14:textId="77777777" w:rsidR="00B22BBD" w:rsidRPr="00662585" w:rsidRDefault="00B22BBD" w:rsidP="00B22BBD">
      <w:pPr>
        <w:spacing w:line="360" w:lineRule="auto"/>
        <w:jc w:val="both"/>
        <w:rPr>
          <w:rFonts w:ascii="Arial" w:hAnsi="Arial" w:cs="Arial"/>
          <w:color w:val="000000" w:themeColor="text1"/>
          <w:shd w:val="clear" w:color="auto" w:fill="FFFFFF"/>
        </w:rPr>
      </w:pPr>
    </w:p>
    <w:p w14:paraId="49041437" w14:textId="77777777" w:rsidR="00B22BBD" w:rsidRPr="00662585" w:rsidRDefault="00B22BBD" w:rsidP="00B22BBD">
      <w:pPr>
        <w:spacing w:line="360" w:lineRule="auto"/>
        <w:jc w:val="both"/>
        <w:rPr>
          <w:rFonts w:ascii="Arial" w:hAnsi="Arial" w:cs="Arial"/>
          <w:color w:val="000000" w:themeColor="text1"/>
          <w:shd w:val="clear" w:color="auto" w:fill="FFFFFF"/>
        </w:rPr>
      </w:pPr>
      <w:r w:rsidRPr="00662585">
        <w:rPr>
          <w:rFonts w:ascii="Arial" w:hAnsi="Arial" w:cs="Arial"/>
          <w:color w:val="000000" w:themeColor="text1"/>
          <w:shd w:val="clear" w:color="auto" w:fill="FFFFFF"/>
        </w:rPr>
        <w:t xml:space="preserve">Sison, A.  (ed.) mHandbook of Virtue Ethics in Business and Management. (Springer, Dordrecht; 2013 to date). </w:t>
      </w:r>
      <w:hyperlink r:id="rId11" w:history="1">
        <w:r w:rsidRPr="00662585">
          <w:rPr>
            <w:rStyle w:val="Hyperlink"/>
            <w:rFonts w:ascii="Arial" w:hAnsi="Arial" w:cs="Arial"/>
            <w:color w:val="000000" w:themeColor="text1"/>
            <w:shd w:val="clear" w:color="auto" w:fill="FFFFFF"/>
          </w:rPr>
          <w:t>https://doi.org/10.1007/978-94-007-672</w:t>
        </w:r>
        <w:r w:rsidRPr="00662585">
          <w:rPr>
            <w:rStyle w:val="Hyperlink"/>
            <w:rFonts w:ascii="Arial" w:hAnsi="Arial" w:cs="Arial"/>
            <w:color w:val="000000" w:themeColor="text1"/>
            <w:shd w:val="clear" w:color="auto" w:fill="FFFFFF"/>
          </w:rPr>
          <w:t>9</w:t>
        </w:r>
        <w:r w:rsidRPr="00662585">
          <w:rPr>
            <w:rStyle w:val="Hyperlink"/>
            <w:rFonts w:ascii="Arial" w:hAnsi="Arial" w:cs="Arial"/>
            <w:color w:val="000000" w:themeColor="text1"/>
            <w:shd w:val="clear" w:color="auto" w:fill="FFFFFF"/>
          </w:rPr>
          <w:t>-4_41-1</w:t>
        </w:r>
      </w:hyperlink>
    </w:p>
    <w:p w14:paraId="3C885048" w14:textId="77777777" w:rsidR="00B22BBD" w:rsidRPr="00662585" w:rsidRDefault="00B22BBD" w:rsidP="00B22BBD">
      <w:pPr>
        <w:spacing w:line="360" w:lineRule="auto"/>
        <w:jc w:val="both"/>
        <w:rPr>
          <w:rFonts w:ascii="Arial" w:hAnsi="Arial" w:cs="Arial"/>
          <w:color w:val="000000" w:themeColor="text1"/>
          <w:shd w:val="clear" w:color="auto" w:fill="FFFFFF"/>
        </w:rPr>
      </w:pPr>
    </w:p>
    <w:p w14:paraId="547CACE0"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Slote, M.  </w:t>
      </w:r>
      <w:r w:rsidRPr="00662585">
        <w:rPr>
          <w:rFonts w:ascii="Arial" w:hAnsi="Arial" w:cs="Arial"/>
          <w:i/>
          <w:iCs/>
          <w:color w:val="000000" w:themeColor="text1"/>
          <w:sz w:val="24"/>
          <w:szCs w:val="24"/>
        </w:rPr>
        <w:t xml:space="preserve">Morals from Motives </w:t>
      </w:r>
      <w:r w:rsidRPr="00662585">
        <w:rPr>
          <w:rFonts w:ascii="Arial" w:hAnsi="Arial" w:cs="Arial"/>
          <w:color w:val="000000" w:themeColor="text1"/>
          <w:sz w:val="24"/>
          <w:szCs w:val="24"/>
        </w:rPr>
        <w:t>(NY: OUP, 2001)</w:t>
      </w:r>
    </w:p>
    <w:p w14:paraId="4E00FB98" w14:textId="77777777" w:rsidR="00B22BBD" w:rsidRPr="00662585" w:rsidRDefault="00B22BBD" w:rsidP="00B22BBD">
      <w:pPr>
        <w:pStyle w:val="FootnoteText"/>
        <w:spacing w:line="360" w:lineRule="auto"/>
        <w:jc w:val="both"/>
        <w:rPr>
          <w:rFonts w:ascii="Arial" w:hAnsi="Arial" w:cs="Arial"/>
          <w:color w:val="000000" w:themeColor="text1"/>
          <w:sz w:val="24"/>
          <w:szCs w:val="24"/>
        </w:rPr>
      </w:pPr>
    </w:p>
    <w:p w14:paraId="16C0D77A"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Slote, M. </w:t>
      </w:r>
      <w:r w:rsidRPr="00662585">
        <w:rPr>
          <w:rFonts w:ascii="Arial" w:hAnsi="Arial" w:cs="Arial"/>
          <w:i/>
          <w:iCs/>
          <w:color w:val="000000" w:themeColor="text1"/>
          <w:sz w:val="24"/>
          <w:szCs w:val="24"/>
        </w:rPr>
        <w:t xml:space="preserve">Moral Sentimentalism </w:t>
      </w:r>
      <w:r w:rsidRPr="00662585">
        <w:rPr>
          <w:rFonts w:ascii="Arial" w:hAnsi="Arial" w:cs="Arial"/>
          <w:color w:val="000000" w:themeColor="text1"/>
          <w:sz w:val="24"/>
          <w:szCs w:val="24"/>
        </w:rPr>
        <w:t xml:space="preserve">(Oxford: OUP, 2010) </w:t>
      </w:r>
    </w:p>
    <w:p w14:paraId="7F173450" w14:textId="77777777" w:rsidR="00B22BBD" w:rsidRPr="00662585" w:rsidRDefault="00B22BBD" w:rsidP="00B22BBD">
      <w:pPr>
        <w:pStyle w:val="FootnoteText"/>
        <w:spacing w:line="360" w:lineRule="auto"/>
        <w:jc w:val="both"/>
        <w:rPr>
          <w:rFonts w:ascii="Arial" w:hAnsi="Arial" w:cs="Arial"/>
          <w:color w:val="000000" w:themeColor="text1"/>
          <w:sz w:val="24"/>
          <w:szCs w:val="24"/>
        </w:rPr>
      </w:pPr>
    </w:p>
    <w:p w14:paraId="383EEED4"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Slote, M. </w:t>
      </w:r>
      <w:r w:rsidRPr="00662585">
        <w:rPr>
          <w:rFonts w:ascii="Arial" w:hAnsi="Arial" w:cs="Arial"/>
          <w:i/>
          <w:iCs/>
          <w:color w:val="000000" w:themeColor="text1"/>
          <w:sz w:val="24"/>
          <w:szCs w:val="24"/>
        </w:rPr>
        <w:t xml:space="preserve">The Impossibility of Perfection: Aristotle, Feminism, and the Complexities of Ethics </w:t>
      </w:r>
      <w:r w:rsidRPr="00662585">
        <w:rPr>
          <w:rFonts w:ascii="Arial" w:hAnsi="Arial" w:cs="Arial"/>
          <w:color w:val="000000" w:themeColor="text1"/>
          <w:sz w:val="24"/>
          <w:szCs w:val="24"/>
        </w:rPr>
        <w:t>(NY: OUP, 2011)</w:t>
      </w:r>
    </w:p>
    <w:p w14:paraId="615D07F7" w14:textId="77777777" w:rsidR="00B22BBD" w:rsidRDefault="00B22BBD" w:rsidP="00B22BBD">
      <w:pPr>
        <w:spacing w:line="360" w:lineRule="auto"/>
        <w:jc w:val="both"/>
        <w:rPr>
          <w:rFonts w:ascii="Arial" w:hAnsi="Arial" w:cs="Arial"/>
          <w:color w:val="000000" w:themeColor="text1"/>
        </w:rPr>
      </w:pPr>
    </w:p>
    <w:p w14:paraId="49077D79" w14:textId="77777777" w:rsidR="00B22BBD" w:rsidRPr="00662585" w:rsidRDefault="00B22BBD" w:rsidP="00B22BBD">
      <w:pPr>
        <w:spacing w:line="360" w:lineRule="auto"/>
        <w:jc w:val="both"/>
        <w:rPr>
          <w:rFonts w:ascii="Arial" w:hAnsi="Arial" w:cs="Arial"/>
          <w:color w:val="000000" w:themeColor="text1"/>
        </w:rPr>
      </w:pPr>
    </w:p>
    <w:p w14:paraId="3F6576A1" w14:textId="77777777" w:rsidR="00B22BBD" w:rsidRPr="00662585" w:rsidRDefault="00B22BBD" w:rsidP="00B22BBD">
      <w:pPr>
        <w:spacing w:line="360" w:lineRule="auto"/>
        <w:jc w:val="both"/>
        <w:rPr>
          <w:rFonts w:ascii="Arial" w:hAnsi="Arial" w:cs="Arial"/>
          <w:i/>
          <w:iCs/>
          <w:color w:val="000000" w:themeColor="text1"/>
        </w:rPr>
      </w:pPr>
      <w:r w:rsidRPr="00662585">
        <w:rPr>
          <w:rFonts w:ascii="Arial" w:hAnsi="Arial" w:cs="Arial"/>
          <w:color w:val="000000" w:themeColor="text1"/>
        </w:rPr>
        <w:t>Solomon D.</w:t>
      </w:r>
      <w:r w:rsidRPr="00662585">
        <w:rPr>
          <w:rFonts w:ascii="Arial" w:hAnsi="Arial" w:cs="Arial"/>
          <w:color w:val="000000" w:themeColor="text1"/>
        </w:rPr>
        <w:tab/>
      </w:r>
      <w:r w:rsidRPr="00662585">
        <w:rPr>
          <w:rFonts w:ascii="Arial" w:hAnsi="Arial" w:cs="Arial"/>
          <w:color w:val="000000" w:themeColor="text1"/>
        </w:rPr>
        <w:tab/>
        <w:t xml:space="preserve">‘Internal Objections to Virtue Ethics’ in D. Statman (ed.), </w:t>
      </w:r>
      <w:r w:rsidRPr="00662585">
        <w:rPr>
          <w:rFonts w:ascii="Arial" w:hAnsi="Arial" w:cs="Arial"/>
          <w:i/>
          <w:iCs/>
          <w:color w:val="000000" w:themeColor="text1"/>
        </w:rPr>
        <w:t xml:space="preserve">Virtue Ethics: A Critical Reader </w:t>
      </w:r>
      <w:r w:rsidRPr="00662585">
        <w:rPr>
          <w:rFonts w:ascii="Arial" w:hAnsi="Arial" w:cs="Arial"/>
          <w:color w:val="000000" w:themeColor="text1"/>
        </w:rPr>
        <w:t>(Edinburgh: Edinburgh UP, 1997), pp. 165 - 179.</w:t>
      </w:r>
    </w:p>
    <w:p w14:paraId="3284D901" w14:textId="77777777" w:rsidR="00B22BBD" w:rsidRDefault="00B22BBD" w:rsidP="00B22BBD">
      <w:pPr>
        <w:spacing w:line="360" w:lineRule="auto"/>
        <w:ind w:left="3600" w:hanging="3600"/>
        <w:jc w:val="both"/>
        <w:rPr>
          <w:rFonts w:ascii="Arial" w:hAnsi="Arial" w:cs="Arial"/>
          <w:color w:val="000000" w:themeColor="text1"/>
        </w:rPr>
      </w:pPr>
    </w:p>
    <w:p w14:paraId="2D85BF06" w14:textId="77777777" w:rsidR="00B22BBD" w:rsidRPr="00662585" w:rsidRDefault="00B22BBD" w:rsidP="00B22BBD">
      <w:pPr>
        <w:spacing w:line="360" w:lineRule="auto"/>
        <w:jc w:val="both"/>
        <w:rPr>
          <w:rFonts w:ascii="Arial" w:hAnsi="Arial" w:cs="Arial"/>
          <w:color w:val="000000" w:themeColor="text1"/>
        </w:rPr>
      </w:pPr>
    </w:p>
    <w:p w14:paraId="7EFE23D7"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Solomon, R.C.  ‘Corporate Roles, Personal Virtues: An Aristotelian Approach to Business Ethics’ in Statman, D. (ed.)</w:t>
      </w:r>
      <w:r w:rsidRPr="00662585">
        <w:rPr>
          <w:rFonts w:ascii="Arial" w:hAnsi="Arial" w:cs="Arial"/>
          <w:i/>
          <w:iCs/>
          <w:color w:val="000000" w:themeColor="text1"/>
        </w:rPr>
        <w:t xml:space="preserve">Virtue Ethics: A Critical Reader </w:t>
      </w:r>
      <w:r w:rsidRPr="00662585">
        <w:rPr>
          <w:rFonts w:ascii="Arial" w:hAnsi="Arial" w:cs="Arial"/>
          <w:color w:val="000000" w:themeColor="text1"/>
        </w:rPr>
        <w:t xml:space="preserve">(Edinburgh: Edinburgh UP, 1997) 205 -226. </w:t>
      </w:r>
    </w:p>
    <w:p w14:paraId="76B1E710" w14:textId="77777777" w:rsidR="00B22BBD" w:rsidRPr="00662585" w:rsidRDefault="00B22BBD" w:rsidP="00B22BBD">
      <w:pPr>
        <w:spacing w:line="360" w:lineRule="auto"/>
        <w:ind w:left="3600" w:hanging="3600"/>
        <w:jc w:val="both"/>
        <w:rPr>
          <w:rFonts w:ascii="Arial" w:hAnsi="Arial" w:cs="Arial"/>
          <w:color w:val="000000" w:themeColor="text1"/>
        </w:rPr>
      </w:pPr>
    </w:p>
    <w:p w14:paraId="21FA49AD" w14:textId="77777777" w:rsidR="00B22BBD" w:rsidRPr="008D5AFD" w:rsidRDefault="00B22BBD" w:rsidP="00B22BBD">
      <w:pPr>
        <w:spacing w:line="360" w:lineRule="auto"/>
        <w:ind w:left="3600" w:hanging="3600"/>
        <w:jc w:val="both"/>
        <w:rPr>
          <w:rFonts w:ascii="Arial" w:hAnsi="Arial" w:cs="Arial"/>
          <w:color w:val="000000" w:themeColor="text1"/>
          <w:kern w:val="2"/>
        </w:rPr>
      </w:pPr>
      <w:r w:rsidRPr="008D5AFD">
        <w:rPr>
          <w:rFonts w:ascii="Arial" w:hAnsi="Arial" w:cs="Arial"/>
          <w:color w:val="000000" w:themeColor="text1"/>
        </w:rPr>
        <w:t>Snow, N.</w:t>
      </w:r>
      <w:r w:rsidRPr="00662585">
        <w:rPr>
          <w:rFonts w:ascii="Arial" w:hAnsi="Arial" w:cs="Arial"/>
          <w:color w:val="000000" w:themeColor="text1"/>
        </w:rPr>
        <w:t xml:space="preserve"> </w:t>
      </w:r>
      <w:r w:rsidRPr="00662585">
        <w:rPr>
          <w:rFonts w:ascii="Arial" w:hAnsi="Arial" w:cs="Arial"/>
          <w:i/>
          <w:iCs/>
          <w:color w:val="000000" w:themeColor="text1"/>
        </w:rPr>
        <w:t xml:space="preserve">Virtue as Social Intelligence: An Empirically Grounded Theory </w:t>
      </w:r>
      <w:r w:rsidRPr="00662585">
        <w:rPr>
          <w:rFonts w:ascii="Arial" w:hAnsi="Arial" w:cs="Arial"/>
          <w:color w:val="000000" w:themeColor="text1"/>
        </w:rPr>
        <w:t>(NY:Routledge, 2010).</w:t>
      </w:r>
    </w:p>
    <w:p w14:paraId="19E924E0" w14:textId="77777777" w:rsidR="00B22BBD" w:rsidRPr="00662585" w:rsidRDefault="00B22BBD" w:rsidP="00B22BBD">
      <w:pPr>
        <w:autoSpaceDE w:val="0"/>
        <w:autoSpaceDN w:val="0"/>
        <w:adjustRightInd w:val="0"/>
        <w:spacing w:line="360" w:lineRule="auto"/>
        <w:jc w:val="both"/>
        <w:rPr>
          <w:rFonts w:ascii="Arial" w:hAnsi="Arial" w:cs="Arial"/>
          <w:i/>
          <w:iCs/>
          <w:color w:val="000000" w:themeColor="text1"/>
        </w:rPr>
      </w:pPr>
    </w:p>
    <w:p w14:paraId="2038739A" w14:textId="77777777" w:rsidR="00B22BBD" w:rsidRPr="00662585" w:rsidRDefault="00B22BBD" w:rsidP="00B22BBD">
      <w:pPr>
        <w:spacing w:line="360" w:lineRule="auto"/>
        <w:jc w:val="both"/>
        <w:rPr>
          <w:rFonts w:ascii="Arial" w:hAnsi="Arial" w:cs="Arial"/>
          <w:color w:val="000000" w:themeColor="text1"/>
        </w:rPr>
      </w:pPr>
      <w:r>
        <w:rPr>
          <w:rFonts w:ascii="Arial" w:hAnsi="Arial" w:cs="Arial"/>
          <w:color w:val="000000" w:themeColor="text1"/>
        </w:rPr>
        <w:t>S</w:t>
      </w:r>
      <w:r w:rsidRPr="00662585">
        <w:rPr>
          <w:rFonts w:ascii="Arial" w:hAnsi="Arial" w:cs="Arial"/>
          <w:color w:val="000000" w:themeColor="text1"/>
        </w:rPr>
        <w:t>tatman, D. (ed.)</w:t>
      </w:r>
      <w:r w:rsidRPr="00662585">
        <w:rPr>
          <w:rFonts w:ascii="Arial" w:hAnsi="Arial" w:cs="Arial"/>
          <w:color w:val="000000" w:themeColor="text1"/>
        </w:rPr>
        <w:tab/>
      </w:r>
      <w:r w:rsidRPr="00662585">
        <w:rPr>
          <w:rFonts w:ascii="Arial" w:hAnsi="Arial" w:cs="Arial"/>
          <w:color w:val="000000" w:themeColor="text1"/>
        </w:rPr>
        <w:tab/>
      </w:r>
      <w:r w:rsidRPr="00662585">
        <w:rPr>
          <w:rFonts w:ascii="Arial" w:hAnsi="Arial" w:cs="Arial"/>
          <w:i/>
          <w:iCs/>
          <w:color w:val="000000" w:themeColor="text1"/>
        </w:rPr>
        <w:t xml:space="preserve">Virtue Ethics: A Critical Reader </w:t>
      </w:r>
      <w:r w:rsidRPr="00662585">
        <w:rPr>
          <w:rFonts w:ascii="Arial" w:hAnsi="Arial" w:cs="Arial"/>
          <w:color w:val="000000" w:themeColor="text1"/>
        </w:rPr>
        <w:t>(Edinburgh: Edinburgh UP, 1997)</w:t>
      </w:r>
    </w:p>
    <w:p w14:paraId="30B7A6B3" w14:textId="77777777" w:rsidR="00B22BBD" w:rsidRPr="00662585" w:rsidRDefault="00B22BBD" w:rsidP="00B22BBD">
      <w:pPr>
        <w:spacing w:line="360" w:lineRule="auto"/>
        <w:jc w:val="both"/>
        <w:rPr>
          <w:rFonts w:ascii="Arial" w:hAnsi="Arial" w:cs="Arial"/>
          <w:color w:val="000000" w:themeColor="text1"/>
        </w:rPr>
      </w:pPr>
    </w:p>
    <w:p w14:paraId="1082ED02" w14:textId="77777777" w:rsidR="00B22BBD" w:rsidRPr="00662585" w:rsidRDefault="00B22BBD" w:rsidP="00B22BBD">
      <w:pPr>
        <w:spacing w:line="360" w:lineRule="auto"/>
        <w:jc w:val="both"/>
        <w:rPr>
          <w:rFonts w:ascii="Arial" w:hAnsi="Arial" w:cs="Arial"/>
          <w:i/>
          <w:iCs/>
          <w:color w:val="000000" w:themeColor="text1"/>
        </w:rPr>
      </w:pPr>
      <w:r w:rsidRPr="00662585">
        <w:rPr>
          <w:rFonts w:ascii="Arial" w:hAnsi="Arial" w:cs="Arial"/>
          <w:color w:val="000000" w:themeColor="text1"/>
        </w:rPr>
        <w:t>Statman D.</w:t>
      </w:r>
      <w:r w:rsidRPr="00662585">
        <w:rPr>
          <w:rFonts w:ascii="Arial" w:hAnsi="Arial" w:cs="Arial"/>
          <w:color w:val="000000" w:themeColor="text1"/>
        </w:rPr>
        <w:tab/>
      </w:r>
      <w:r w:rsidRPr="00662585">
        <w:rPr>
          <w:rFonts w:ascii="Arial" w:hAnsi="Arial" w:cs="Arial"/>
          <w:color w:val="000000" w:themeColor="text1"/>
        </w:rPr>
        <w:tab/>
      </w:r>
      <w:r w:rsidRPr="00662585">
        <w:rPr>
          <w:rFonts w:ascii="Arial" w:hAnsi="Arial" w:cs="Arial"/>
          <w:color w:val="000000" w:themeColor="text1"/>
        </w:rPr>
        <w:tab/>
        <w:t xml:space="preserve">‘Introduction’ in D. Statman (ed.), </w:t>
      </w:r>
      <w:r w:rsidRPr="00662585">
        <w:rPr>
          <w:rFonts w:ascii="Arial" w:hAnsi="Arial" w:cs="Arial"/>
          <w:i/>
          <w:iCs/>
          <w:color w:val="000000" w:themeColor="text1"/>
        </w:rPr>
        <w:t xml:space="preserve">Virtue Ethics: A Critical Reader </w:t>
      </w:r>
      <w:r w:rsidRPr="00662585">
        <w:rPr>
          <w:rFonts w:ascii="Arial" w:hAnsi="Arial" w:cs="Arial"/>
          <w:color w:val="000000" w:themeColor="text1"/>
        </w:rPr>
        <w:t>(Edinburgh: Edinburgh UP, 1997), pp. 1 – 41.</w:t>
      </w:r>
    </w:p>
    <w:p w14:paraId="09CB2040" w14:textId="77777777" w:rsidR="00B22BBD" w:rsidRDefault="00B22BBD" w:rsidP="00B22BBD">
      <w:pPr>
        <w:shd w:val="clear" w:color="auto" w:fill="FFFFFF"/>
        <w:spacing w:line="360" w:lineRule="auto"/>
        <w:jc w:val="both"/>
        <w:textAlignment w:val="baseline"/>
        <w:rPr>
          <w:rFonts w:ascii="Arial" w:hAnsi="Arial" w:cs="Arial"/>
          <w:i/>
          <w:iCs/>
          <w:color w:val="000000" w:themeColor="text1"/>
        </w:rPr>
      </w:pPr>
    </w:p>
    <w:p w14:paraId="50A0E568" w14:textId="77777777" w:rsidR="00B22BBD" w:rsidRPr="008D5AFD" w:rsidRDefault="00B22BBD" w:rsidP="00B22BBD">
      <w:pPr>
        <w:shd w:val="clear" w:color="auto" w:fill="FFFFFF"/>
        <w:spacing w:line="360" w:lineRule="auto"/>
        <w:jc w:val="both"/>
        <w:textAlignment w:val="baseline"/>
        <w:rPr>
          <w:rFonts w:ascii="Arial" w:hAnsi="Arial" w:cs="Arial"/>
          <w:color w:val="000000" w:themeColor="text1"/>
        </w:rPr>
      </w:pPr>
      <w:r w:rsidRPr="008D5AFD">
        <w:rPr>
          <w:rFonts w:ascii="Arial" w:eastAsiaTheme="minorHAnsi" w:hAnsi="Arial" w:cs="Arial"/>
          <w:color w:val="000000" w:themeColor="text1"/>
          <w:lang w:eastAsia="en-US"/>
          <w14:ligatures w14:val="standardContextual"/>
        </w:rPr>
        <w:t>Svensson,</w:t>
      </w:r>
      <w:r w:rsidRPr="008D5AFD">
        <w:rPr>
          <w:rFonts w:ascii="Arial" w:hAnsi="Arial" w:cs="Arial"/>
          <w:color w:val="000000" w:themeColor="text1"/>
        </w:rPr>
        <w:t xml:space="preserve"> F. and J. </w:t>
      </w:r>
      <w:r w:rsidRPr="008D5AFD">
        <w:rPr>
          <w:rFonts w:ascii="Arial" w:eastAsiaTheme="minorHAnsi" w:hAnsi="Arial" w:cs="Arial"/>
          <w:color w:val="000000" w:themeColor="text1"/>
          <w:lang w:eastAsia="en-US"/>
          <w14:ligatures w14:val="standardContextual"/>
        </w:rPr>
        <w:t>Johansson</w:t>
      </w:r>
      <w:r w:rsidRPr="00662585">
        <w:rPr>
          <w:rFonts w:ascii="Arial" w:hAnsi="Arial" w:cs="Arial"/>
          <w:i/>
          <w:iCs/>
          <w:color w:val="000000" w:themeColor="text1"/>
        </w:rPr>
        <w:t xml:space="preserve"> ‘Objections to Virtue Ethics’ </w:t>
      </w:r>
      <w:r w:rsidRPr="00662585">
        <w:rPr>
          <w:rFonts w:ascii="Arial" w:hAnsi="Arial" w:cs="Arial"/>
          <w:color w:val="000000" w:themeColor="text1"/>
        </w:rPr>
        <w:t>in</w:t>
      </w:r>
      <w:r w:rsidRPr="00662585">
        <w:rPr>
          <w:rFonts w:ascii="Arial" w:hAnsi="Arial" w:cs="Arial"/>
          <w:i/>
          <w:iCs/>
          <w:color w:val="000000" w:themeColor="text1"/>
        </w:rPr>
        <w:t xml:space="preserve"> </w:t>
      </w:r>
      <w:r w:rsidRPr="00662585">
        <w:rPr>
          <w:rFonts w:ascii="Arial" w:hAnsi="Arial" w:cs="Arial"/>
          <w:color w:val="000000" w:themeColor="text1"/>
        </w:rPr>
        <w:t xml:space="preserve">N. Snow (ed.) </w:t>
      </w:r>
      <w:r w:rsidRPr="00662585">
        <w:rPr>
          <w:rFonts w:ascii="Arial" w:hAnsi="Arial" w:cs="Arial"/>
          <w:i/>
          <w:iCs/>
          <w:color w:val="000000" w:themeColor="text1"/>
        </w:rPr>
        <w:t>The Oxford Handbook of Virtue</w:t>
      </w:r>
      <w:r w:rsidRPr="00662585">
        <w:rPr>
          <w:rFonts w:ascii="Arial" w:hAnsi="Arial" w:cs="Arial"/>
          <w:color w:val="000000" w:themeColor="text1"/>
        </w:rPr>
        <w:t xml:space="preserve"> (Oxford: 0UP, 2007; Online Edition: 22.2.18) </w:t>
      </w:r>
      <w:r w:rsidRPr="00662585">
        <w:rPr>
          <w:rFonts w:ascii="Arial" w:hAnsi="Arial" w:cs="Arial"/>
          <w:color w:val="000000" w:themeColor="text1"/>
          <w:bdr w:val="none" w:sz="0" w:space="0" w:color="auto" w:frame="1"/>
        </w:rPr>
        <w:t>https://doi.org/10.1093/oxfordhb/9780199385195.013.39</w:t>
      </w:r>
      <w:r w:rsidRPr="00662585">
        <w:rPr>
          <w:rFonts w:ascii="Arial" w:hAnsi="Arial" w:cs="Arial"/>
          <w:color w:val="000000" w:themeColor="text1"/>
        </w:rPr>
        <w:t xml:space="preserve"> 491–507.</w:t>
      </w:r>
    </w:p>
    <w:p w14:paraId="478D9C6D" w14:textId="77777777" w:rsidR="00B22BBD" w:rsidRPr="00662585" w:rsidRDefault="00B22BBD" w:rsidP="00B22BBD">
      <w:pPr>
        <w:spacing w:line="360" w:lineRule="auto"/>
        <w:jc w:val="both"/>
        <w:rPr>
          <w:rFonts w:ascii="Arial" w:hAnsi="Arial" w:cs="Arial"/>
          <w:color w:val="000000" w:themeColor="text1"/>
        </w:rPr>
      </w:pPr>
    </w:p>
    <w:p w14:paraId="1EB6CCAE" w14:textId="77777777" w:rsidR="00B22BBD" w:rsidRPr="008D5AFD" w:rsidRDefault="00B22BBD" w:rsidP="00B22BBD">
      <w:pPr>
        <w:spacing w:line="360" w:lineRule="auto"/>
        <w:jc w:val="both"/>
        <w:rPr>
          <w:rFonts w:ascii="Arial" w:hAnsi="Arial" w:cs="Arial"/>
          <w:color w:val="000000" w:themeColor="text1"/>
          <w:shd w:val="clear" w:color="auto" w:fill="FFFFFF"/>
        </w:rPr>
      </w:pPr>
      <w:r w:rsidRPr="008D5AFD">
        <w:rPr>
          <w:rFonts w:ascii="Arial" w:hAnsi="Arial" w:cs="Arial"/>
          <w:color w:val="000000" w:themeColor="text1"/>
          <w:shd w:val="clear" w:color="auto" w:fill="FFFFFF"/>
        </w:rPr>
        <w:t xml:space="preserve">Swanton, C. </w:t>
      </w:r>
      <w:r w:rsidRPr="008D5AFD">
        <w:rPr>
          <w:rFonts w:ascii="Arial" w:hAnsi="Arial" w:cs="Arial"/>
          <w:i/>
          <w:iCs/>
          <w:color w:val="000000" w:themeColor="text1"/>
          <w:shd w:val="clear" w:color="auto" w:fill="FFFFFF"/>
        </w:rPr>
        <w:t xml:space="preserve">Virtue Ethics: A Pluralistic View </w:t>
      </w:r>
      <w:r w:rsidRPr="008D5AFD">
        <w:rPr>
          <w:rFonts w:ascii="Arial" w:hAnsi="Arial" w:cs="Arial"/>
          <w:color w:val="000000" w:themeColor="text1"/>
          <w:shd w:val="clear" w:color="auto" w:fill="FFFFFF"/>
        </w:rPr>
        <w:t>(Oxford: OUP, 2003)</w:t>
      </w:r>
    </w:p>
    <w:p w14:paraId="65D6E2D6" w14:textId="77777777" w:rsidR="00B22BBD" w:rsidRDefault="00B22BBD" w:rsidP="00B22BBD">
      <w:pPr>
        <w:spacing w:line="360" w:lineRule="auto"/>
        <w:jc w:val="both"/>
        <w:rPr>
          <w:rFonts w:ascii="Arial" w:hAnsi="Arial" w:cs="Arial"/>
          <w:color w:val="000000" w:themeColor="text1"/>
          <w:shd w:val="clear" w:color="auto" w:fill="FFFFFF"/>
        </w:rPr>
      </w:pPr>
    </w:p>
    <w:p w14:paraId="7FC90B59" w14:textId="77777777" w:rsidR="00B22BBD" w:rsidRPr="008D5AFD" w:rsidRDefault="00B22BBD" w:rsidP="00B22BBD">
      <w:pPr>
        <w:spacing w:line="360" w:lineRule="auto"/>
        <w:jc w:val="both"/>
        <w:rPr>
          <w:rFonts w:ascii="Arial" w:hAnsi="Arial" w:cs="Arial"/>
          <w:color w:val="000000" w:themeColor="text1"/>
        </w:rPr>
      </w:pPr>
      <w:r w:rsidRPr="008D5AFD">
        <w:rPr>
          <w:rFonts w:ascii="Arial" w:hAnsi="Arial" w:cs="Arial"/>
          <w:color w:val="000000" w:themeColor="text1"/>
          <w:shd w:val="clear" w:color="auto" w:fill="FFFFFF"/>
        </w:rPr>
        <w:t xml:space="preserve">Swanton, C. </w:t>
      </w:r>
      <w:r w:rsidRPr="008D5AFD">
        <w:rPr>
          <w:rFonts w:ascii="Arial" w:hAnsi="Arial" w:cs="Arial"/>
          <w:i/>
          <w:iCs/>
          <w:color w:val="000000" w:themeColor="text1"/>
          <w:shd w:val="clear" w:color="auto" w:fill="FFFFFF"/>
        </w:rPr>
        <w:t xml:space="preserve">Target-Centred Virtue Ethics </w:t>
      </w:r>
      <w:r w:rsidRPr="008D5AFD">
        <w:rPr>
          <w:rFonts w:ascii="Arial" w:hAnsi="Arial" w:cs="Arial"/>
          <w:color w:val="000000" w:themeColor="text1"/>
          <w:shd w:val="clear" w:color="auto" w:fill="FFFFFF"/>
        </w:rPr>
        <w:t>(Oxford: OUP, 2021)</w:t>
      </w:r>
    </w:p>
    <w:p w14:paraId="5EC54CD7" w14:textId="77777777" w:rsidR="00B22BBD" w:rsidRPr="008D5AFD" w:rsidRDefault="00B22BBD" w:rsidP="00B22BBD">
      <w:pPr>
        <w:spacing w:line="360" w:lineRule="auto"/>
        <w:jc w:val="both"/>
        <w:rPr>
          <w:rFonts w:ascii="Arial" w:hAnsi="Arial" w:cs="Arial"/>
          <w:color w:val="000000" w:themeColor="text1"/>
        </w:rPr>
      </w:pPr>
    </w:p>
    <w:p w14:paraId="5221C984" w14:textId="77777777" w:rsidR="00B22BBD" w:rsidRPr="00662585" w:rsidRDefault="00B22BBD" w:rsidP="00B22BBD">
      <w:pPr>
        <w:spacing w:line="360" w:lineRule="auto"/>
        <w:jc w:val="both"/>
        <w:rPr>
          <w:rFonts w:ascii="Arial" w:hAnsi="Arial" w:cs="Arial"/>
          <w:color w:val="000000" w:themeColor="text1"/>
        </w:rPr>
      </w:pPr>
      <w:r w:rsidRPr="008D5AFD">
        <w:rPr>
          <w:rStyle w:val="Strong"/>
          <w:rFonts w:ascii="Arial" w:hAnsi="Arial" w:cs="Arial"/>
          <w:b w:val="0"/>
          <w:bCs w:val="0"/>
          <w:color w:val="000000" w:themeColor="text1"/>
        </w:rPr>
        <w:t>Swanton, C. "Comments on Intelligent Virtue: Rightness and Exemplars of Virtue":</w:t>
      </w:r>
      <w:r w:rsidRPr="00662585">
        <w:rPr>
          <w:rStyle w:val="apple-converted-space"/>
          <w:rFonts w:ascii="Arial" w:hAnsi="Arial" w:cs="Arial"/>
          <w:color w:val="000000" w:themeColor="text1"/>
          <w:shd w:val="clear" w:color="auto" w:fill="FFFFFF"/>
        </w:rPr>
        <w:t> </w:t>
      </w:r>
      <w:r w:rsidRPr="00662585">
        <w:rPr>
          <w:rStyle w:val="Emphasis"/>
          <w:rFonts w:ascii="Arial" w:hAnsi="Arial" w:cs="Arial"/>
          <w:color w:val="000000" w:themeColor="text1"/>
        </w:rPr>
        <w:t xml:space="preserve"> Journal of Value Inquiry</w:t>
      </w:r>
      <w:r w:rsidRPr="00662585">
        <w:rPr>
          <w:rStyle w:val="apple-converted-space"/>
          <w:rFonts w:ascii="Arial" w:hAnsi="Arial" w:cs="Arial"/>
          <w:color w:val="000000" w:themeColor="text1"/>
          <w:shd w:val="clear" w:color="auto" w:fill="FFFFFF"/>
        </w:rPr>
        <w:t> </w:t>
      </w:r>
      <w:r w:rsidRPr="00662585">
        <w:rPr>
          <w:rFonts w:ascii="Arial" w:hAnsi="Arial" w:cs="Arial"/>
          <w:color w:val="000000" w:themeColor="text1"/>
          <w:shd w:val="clear" w:color="auto" w:fill="FFFFFF"/>
        </w:rPr>
        <w:t xml:space="preserve">(2015) 49 (1) 307 – 314. </w:t>
      </w:r>
    </w:p>
    <w:p w14:paraId="753CBEFE" w14:textId="77777777" w:rsidR="00B22BBD" w:rsidRPr="00662585" w:rsidRDefault="00B22BBD" w:rsidP="00B22BBD">
      <w:pPr>
        <w:spacing w:line="360" w:lineRule="auto"/>
        <w:jc w:val="both"/>
        <w:rPr>
          <w:rFonts w:ascii="Arial" w:hAnsi="Arial" w:cs="Arial"/>
          <w:color w:val="000000" w:themeColor="text1"/>
        </w:rPr>
      </w:pPr>
    </w:p>
    <w:p w14:paraId="367801A6"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Swanton, C.  </w:t>
      </w:r>
      <w:r w:rsidRPr="00662585">
        <w:rPr>
          <w:rFonts w:ascii="Arial" w:hAnsi="Arial" w:cs="Arial"/>
          <w:i/>
          <w:iCs/>
          <w:color w:val="000000" w:themeColor="text1"/>
        </w:rPr>
        <w:t xml:space="preserve">Love and Its Place in Virtue </w:t>
      </w:r>
      <w:r w:rsidRPr="00662585">
        <w:rPr>
          <w:rFonts w:ascii="Arial" w:hAnsi="Arial" w:cs="Arial"/>
          <w:color w:val="000000" w:themeColor="text1"/>
        </w:rPr>
        <w:t>(Oxford: OUP, 2024).</w:t>
      </w:r>
    </w:p>
    <w:p w14:paraId="34E3FC05" w14:textId="77777777" w:rsidR="00B22BBD" w:rsidRDefault="00B22BBD" w:rsidP="00B22BBD">
      <w:pPr>
        <w:spacing w:line="360" w:lineRule="auto"/>
        <w:jc w:val="both"/>
        <w:rPr>
          <w:rFonts w:ascii="Arial" w:hAnsi="Arial" w:cs="Arial"/>
          <w:color w:val="000000" w:themeColor="text1"/>
          <w:shd w:val="clear" w:color="auto" w:fill="FFFFFF"/>
        </w:rPr>
      </w:pPr>
    </w:p>
    <w:p w14:paraId="294826EE" w14:textId="77777777" w:rsidR="00B22BBD" w:rsidRPr="00662585" w:rsidRDefault="00B22BBD" w:rsidP="00B22BBD">
      <w:pPr>
        <w:pStyle w:val="FootnoteText"/>
        <w:spacing w:line="360" w:lineRule="auto"/>
        <w:jc w:val="both"/>
        <w:rPr>
          <w:rFonts w:ascii="Arial" w:hAnsi="Arial" w:cs="Arial"/>
          <w:color w:val="000000" w:themeColor="text1"/>
          <w:sz w:val="24"/>
          <w:szCs w:val="24"/>
        </w:rPr>
      </w:pPr>
    </w:p>
    <w:p w14:paraId="500A4D81" w14:textId="77777777" w:rsidR="00B22BBD" w:rsidRPr="00662585" w:rsidRDefault="00B22BBD" w:rsidP="00B22BBD">
      <w:pPr>
        <w:pStyle w:val="FootnoteText"/>
        <w:spacing w:line="360" w:lineRule="auto"/>
        <w:jc w:val="both"/>
        <w:rPr>
          <w:rFonts w:ascii="Arial" w:eastAsia="Times New Roman" w:hAnsi="Arial" w:cs="Arial"/>
          <w:color w:val="000000" w:themeColor="text1"/>
          <w:kern w:val="0"/>
          <w:sz w:val="24"/>
          <w:szCs w:val="24"/>
          <w:lang w:eastAsia="en-GB"/>
          <w14:ligatures w14:val="none"/>
        </w:rPr>
      </w:pPr>
      <w:r w:rsidRPr="00662585">
        <w:rPr>
          <w:rFonts w:ascii="Arial" w:eastAsia="Times New Roman" w:hAnsi="Arial" w:cs="Arial"/>
          <w:color w:val="000000" w:themeColor="text1"/>
          <w:kern w:val="0"/>
          <w:sz w:val="24"/>
          <w:szCs w:val="24"/>
          <w:lang w:eastAsia="en-GB"/>
          <w14:ligatures w14:val="none"/>
        </w:rPr>
        <w:t xml:space="preserve">Toner, C. </w:t>
      </w:r>
      <w:r w:rsidRPr="00662585">
        <w:rPr>
          <w:rFonts w:ascii="Arial" w:hAnsi="Arial" w:cs="Arial"/>
          <w:color w:val="000000" w:themeColor="text1"/>
          <w:sz w:val="24"/>
          <w:szCs w:val="24"/>
        </w:rPr>
        <w:t>‘</w:t>
      </w:r>
      <w:r w:rsidRPr="00662585">
        <w:rPr>
          <w:rFonts w:ascii="Arial" w:eastAsia="Times New Roman" w:hAnsi="Arial" w:cs="Arial"/>
          <w:color w:val="000000" w:themeColor="text1"/>
          <w:kern w:val="0"/>
          <w:sz w:val="24"/>
          <w:szCs w:val="24"/>
          <w:lang w:eastAsia="en-GB"/>
          <w14:ligatures w14:val="none"/>
        </w:rPr>
        <w:t>The Self-Centredness Objection to Virtue Ethics</w:t>
      </w:r>
      <w:r w:rsidRPr="00662585">
        <w:rPr>
          <w:rFonts w:ascii="Arial" w:hAnsi="Arial" w:cs="Arial"/>
          <w:color w:val="000000" w:themeColor="text1"/>
          <w:sz w:val="24"/>
          <w:szCs w:val="24"/>
        </w:rPr>
        <w:t xml:space="preserve">’ </w:t>
      </w:r>
      <w:r w:rsidRPr="00662585">
        <w:rPr>
          <w:rFonts w:ascii="Arial" w:eastAsia="Times New Roman" w:hAnsi="Arial" w:cs="Arial"/>
          <w:color w:val="000000" w:themeColor="text1"/>
          <w:kern w:val="0"/>
          <w:sz w:val="24"/>
          <w:szCs w:val="24"/>
          <w:lang w:eastAsia="en-GB"/>
          <w14:ligatures w14:val="none"/>
        </w:rPr>
        <w:t xml:space="preserve">Philosophy </w:t>
      </w:r>
      <w:r w:rsidRPr="00662585">
        <w:rPr>
          <w:rFonts w:ascii="Arial" w:hAnsi="Arial" w:cs="Arial"/>
          <w:color w:val="000000" w:themeColor="text1"/>
          <w:sz w:val="24"/>
          <w:szCs w:val="24"/>
        </w:rPr>
        <w:t xml:space="preserve">(2006) </w:t>
      </w:r>
      <w:r w:rsidRPr="00662585">
        <w:rPr>
          <w:rFonts w:ascii="Arial" w:eastAsia="Times New Roman" w:hAnsi="Arial" w:cs="Arial"/>
          <w:color w:val="000000" w:themeColor="text1"/>
          <w:kern w:val="0"/>
          <w:sz w:val="24"/>
          <w:szCs w:val="24"/>
          <w:lang w:eastAsia="en-GB"/>
          <w14:ligatures w14:val="none"/>
        </w:rPr>
        <w:t>81  595.</w:t>
      </w:r>
    </w:p>
    <w:p w14:paraId="364C2DEC" w14:textId="77777777" w:rsidR="00B22BBD" w:rsidRPr="00662585" w:rsidRDefault="00B22BBD" w:rsidP="00B22BBD">
      <w:pPr>
        <w:pStyle w:val="FootnoteText"/>
        <w:spacing w:line="360" w:lineRule="auto"/>
        <w:jc w:val="both"/>
        <w:rPr>
          <w:rFonts w:ascii="Arial" w:eastAsia="Times New Roman" w:hAnsi="Arial" w:cs="Arial"/>
          <w:color w:val="000000" w:themeColor="text1"/>
          <w:kern w:val="0"/>
          <w:sz w:val="24"/>
          <w:szCs w:val="24"/>
          <w:lang w:eastAsia="en-GB"/>
          <w14:ligatures w14:val="none"/>
        </w:rPr>
      </w:pPr>
    </w:p>
    <w:p w14:paraId="238A8B55"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Tiberius V. ‘How to Think About Virtue and Right” </w:t>
      </w:r>
      <w:r w:rsidRPr="00662585">
        <w:rPr>
          <w:rFonts w:ascii="Arial" w:hAnsi="Arial" w:cs="Arial"/>
          <w:i/>
          <w:iCs/>
          <w:color w:val="000000" w:themeColor="text1"/>
          <w:sz w:val="24"/>
          <w:szCs w:val="24"/>
        </w:rPr>
        <w:t xml:space="preserve">Philosophical Papers </w:t>
      </w:r>
      <w:r w:rsidRPr="00662585">
        <w:rPr>
          <w:rFonts w:ascii="Arial" w:hAnsi="Arial" w:cs="Arial"/>
          <w:color w:val="000000" w:themeColor="text1"/>
          <w:sz w:val="24"/>
          <w:szCs w:val="24"/>
        </w:rPr>
        <w:t xml:space="preserve">35(2): 247 – 265. </w:t>
      </w:r>
    </w:p>
    <w:p w14:paraId="150FF221" w14:textId="77777777" w:rsidR="00B22BBD" w:rsidRPr="00662585" w:rsidRDefault="00B22BBD" w:rsidP="00B22BBD">
      <w:pPr>
        <w:spacing w:line="360" w:lineRule="auto"/>
        <w:jc w:val="both"/>
        <w:rPr>
          <w:rFonts w:ascii="Arial" w:hAnsi="Arial" w:cs="Arial"/>
          <w:color w:val="000000" w:themeColor="text1"/>
          <w:shd w:val="clear" w:color="auto" w:fill="FFFFFF"/>
        </w:rPr>
      </w:pPr>
    </w:p>
    <w:p w14:paraId="1FC8A2F3" w14:textId="77777777" w:rsidR="00B22BBD" w:rsidRPr="00662585" w:rsidRDefault="00B22BBD" w:rsidP="00B22BBD">
      <w:pPr>
        <w:spacing w:line="360" w:lineRule="auto"/>
        <w:jc w:val="both"/>
        <w:rPr>
          <w:rFonts w:ascii="Arial" w:hAnsi="Arial" w:cs="Arial"/>
          <w:color w:val="000000" w:themeColor="text1"/>
          <w:shd w:val="clear" w:color="auto" w:fill="FFFFFF"/>
        </w:rPr>
      </w:pPr>
      <w:r w:rsidRPr="00662585">
        <w:rPr>
          <w:rFonts w:ascii="Arial" w:hAnsi="Arial" w:cs="Arial"/>
          <w:color w:val="000000" w:themeColor="text1"/>
        </w:rPr>
        <w:t xml:space="preserve">Timmerman T. and Y. Cohen, ‘The Limits of Virtue Ethics’ </w:t>
      </w:r>
      <w:r w:rsidRPr="00662585">
        <w:rPr>
          <w:rFonts w:ascii="Arial" w:hAnsi="Arial" w:cs="Arial"/>
          <w:i/>
          <w:iCs/>
          <w:color w:val="000000" w:themeColor="text1"/>
        </w:rPr>
        <w:t>Normative Ethics</w:t>
      </w:r>
      <w:r w:rsidRPr="00662585">
        <w:rPr>
          <w:rFonts w:ascii="Arial" w:hAnsi="Arial" w:cs="Arial"/>
          <w:color w:val="000000" w:themeColor="text1"/>
        </w:rPr>
        <w:t xml:space="preserve"> (2020) Volume 10 (255 -282).</w:t>
      </w:r>
    </w:p>
    <w:p w14:paraId="6F1FF846" w14:textId="77777777" w:rsidR="00B22BBD" w:rsidRPr="00662585" w:rsidRDefault="00B22BBD" w:rsidP="00B22BBD">
      <w:pPr>
        <w:spacing w:line="360" w:lineRule="auto"/>
        <w:jc w:val="both"/>
        <w:rPr>
          <w:rFonts w:ascii="Arial" w:hAnsi="Arial" w:cs="Arial"/>
          <w:color w:val="000000" w:themeColor="text1"/>
          <w:shd w:val="clear" w:color="auto" w:fill="FFFFFF"/>
        </w:rPr>
      </w:pPr>
    </w:p>
    <w:p w14:paraId="388497E1" w14:textId="77777777" w:rsidR="00B22BBD" w:rsidRPr="00662585" w:rsidRDefault="00B22BBD" w:rsidP="00B22BBD">
      <w:pPr>
        <w:spacing w:line="360" w:lineRule="auto"/>
        <w:jc w:val="both"/>
        <w:rPr>
          <w:rFonts w:ascii="Arial" w:hAnsi="Arial" w:cs="Arial"/>
          <w:color w:val="000000" w:themeColor="text1"/>
          <w:shd w:val="clear" w:color="auto" w:fill="FFFFFF"/>
        </w:rPr>
      </w:pPr>
      <w:r w:rsidRPr="00662585">
        <w:rPr>
          <w:rFonts w:ascii="Arial" w:hAnsi="Arial" w:cs="Arial"/>
          <w:color w:val="000000" w:themeColor="text1"/>
          <w:shd w:val="clear" w:color="auto" w:fill="FFFFFF"/>
        </w:rPr>
        <w:t xml:space="preserve">Timmons, M. </w:t>
      </w:r>
      <w:r w:rsidRPr="00662585">
        <w:rPr>
          <w:rFonts w:ascii="Arial" w:hAnsi="Arial" w:cs="Arial"/>
          <w:i/>
          <w:iCs/>
          <w:color w:val="000000" w:themeColor="text1"/>
          <w:shd w:val="clear" w:color="auto" w:fill="FFFFFF"/>
        </w:rPr>
        <w:t>Moral Theory: An Introduction</w:t>
      </w:r>
      <w:r w:rsidRPr="00662585">
        <w:rPr>
          <w:rFonts w:ascii="Arial" w:hAnsi="Arial" w:cs="Arial"/>
          <w:color w:val="000000" w:themeColor="text1"/>
          <w:shd w:val="clear" w:color="auto" w:fill="FFFFFF"/>
        </w:rPr>
        <w:t xml:space="preserve"> (Lanham, MD: Rowman &amp; Littlefield Publishers, 2002)</w:t>
      </w:r>
    </w:p>
    <w:p w14:paraId="51C375B8" w14:textId="77777777" w:rsidR="00B22BBD" w:rsidRPr="00662585" w:rsidRDefault="00B22BBD" w:rsidP="00B22BBD">
      <w:pPr>
        <w:spacing w:line="360" w:lineRule="auto"/>
        <w:jc w:val="both"/>
        <w:rPr>
          <w:rFonts w:ascii="Arial" w:hAnsi="Arial" w:cs="Arial"/>
          <w:color w:val="000000" w:themeColor="text1"/>
        </w:rPr>
      </w:pPr>
    </w:p>
    <w:p w14:paraId="5287EBA9"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Van Zyl, L.</w:t>
      </w:r>
      <w:r w:rsidRPr="00662585">
        <w:rPr>
          <w:rFonts w:ascii="Arial" w:hAnsi="Arial" w:cs="Arial"/>
          <w:color w:val="000000" w:themeColor="text1"/>
        </w:rPr>
        <w:tab/>
      </w:r>
      <w:r w:rsidRPr="00662585">
        <w:rPr>
          <w:rFonts w:ascii="Arial" w:hAnsi="Arial" w:cs="Arial"/>
          <w:color w:val="000000" w:themeColor="text1"/>
        </w:rPr>
        <w:tab/>
      </w:r>
      <w:r w:rsidRPr="00662585">
        <w:rPr>
          <w:rFonts w:ascii="Arial" w:hAnsi="Arial" w:cs="Arial"/>
          <w:color w:val="000000" w:themeColor="text1"/>
        </w:rPr>
        <w:tab/>
      </w:r>
      <w:r w:rsidRPr="00662585">
        <w:rPr>
          <w:rFonts w:ascii="Arial" w:hAnsi="Arial" w:cs="Arial"/>
          <w:i/>
          <w:iCs/>
          <w:color w:val="000000" w:themeColor="text1"/>
        </w:rPr>
        <w:t xml:space="preserve">Virtue Ethics: A Contemporary Introduction </w:t>
      </w:r>
      <w:r w:rsidRPr="00662585">
        <w:rPr>
          <w:rFonts w:ascii="Arial" w:hAnsi="Arial" w:cs="Arial"/>
          <w:color w:val="000000" w:themeColor="text1"/>
        </w:rPr>
        <w:t>(New York: Taylor &amp; Francis, 2019).</w:t>
      </w:r>
    </w:p>
    <w:p w14:paraId="436887BD" w14:textId="77777777" w:rsidR="00B22BBD" w:rsidRPr="00662585" w:rsidRDefault="00B22BBD" w:rsidP="00B22BBD">
      <w:pPr>
        <w:spacing w:line="360" w:lineRule="auto"/>
        <w:jc w:val="both"/>
        <w:rPr>
          <w:rFonts w:ascii="Arial" w:hAnsi="Arial" w:cs="Arial"/>
          <w:color w:val="000000" w:themeColor="text1"/>
        </w:rPr>
      </w:pPr>
    </w:p>
    <w:p w14:paraId="1C2C333B" w14:textId="77777777" w:rsidR="00B22BBD" w:rsidRPr="009F74E9" w:rsidRDefault="00B22BBD" w:rsidP="00B22BBD">
      <w:pPr>
        <w:spacing w:line="360" w:lineRule="auto"/>
        <w:jc w:val="both"/>
        <w:rPr>
          <w:rFonts w:ascii="Arial" w:hAnsi="Arial" w:cs="Arial"/>
          <w:color w:val="000000" w:themeColor="text1"/>
        </w:rPr>
      </w:pPr>
      <w:r w:rsidRPr="009F74E9">
        <w:rPr>
          <w:rFonts w:ascii="Arial" w:hAnsi="Arial" w:cs="Arial"/>
          <w:color w:val="000000" w:themeColor="text1"/>
        </w:rPr>
        <w:t xml:space="preserve">Van Hooft, S. (ed.) </w:t>
      </w:r>
      <w:r w:rsidRPr="009F74E9">
        <w:rPr>
          <w:rFonts w:ascii="Arial" w:hAnsi="Arial" w:cs="Arial"/>
          <w:i/>
          <w:iCs/>
          <w:color w:val="000000" w:themeColor="text1"/>
        </w:rPr>
        <w:t>The Handbook of Virtue Ethics</w:t>
      </w:r>
      <w:r w:rsidRPr="009F74E9">
        <w:rPr>
          <w:rFonts w:ascii="Arial" w:hAnsi="Arial" w:cs="Arial"/>
          <w:color w:val="000000" w:themeColor="text1"/>
        </w:rPr>
        <w:t xml:space="preserve"> (Acumen, 2013)</w:t>
      </w:r>
    </w:p>
    <w:p w14:paraId="66B6228B" w14:textId="77777777" w:rsidR="00B22BBD" w:rsidRDefault="00B22BBD" w:rsidP="00B22BBD">
      <w:pPr>
        <w:spacing w:line="360" w:lineRule="auto"/>
        <w:jc w:val="both"/>
        <w:rPr>
          <w:rFonts w:ascii="Arial" w:hAnsi="Arial" w:cs="Arial"/>
          <w:color w:val="000000" w:themeColor="text1"/>
        </w:rPr>
      </w:pPr>
    </w:p>
    <w:p w14:paraId="74580C9A" w14:textId="77777777" w:rsidR="00B22BBD" w:rsidRPr="009F74E9" w:rsidRDefault="00B22BBD" w:rsidP="00B22BBD">
      <w:pPr>
        <w:spacing w:line="360" w:lineRule="auto"/>
        <w:jc w:val="both"/>
        <w:rPr>
          <w:rFonts w:ascii="Arial" w:hAnsi="Arial" w:cs="Arial"/>
          <w:color w:val="000000" w:themeColor="text1"/>
          <w:shd w:val="clear" w:color="auto" w:fill="FFFFFF"/>
        </w:rPr>
      </w:pPr>
      <w:r w:rsidRPr="009F74E9">
        <w:rPr>
          <w:rFonts w:ascii="Arial" w:hAnsi="Arial" w:cs="Arial"/>
          <w:color w:val="000000" w:themeColor="text1"/>
        </w:rPr>
        <w:t xml:space="preserve">Van Zyl, Liezl ‘Virtuous And Right Action: A Relaxed View 2021 </w:t>
      </w:r>
      <w:r w:rsidRPr="009F74E9">
        <w:rPr>
          <w:rFonts w:ascii="Arial" w:hAnsi="Arial" w:cs="Arial"/>
          <w:i/>
          <w:iCs/>
          <w:color w:val="000000" w:themeColor="text1"/>
        </w:rPr>
        <w:t xml:space="preserve">Handbuch Tugend und Tugendethik  </w:t>
      </w:r>
      <w:r w:rsidRPr="009F74E9">
        <w:rPr>
          <w:rFonts w:ascii="Arial" w:hAnsi="Arial" w:cs="Arial"/>
          <w:color w:val="000000" w:themeColor="text1"/>
          <w:shd w:val="clear" w:color="auto" w:fill="FFFFFF"/>
        </w:rPr>
        <w:t>https://doi.org/10.1007/978-3-658-24466-8 Springer 2021 49 – 63</w:t>
      </w:r>
    </w:p>
    <w:p w14:paraId="70E8758A" w14:textId="77777777" w:rsidR="00B22BBD" w:rsidRDefault="00B22BBD" w:rsidP="00B22BBD">
      <w:pPr>
        <w:spacing w:line="360" w:lineRule="auto"/>
        <w:jc w:val="both"/>
        <w:rPr>
          <w:rFonts w:ascii="Arial" w:hAnsi="Arial" w:cs="Arial"/>
          <w:color w:val="000000" w:themeColor="text1"/>
          <w:shd w:val="clear" w:color="auto" w:fill="FFFFFF"/>
        </w:rPr>
      </w:pPr>
    </w:p>
    <w:p w14:paraId="20F22A3E" w14:textId="77777777" w:rsidR="00B22BBD" w:rsidRPr="009F74E9" w:rsidRDefault="00B22BBD" w:rsidP="00B22BBD">
      <w:pPr>
        <w:spacing w:line="360" w:lineRule="auto"/>
        <w:jc w:val="both"/>
        <w:rPr>
          <w:rFonts w:ascii="Arial" w:hAnsi="Arial" w:cs="Arial"/>
          <w:color w:val="000000" w:themeColor="text1"/>
          <w:shd w:val="clear" w:color="auto" w:fill="FFFFFF"/>
        </w:rPr>
      </w:pPr>
      <w:r w:rsidRPr="009F74E9">
        <w:rPr>
          <w:rFonts w:ascii="Arial" w:hAnsi="Arial" w:cs="Arial"/>
          <w:color w:val="000000" w:themeColor="text1"/>
          <w:shd w:val="clear" w:color="auto" w:fill="FFFFFF"/>
        </w:rPr>
        <w:t xml:space="preserve">Van Zyl, L. </w:t>
      </w:r>
      <w:r w:rsidRPr="009F74E9">
        <w:rPr>
          <w:rFonts w:ascii="Arial" w:hAnsi="Arial" w:cs="Arial"/>
          <w:i/>
          <w:iCs/>
          <w:color w:val="000000" w:themeColor="text1"/>
          <w:shd w:val="clear" w:color="auto" w:fill="FFFFFF"/>
        </w:rPr>
        <w:t xml:space="preserve">Virtue Ethics: A Contemporary Introduction </w:t>
      </w:r>
      <w:r w:rsidRPr="009F74E9">
        <w:rPr>
          <w:rFonts w:ascii="Arial" w:hAnsi="Arial" w:cs="Arial"/>
          <w:color w:val="000000" w:themeColor="text1"/>
          <w:shd w:val="clear" w:color="auto" w:fill="FFFFFF"/>
        </w:rPr>
        <w:t>(New York: Routledge, 2019)</w:t>
      </w:r>
    </w:p>
    <w:p w14:paraId="054B50C9" w14:textId="77777777" w:rsidR="00B22BBD" w:rsidRPr="00662585" w:rsidRDefault="00B22BBD" w:rsidP="00B22BBD">
      <w:pPr>
        <w:pStyle w:val="ListParagraph"/>
        <w:spacing w:line="360" w:lineRule="auto"/>
        <w:jc w:val="both"/>
        <w:rPr>
          <w:rFonts w:ascii="Arial" w:hAnsi="Arial" w:cs="Arial"/>
          <w:color w:val="000000" w:themeColor="text1"/>
        </w:rPr>
      </w:pPr>
      <w:r w:rsidRPr="00662585">
        <w:rPr>
          <w:rFonts w:ascii="Arial" w:hAnsi="Arial" w:cs="Arial"/>
          <w:color w:val="000000" w:themeColor="text1"/>
          <w:shd w:val="clear" w:color="auto" w:fill="FFFFFF"/>
        </w:rPr>
        <w:t xml:space="preserve">L. Van Zyl, ‘Agent-Based Virtue Ethics and the Problem of Action Guidance’, </w:t>
      </w:r>
      <w:r w:rsidRPr="00662585">
        <w:rPr>
          <w:rFonts w:ascii="Arial" w:hAnsi="Arial" w:cs="Arial"/>
          <w:i/>
          <w:iCs/>
          <w:color w:val="000000" w:themeColor="text1"/>
          <w:shd w:val="clear" w:color="auto" w:fill="FFFFFF"/>
        </w:rPr>
        <w:t xml:space="preserve">Journal of Moral Philosophy </w:t>
      </w:r>
      <w:r w:rsidRPr="00662585">
        <w:rPr>
          <w:rFonts w:ascii="Arial" w:hAnsi="Arial" w:cs="Arial"/>
          <w:color w:val="000000" w:themeColor="text1"/>
          <w:shd w:val="clear" w:color="auto" w:fill="FFFFFF"/>
        </w:rPr>
        <w:t xml:space="preserve">(2009) 6(1) 50 – 69; L. Van Zyl, ‘Right Action and the Non-Virtuous Agent’ </w:t>
      </w:r>
      <w:r w:rsidRPr="00662585">
        <w:rPr>
          <w:rFonts w:ascii="Arial" w:hAnsi="Arial" w:cs="Arial"/>
          <w:i/>
          <w:iCs/>
          <w:color w:val="000000" w:themeColor="text1"/>
          <w:shd w:val="clear" w:color="auto" w:fill="FFFFFF"/>
        </w:rPr>
        <w:t xml:space="preserve">Journal of Applied Philosophy </w:t>
      </w:r>
      <w:r w:rsidRPr="00662585">
        <w:rPr>
          <w:rFonts w:ascii="Arial" w:hAnsi="Arial" w:cs="Arial"/>
          <w:color w:val="000000" w:themeColor="text1"/>
          <w:shd w:val="clear" w:color="auto" w:fill="FFFFFF"/>
        </w:rPr>
        <w:t>(2011) 28(1) 80 – 92.</w:t>
      </w:r>
    </w:p>
    <w:p w14:paraId="3566F4B4" w14:textId="77777777" w:rsidR="00B22BBD" w:rsidRDefault="00B22BBD" w:rsidP="00B22BBD">
      <w:pPr>
        <w:spacing w:line="360" w:lineRule="auto"/>
        <w:jc w:val="both"/>
        <w:rPr>
          <w:rFonts w:ascii="Arial" w:hAnsi="Arial" w:cs="Arial"/>
          <w:color w:val="000000" w:themeColor="text1"/>
        </w:rPr>
      </w:pPr>
    </w:p>
    <w:p w14:paraId="49C67462" w14:textId="77777777" w:rsidR="00B22BBD" w:rsidRPr="009F74E9" w:rsidRDefault="00B22BBD" w:rsidP="00B22BBD">
      <w:pPr>
        <w:spacing w:line="360" w:lineRule="auto"/>
        <w:jc w:val="both"/>
        <w:rPr>
          <w:rFonts w:ascii="Arial" w:hAnsi="Arial" w:cs="Arial"/>
          <w:color w:val="000000" w:themeColor="text1"/>
        </w:rPr>
      </w:pPr>
      <w:r w:rsidRPr="009F74E9">
        <w:rPr>
          <w:rFonts w:ascii="Arial" w:hAnsi="Arial" w:cs="Arial"/>
          <w:color w:val="000000" w:themeColor="text1"/>
        </w:rPr>
        <w:t xml:space="preserve">Vayrynen P  </w:t>
      </w:r>
      <w:r w:rsidRPr="009F74E9">
        <w:rPr>
          <w:rFonts w:ascii="Arial" w:hAnsi="Arial" w:cs="Arial"/>
          <w:i/>
          <w:iCs/>
          <w:color w:val="000000" w:themeColor="text1"/>
        </w:rPr>
        <w:t>‘</w:t>
      </w:r>
      <w:r w:rsidRPr="009F74E9">
        <w:rPr>
          <w:rFonts w:ascii="Arial" w:hAnsi="Arial" w:cs="Arial"/>
          <w:color w:val="000000" w:themeColor="text1"/>
        </w:rPr>
        <w:t>Ethical Theories and Moral Guidance’</w:t>
      </w:r>
      <w:r w:rsidRPr="009F74E9">
        <w:rPr>
          <w:rFonts w:ascii="Arial" w:hAnsi="Arial" w:cs="Arial"/>
          <w:i/>
          <w:iCs/>
          <w:color w:val="000000" w:themeColor="text1"/>
        </w:rPr>
        <w:t xml:space="preserve"> Utilitas </w:t>
      </w:r>
      <w:r w:rsidRPr="009F74E9">
        <w:rPr>
          <w:rFonts w:ascii="Arial" w:hAnsi="Arial" w:cs="Arial"/>
          <w:color w:val="000000" w:themeColor="text1"/>
        </w:rPr>
        <w:t>(2006) 18(3) 291 – 309.</w:t>
      </w:r>
    </w:p>
    <w:p w14:paraId="5D6BA905" w14:textId="77777777" w:rsidR="00B22BBD" w:rsidRPr="00662585" w:rsidRDefault="00B22BBD" w:rsidP="00B22BBD">
      <w:pPr>
        <w:pStyle w:val="ListParagraph"/>
        <w:spacing w:line="360" w:lineRule="auto"/>
        <w:jc w:val="both"/>
        <w:rPr>
          <w:rFonts w:ascii="Arial" w:hAnsi="Arial" w:cs="Arial"/>
          <w:color w:val="000000" w:themeColor="text1"/>
        </w:rPr>
      </w:pPr>
      <w:r w:rsidRPr="00662585">
        <w:rPr>
          <w:rFonts w:ascii="Arial" w:hAnsi="Arial" w:cs="Arial"/>
          <w:color w:val="000000" w:themeColor="text1"/>
        </w:rPr>
        <w:t xml:space="preserve">Varynnen ‘Usable Moral Principles’ </w:t>
      </w:r>
      <w:r w:rsidRPr="00662585">
        <w:rPr>
          <w:rFonts w:ascii="Arial" w:hAnsi="Arial" w:cs="Arial"/>
          <w:i/>
          <w:iCs/>
          <w:color w:val="000000" w:themeColor="text1"/>
        </w:rPr>
        <w:t xml:space="preserve">Challenging Moral Particularism </w:t>
      </w:r>
      <w:r w:rsidRPr="00662585">
        <w:rPr>
          <w:rFonts w:ascii="Arial" w:hAnsi="Arial" w:cs="Arial"/>
          <w:color w:val="000000" w:themeColor="text1"/>
        </w:rPr>
        <w:t>ed.  M.Lance, M.Portc and V. Strahovnik .  2006?</w:t>
      </w:r>
    </w:p>
    <w:p w14:paraId="0640015B" w14:textId="77777777" w:rsidR="00B22BBD" w:rsidRPr="00662585" w:rsidRDefault="00B22BBD" w:rsidP="00B22BBD">
      <w:pPr>
        <w:shd w:val="clear" w:color="auto" w:fill="FFFFFF"/>
        <w:spacing w:before="100" w:beforeAutospacing="1" w:after="120" w:line="360" w:lineRule="auto"/>
        <w:jc w:val="both"/>
        <w:rPr>
          <w:rFonts w:ascii="Arial" w:hAnsi="Arial" w:cs="Arial"/>
          <w:color w:val="000000" w:themeColor="text1"/>
        </w:rPr>
      </w:pPr>
      <w:r w:rsidRPr="00662585">
        <w:rPr>
          <w:rFonts w:ascii="Arial" w:hAnsi="Arial" w:cs="Arial"/>
          <w:color w:val="000000" w:themeColor="text1"/>
        </w:rPr>
        <w:t>Zagzebski  2017, </w:t>
      </w:r>
      <w:r w:rsidRPr="00662585">
        <w:rPr>
          <w:rFonts w:ascii="Arial" w:hAnsi="Arial" w:cs="Arial"/>
          <w:i/>
          <w:iCs/>
          <w:color w:val="000000" w:themeColor="text1"/>
        </w:rPr>
        <w:t>Exemplarist Moral Theory</w:t>
      </w:r>
      <w:r w:rsidRPr="00662585">
        <w:rPr>
          <w:rFonts w:ascii="Arial" w:hAnsi="Arial" w:cs="Arial"/>
          <w:color w:val="000000" w:themeColor="text1"/>
        </w:rPr>
        <w:t>, New York: Oxford University Press.</w:t>
      </w:r>
    </w:p>
    <w:p w14:paraId="6080C00C" w14:textId="77777777" w:rsidR="00B22BBD" w:rsidRPr="00662585" w:rsidRDefault="00B22BBD" w:rsidP="00B22BBD">
      <w:pPr>
        <w:spacing w:line="360" w:lineRule="auto"/>
        <w:jc w:val="both"/>
        <w:rPr>
          <w:rFonts w:ascii="Arial" w:hAnsi="Arial" w:cs="Arial"/>
          <w:color w:val="000000" w:themeColor="text1"/>
        </w:rPr>
      </w:pPr>
    </w:p>
    <w:p w14:paraId="46546AD8" w14:textId="77777777" w:rsidR="00B22BBD" w:rsidRPr="00662585" w:rsidRDefault="00B22BBD" w:rsidP="00B22BBD">
      <w:pPr>
        <w:spacing w:line="360" w:lineRule="auto"/>
        <w:jc w:val="both"/>
        <w:rPr>
          <w:rFonts w:ascii="Arial" w:hAnsi="Arial" w:cs="Arial"/>
          <w:color w:val="000000" w:themeColor="text1"/>
        </w:rPr>
      </w:pPr>
    </w:p>
    <w:p w14:paraId="2F93BC2F" w14:textId="77777777" w:rsidR="00B22BBD" w:rsidRPr="00662585" w:rsidRDefault="00B22BBD" w:rsidP="00B22BBD">
      <w:pPr>
        <w:spacing w:line="360" w:lineRule="auto"/>
        <w:jc w:val="both"/>
        <w:rPr>
          <w:rFonts w:ascii="Arial" w:hAnsi="Arial" w:cs="Arial"/>
          <w:color w:val="000000" w:themeColor="text1"/>
          <w:w w:val="105"/>
        </w:rPr>
      </w:pPr>
      <w:r w:rsidRPr="00662585">
        <w:rPr>
          <w:rFonts w:ascii="Arial" w:hAnsi="Arial" w:cs="Arial"/>
          <w:color w:val="000000" w:themeColor="text1"/>
          <w:w w:val="105"/>
        </w:rPr>
        <w:lastRenderedPageBreak/>
        <w:t>Jackson,</w:t>
      </w:r>
      <w:r w:rsidRPr="00662585">
        <w:rPr>
          <w:rFonts w:ascii="Arial" w:hAnsi="Arial" w:cs="Arial"/>
          <w:color w:val="000000" w:themeColor="text1"/>
          <w:spacing w:val="40"/>
          <w:w w:val="105"/>
        </w:rPr>
        <w:t xml:space="preserve"> </w:t>
      </w:r>
      <w:r w:rsidRPr="00662585">
        <w:rPr>
          <w:rFonts w:ascii="Arial" w:hAnsi="Arial" w:cs="Arial"/>
          <w:color w:val="000000" w:themeColor="text1"/>
          <w:w w:val="105"/>
        </w:rPr>
        <w:t>F.</w:t>
      </w:r>
      <w:r w:rsidRPr="00662585">
        <w:rPr>
          <w:rFonts w:ascii="Arial" w:hAnsi="Arial" w:cs="Arial"/>
          <w:color w:val="000000" w:themeColor="text1"/>
          <w:spacing w:val="40"/>
          <w:w w:val="105"/>
        </w:rPr>
        <w:t xml:space="preserve"> </w:t>
      </w:r>
      <w:r w:rsidRPr="00662585">
        <w:rPr>
          <w:rFonts w:ascii="Arial" w:hAnsi="Arial" w:cs="Arial"/>
          <w:color w:val="000000" w:themeColor="text1"/>
          <w:w w:val="105"/>
        </w:rPr>
        <w:t>(1991) 'Decision-theoretic Consequentialism</w:t>
      </w:r>
      <w:r w:rsidRPr="00662585">
        <w:rPr>
          <w:rFonts w:ascii="Arial" w:hAnsi="Arial" w:cs="Arial"/>
          <w:color w:val="000000" w:themeColor="text1"/>
          <w:spacing w:val="40"/>
          <w:w w:val="105"/>
        </w:rPr>
        <w:t xml:space="preserve"> </w:t>
      </w:r>
      <w:r w:rsidRPr="00662585">
        <w:rPr>
          <w:rFonts w:ascii="Arial" w:hAnsi="Arial" w:cs="Arial"/>
          <w:color w:val="000000" w:themeColor="text1"/>
          <w:w w:val="105"/>
        </w:rPr>
        <w:t>and</w:t>
      </w:r>
      <w:r w:rsidRPr="00662585">
        <w:rPr>
          <w:rFonts w:ascii="Arial" w:hAnsi="Arial" w:cs="Arial"/>
          <w:color w:val="000000" w:themeColor="text1"/>
          <w:spacing w:val="40"/>
          <w:w w:val="105"/>
        </w:rPr>
        <w:t xml:space="preserve"> </w:t>
      </w:r>
      <w:r w:rsidRPr="00662585">
        <w:rPr>
          <w:rFonts w:ascii="Arial" w:hAnsi="Arial" w:cs="Arial"/>
          <w:color w:val="000000" w:themeColor="text1"/>
          <w:w w:val="105"/>
        </w:rPr>
        <w:t>the</w:t>
      </w:r>
      <w:r w:rsidRPr="00662585">
        <w:rPr>
          <w:rFonts w:ascii="Arial" w:hAnsi="Arial" w:cs="Arial"/>
          <w:color w:val="000000" w:themeColor="text1"/>
          <w:spacing w:val="40"/>
          <w:w w:val="105"/>
        </w:rPr>
        <w:t xml:space="preserve"> </w:t>
      </w:r>
      <w:r w:rsidRPr="00662585">
        <w:rPr>
          <w:rFonts w:ascii="Arial" w:hAnsi="Arial" w:cs="Arial"/>
          <w:color w:val="000000" w:themeColor="text1"/>
          <w:w w:val="105"/>
        </w:rPr>
        <w:t>Nearest</w:t>
      </w:r>
      <w:r w:rsidRPr="00662585">
        <w:rPr>
          <w:rFonts w:ascii="Arial" w:hAnsi="Arial" w:cs="Arial"/>
          <w:color w:val="000000" w:themeColor="text1"/>
        </w:rPr>
        <w:t xml:space="preserve"> </w:t>
      </w:r>
      <w:r w:rsidRPr="00662585">
        <w:rPr>
          <w:rFonts w:ascii="Arial" w:hAnsi="Arial" w:cs="Arial"/>
          <w:color w:val="000000" w:themeColor="text1"/>
          <w:w w:val="105"/>
        </w:rPr>
        <w:t xml:space="preserve">and Dearest Objection', Ethics 101, 461–482; </w:t>
      </w:r>
    </w:p>
    <w:p w14:paraId="51A71723" w14:textId="77777777" w:rsidR="00B22BBD" w:rsidRPr="00662585" w:rsidRDefault="00B22BBD" w:rsidP="00B22BBD">
      <w:pPr>
        <w:spacing w:line="360" w:lineRule="auto"/>
        <w:jc w:val="both"/>
        <w:rPr>
          <w:rFonts w:ascii="Arial" w:hAnsi="Arial" w:cs="Arial"/>
          <w:color w:val="000000" w:themeColor="text1"/>
          <w:w w:val="105"/>
        </w:rPr>
      </w:pPr>
    </w:p>
    <w:p w14:paraId="122F7F2C"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Bales (1971) ‘Act-utilitarianism: Account of right-making characteristics or decision-making procedure?’ </w:t>
      </w:r>
      <w:r w:rsidRPr="00662585">
        <w:rPr>
          <w:rFonts w:ascii="Arial" w:hAnsi="Arial" w:cs="Arial"/>
          <w:i/>
          <w:iCs/>
          <w:color w:val="000000" w:themeColor="text1"/>
        </w:rPr>
        <w:t>American Philosophical Quarterly</w:t>
      </w:r>
      <w:r w:rsidRPr="00662585">
        <w:rPr>
          <w:rFonts w:ascii="Arial" w:hAnsi="Arial" w:cs="Arial"/>
          <w:color w:val="000000" w:themeColor="text1"/>
        </w:rPr>
        <w:t xml:space="preserve"> (1971) 8 257-265.</w:t>
      </w:r>
    </w:p>
    <w:p w14:paraId="432E6C36" w14:textId="77777777" w:rsidR="00B22BBD" w:rsidRDefault="00B22BBD" w:rsidP="00B22BBD">
      <w:pPr>
        <w:spacing w:line="360" w:lineRule="auto"/>
        <w:jc w:val="both"/>
        <w:rPr>
          <w:rFonts w:ascii="Arial" w:hAnsi="Arial" w:cs="Arial"/>
          <w:color w:val="000000" w:themeColor="text1"/>
        </w:rPr>
      </w:pPr>
    </w:p>
    <w:p w14:paraId="66FA3A6B"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Brandt,</w:t>
      </w:r>
      <w:r w:rsidRPr="00662585">
        <w:rPr>
          <w:rFonts w:ascii="Arial" w:hAnsi="Arial" w:cs="Arial"/>
          <w:color w:val="000000" w:themeColor="text1"/>
          <w:spacing w:val="40"/>
        </w:rPr>
        <w:t xml:space="preserve"> </w:t>
      </w:r>
      <w:r w:rsidRPr="00662585">
        <w:rPr>
          <w:rFonts w:ascii="Arial" w:hAnsi="Arial" w:cs="Arial"/>
          <w:color w:val="000000" w:themeColor="text1"/>
        </w:rPr>
        <w:t>R.</w:t>
      </w:r>
      <w:r w:rsidRPr="00662585">
        <w:rPr>
          <w:rFonts w:ascii="Arial" w:hAnsi="Arial" w:cs="Arial"/>
          <w:color w:val="000000" w:themeColor="text1"/>
          <w:spacing w:val="40"/>
        </w:rPr>
        <w:t xml:space="preserve"> </w:t>
      </w:r>
      <w:r w:rsidRPr="008D5AFD">
        <w:rPr>
          <w:rFonts w:ascii="Arial" w:hAnsi="Arial" w:cs="Arial"/>
          <w:i/>
          <w:iCs/>
          <w:color w:val="000000" w:themeColor="text1"/>
        </w:rPr>
        <w:t>Ethical</w:t>
      </w:r>
      <w:r w:rsidRPr="008D5AFD">
        <w:rPr>
          <w:rFonts w:ascii="Arial" w:hAnsi="Arial" w:cs="Arial"/>
          <w:i/>
          <w:iCs/>
          <w:color w:val="000000" w:themeColor="text1"/>
          <w:spacing w:val="39"/>
        </w:rPr>
        <w:t xml:space="preserve"> </w:t>
      </w:r>
      <w:r w:rsidRPr="008D5AFD">
        <w:rPr>
          <w:rFonts w:ascii="Arial" w:hAnsi="Arial" w:cs="Arial"/>
          <w:i/>
          <w:iCs/>
          <w:color w:val="000000" w:themeColor="text1"/>
        </w:rPr>
        <w:t>Theory:</w:t>
      </w:r>
      <w:r w:rsidRPr="008D5AFD">
        <w:rPr>
          <w:rFonts w:ascii="Arial" w:hAnsi="Arial" w:cs="Arial"/>
          <w:i/>
          <w:iCs/>
          <w:color w:val="000000" w:themeColor="text1"/>
          <w:spacing w:val="40"/>
        </w:rPr>
        <w:t xml:space="preserve"> </w:t>
      </w:r>
      <w:r w:rsidRPr="008D5AFD">
        <w:rPr>
          <w:rFonts w:ascii="Arial" w:hAnsi="Arial" w:cs="Arial"/>
          <w:i/>
          <w:iCs/>
          <w:color w:val="000000" w:themeColor="text1"/>
        </w:rPr>
        <w:t>The</w:t>
      </w:r>
      <w:r w:rsidRPr="008D5AFD">
        <w:rPr>
          <w:rFonts w:ascii="Arial" w:hAnsi="Arial" w:cs="Arial"/>
          <w:i/>
          <w:iCs/>
          <w:color w:val="000000" w:themeColor="text1"/>
          <w:spacing w:val="40"/>
        </w:rPr>
        <w:t xml:space="preserve"> </w:t>
      </w:r>
      <w:r w:rsidRPr="008D5AFD">
        <w:rPr>
          <w:rFonts w:ascii="Arial" w:hAnsi="Arial" w:cs="Arial"/>
          <w:i/>
          <w:iCs/>
          <w:color w:val="000000" w:themeColor="text1"/>
        </w:rPr>
        <w:t>Problems</w:t>
      </w:r>
      <w:r w:rsidRPr="008D5AFD">
        <w:rPr>
          <w:rFonts w:ascii="Arial" w:hAnsi="Arial" w:cs="Arial"/>
          <w:i/>
          <w:iCs/>
          <w:color w:val="000000" w:themeColor="text1"/>
          <w:spacing w:val="40"/>
        </w:rPr>
        <w:t xml:space="preserve"> </w:t>
      </w:r>
      <w:r w:rsidRPr="008D5AFD">
        <w:rPr>
          <w:rFonts w:ascii="Arial" w:hAnsi="Arial" w:cs="Arial"/>
          <w:i/>
          <w:iCs/>
          <w:color w:val="000000" w:themeColor="text1"/>
        </w:rPr>
        <w:t>of</w:t>
      </w:r>
      <w:r w:rsidRPr="008D5AFD">
        <w:rPr>
          <w:rFonts w:ascii="Arial" w:hAnsi="Arial" w:cs="Arial"/>
          <w:i/>
          <w:iCs/>
          <w:color w:val="000000" w:themeColor="text1"/>
          <w:spacing w:val="40"/>
        </w:rPr>
        <w:t xml:space="preserve"> </w:t>
      </w:r>
      <w:r w:rsidRPr="008D5AFD">
        <w:rPr>
          <w:rFonts w:ascii="Arial" w:hAnsi="Arial" w:cs="Arial"/>
          <w:i/>
          <w:iCs/>
          <w:color w:val="000000" w:themeColor="text1"/>
        </w:rPr>
        <w:t>Normative</w:t>
      </w:r>
      <w:r w:rsidRPr="008D5AFD">
        <w:rPr>
          <w:rFonts w:ascii="Arial" w:hAnsi="Arial" w:cs="Arial"/>
          <w:i/>
          <w:iCs/>
          <w:color w:val="000000" w:themeColor="text1"/>
          <w:spacing w:val="40"/>
        </w:rPr>
        <w:t xml:space="preserve"> </w:t>
      </w:r>
      <w:r w:rsidRPr="008D5AFD">
        <w:rPr>
          <w:rFonts w:ascii="Arial" w:hAnsi="Arial" w:cs="Arial"/>
          <w:i/>
          <w:iCs/>
          <w:color w:val="000000" w:themeColor="text1"/>
        </w:rPr>
        <w:t>and</w:t>
      </w:r>
      <w:r w:rsidRPr="008D5AFD">
        <w:rPr>
          <w:rFonts w:ascii="Arial" w:hAnsi="Arial" w:cs="Arial"/>
          <w:i/>
          <w:iCs/>
          <w:color w:val="000000" w:themeColor="text1"/>
          <w:spacing w:val="40"/>
        </w:rPr>
        <w:t xml:space="preserve"> </w:t>
      </w:r>
      <w:r w:rsidRPr="008D5AFD">
        <w:rPr>
          <w:rFonts w:ascii="Arial" w:hAnsi="Arial" w:cs="Arial"/>
          <w:i/>
          <w:iCs/>
          <w:color w:val="000000" w:themeColor="text1"/>
        </w:rPr>
        <w:t xml:space="preserve">Critical Ethics, </w:t>
      </w:r>
      <w:r w:rsidRPr="00662585">
        <w:rPr>
          <w:rFonts w:ascii="Arial" w:hAnsi="Arial" w:cs="Arial"/>
          <w:color w:val="000000" w:themeColor="text1"/>
        </w:rPr>
        <w:t>Englewood Cli</w:t>
      </w:r>
      <w:r w:rsidRPr="00662585">
        <w:rPr>
          <w:rFonts w:ascii="Cambria Math" w:hAnsi="Cambria Math" w:cs="Cambria Math"/>
          <w:color w:val="000000" w:themeColor="text1"/>
        </w:rPr>
        <w:t>ﬀ</w:t>
      </w:r>
      <w:r w:rsidRPr="00662585">
        <w:rPr>
          <w:rFonts w:ascii="Arial" w:hAnsi="Arial" w:cs="Arial"/>
          <w:color w:val="000000" w:themeColor="text1"/>
        </w:rPr>
        <w:t>s: Prentice-Hall</w:t>
      </w:r>
      <w:r>
        <w:rPr>
          <w:rFonts w:ascii="Arial" w:hAnsi="Arial" w:cs="Arial"/>
          <w:color w:val="000000" w:themeColor="text1"/>
        </w:rPr>
        <w:t>, 1959)</w:t>
      </w:r>
    </w:p>
    <w:p w14:paraId="289FFCCE" w14:textId="77777777" w:rsidR="00B22BBD" w:rsidRPr="00662585" w:rsidRDefault="00B22BBD" w:rsidP="00B22BBD">
      <w:pPr>
        <w:spacing w:line="360" w:lineRule="auto"/>
        <w:jc w:val="both"/>
        <w:rPr>
          <w:rFonts w:ascii="Arial" w:hAnsi="Arial" w:cs="Arial"/>
          <w:color w:val="000000" w:themeColor="text1"/>
        </w:rPr>
      </w:pPr>
    </w:p>
    <w:p w14:paraId="1CB22DD3" w14:textId="77777777" w:rsidR="00B22BBD"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 xml:space="preserve">Frankena, W.K.  </w:t>
      </w:r>
      <w:r w:rsidRPr="00662585">
        <w:rPr>
          <w:rFonts w:ascii="Arial" w:hAnsi="Arial" w:cs="Arial"/>
          <w:i/>
          <w:iCs/>
          <w:color w:val="000000" w:themeColor="text1"/>
        </w:rPr>
        <w:t>Ethics</w:t>
      </w:r>
      <w:r w:rsidRPr="00662585">
        <w:rPr>
          <w:rFonts w:ascii="Arial" w:hAnsi="Arial" w:cs="Arial"/>
          <w:color w:val="000000" w:themeColor="text1"/>
        </w:rPr>
        <w:t xml:space="preserve"> (New Jersey, Englewood Cliffs: Prentice Hall,1973) 65 – 67.</w:t>
      </w:r>
    </w:p>
    <w:p w14:paraId="7A94B9F6" w14:textId="77777777" w:rsidR="00B22BBD" w:rsidRPr="00662585" w:rsidRDefault="00B22BBD" w:rsidP="00B22BBD">
      <w:pPr>
        <w:spacing w:line="360" w:lineRule="auto"/>
        <w:jc w:val="both"/>
        <w:rPr>
          <w:rFonts w:ascii="Arial" w:hAnsi="Arial" w:cs="Arial"/>
          <w:color w:val="000000" w:themeColor="text1"/>
        </w:rPr>
      </w:pPr>
    </w:p>
    <w:p w14:paraId="36AF090E"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Smith Making moral decision (1988) Nous 22 89 -108</w:t>
      </w:r>
    </w:p>
    <w:p w14:paraId="73FB2D22" w14:textId="77777777" w:rsidR="00B22BBD" w:rsidRPr="00662585" w:rsidRDefault="00B22BBD" w:rsidP="00B22BBD">
      <w:pPr>
        <w:spacing w:line="360" w:lineRule="auto"/>
        <w:ind w:firstLine="720"/>
        <w:jc w:val="both"/>
        <w:rPr>
          <w:rFonts w:ascii="Arial" w:hAnsi="Arial" w:cs="Arial"/>
          <w:color w:val="000000" w:themeColor="text1"/>
        </w:rPr>
      </w:pPr>
      <w:r w:rsidRPr="00662585">
        <w:rPr>
          <w:rFonts w:ascii="Arial" w:hAnsi="Arial" w:cs="Arial"/>
          <w:color w:val="000000" w:themeColor="text1"/>
        </w:rPr>
        <w:t>Driver, Julia, "Moral Theory", </w:t>
      </w:r>
      <w:r w:rsidRPr="00662585">
        <w:rPr>
          <w:rStyle w:val="Emphasis"/>
          <w:rFonts w:ascii="Arial" w:hAnsi="Arial" w:cs="Arial"/>
          <w:color w:val="000000" w:themeColor="text1"/>
        </w:rPr>
        <w:t>The Stanford Encyclopedia of Philosophy </w:t>
      </w:r>
      <w:r w:rsidRPr="00662585">
        <w:rPr>
          <w:rFonts w:ascii="Arial" w:hAnsi="Arial" w:cs="Arial"/>
          <w:color w:val="000000" w:themeColor="text1"/>
        </w:rPr>
        <w:t>(Fall 2022</w:t>
      </w:r>
      <w:r w:rsidRPr="00662585">
        <w:rPr>
          <w:rFonts w:ascii="Arial" w:hAnsi="Arial" w:cs="Arial"/>
          <w:color w:val="000000" w:themeColor="text1"/>
        </w:rPr>
        <w:tab/>
        <w:t>Edition), Edward N. Zalta &amp; Uri Nodelman (eds.). URL =</w:t>
      </w:r>
      <w:r w:rsidRPr="00662585">
        <w:rPr>
          <w:rFonts w:ascii="Arial" w:hAnsi="Arial" w:cs="Arial"/>
          <w:color w:val="000000" w:themeColor="text1"/>
        </w:rPr>
        <w:tab/>
        <w:t>&lt;https://plato.stanford.edu/archives/fall2022/entries/moral-theory/&gt;.</w:t>
      </w:r>
    </w:p>
    <w:p w14:paraId="05FF6365" w14:textId="77777777" w:rsidR="00B22BBD" w:rsidRPr="00662585" w:rsidRDefault="00B22BBD" w:rsidP="00B22BBD">
      <w:pPr>
        <w:spacing w:line="360" w:lineRule="auto"/>
        <w:jc w:val="both"/>
        <w:rPr>
          <w:rFonts w:ascii="Arial" w:hAnsi="Arial" w:cs="Arial"/>
          <w:color w:val="000000" w:themeColor="text1"/>
        </w:rPr>
      </w:pPr>
    </w:p>
    <w:p w14:paraId="3194DEB4"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Hill., T.E.‘Kantian Normative Ethics’, David Copp (ed.) The Oxford Handbook of Ethical Theory, Oxford Handbooks (2007; online edition Oxford Academic 2 Sept 2009).</w:t>
      </w:r>
    </w:p>
    <w:p w14:paraId="37305E08" w14:textId="77777777" w:rsidR="00B22BBD" w:rsidRPr="00662585" w:rsidRDefault="00B22BBD" w:rsidP="00B22BBD">
      <w:pPr>
        <w:spacing w:line="360" w:lineRule="auto"/>
        <w:jc w:val="both"/>
        <w:rPr>
          <w:rFonts w:ascii="Arial" w:hAnsi="Arial" w:cs="Arial"/>
          <w:color w:val="000000" w:themeColor="text1"/>
        </w:rPr>
      </w:pPr>
    </w:p>
    <w:p w14:paraId="55942D0D" w14:textId="77777777" w:rsidR="00B22BBD" w:rsidRPr="00662585" w:rsidRDefault="00B22BBD" w:rsidP="00B22BBD">
      <w:pPr>
        <w:pStyle w:val="FootnoteText"/>
        <w:spacing w:line="360" w:lineRule="auto"/>
        <w:jc w:val="both"/>
        <w:rPr>
          <w:rFonts w:ascii="Arial" w:hAnsi="Arial" w:cs="Arial"/>
          <w:color w:val="000000" w:themeColor="text1"/>
          <w:sz w:val="24"/>
          <w:szCs w:val="24"/>
        </w:rPr>
      </w:pPr>
      <w:r w:rsidRPr="00662585">
        <w:rPr>
          <w:rFonts w:ascii="Arial" w:hAnsi="Arial" w:cs="Arial"/>
          <w:color w:val="000000" w:themeColor="text1"/>
          <w:sz w:val="24"/>
          <w:szCs w:val="24"/>
        </w:rPr>
        <w:t xml:space="preserve">Hurka , T. </w:t>
      </w:r>
      <w:r w:rsidRPr="00662585">
        <w:rPr>
          <w:rFonts w:ascii="Arial" w:hAnsi="Arial" w:cs="Arial"/>
          <w:i/>
          <w:iCs/>
          <w:color w:val="000000" w:themeColor="text1"/>
          <w:sz w:val="24"/>
          <w:szCs w:val="24"/>
        </w:rPr>
        <w:t xml:space="preserve">Virtue, Vice, and Value </w:t>
      </w:r>
      <w:r w:rsidRPr="00662585">
        <w:rPr>
          <w:rFonts w:ascii="Arial" w:hAnsi="Arial" w:cs="Arial"/>
          <w:color w:val="000000" w:themeColor="text1"/>
          <w:sz w:val="24"/>
          <w:szCs w:val="24"/>
        </w:rPr>
        <w:t>(Oxford: OUP, 2001)</w:t>
      </w:r>
    </w:p>
    <w:p w14:paraId="309124E3" w14:textId="77777777" w:rsidR="00B22BBD" w:rsidRPr="00662585" w:rsidRDefault="00B22BBD" w:rsidP="00B22BBD">
      <w:pPr>
        <w:spacing w:line="360" w:lineRule="auto"/>
        <w:jc w:val="both"/>
        <w:rPr>
          <w:rFonts w:ascii="Arial" w:hAnsi="Arial" w:cs="Arial"/>
          <w:color w:val="000000" w:themeColor="text1"/>
        </w:rPr>
      </w:pPr>
    </w:p>
    <w:p w14:paraId="4B40F826" w14:textId="77777777" w:rsidR="00B22BBD" w:rsidRPr="00662585" w:rsidRDefault="00B22BBD" w:rsidP="00B22BBD">
      <w:pPr>
        <w:spacing w:line="360" w:lineRule="auto"/>
        <w:jc w:val="both"/>
        <w:rPr>
          <w:rFonts w:ascii="Arial" w:hAnsi="Arial" w:cs="Arial"/>
          <w:color w:val="000000" w:themeColor="text1"/>
        </w:rPr>
      </w:pPr>
      <w:r w:rsidRPr="00662585">
        <w:rPr>
          <w:rFonts w:ascii="Arial" w:hAnsi="Arial" w:cs="Arial"/>
          <w:color w:val="000000" w:themeColor="text1"/>
        </w:rPr>
        <w:t>Louden, R. Morality and Moral Theory: A Reappraisal and Reaffirmation (Oxford: OUP, 1992)</w:t>
      </w:r>
    </w:p>
    <w:p w14:paraId="167CA1EC" w14:textId="77777777" w:rsidR="00B22BBD" w:rsidRPr="00662585" w:rsidRDefault="00B22BBD" w:rsidP="00B22BBD">
      <w:pPr>
        <w:pStyle w:val="ListParagraph"/>
        <w:spacing w:line="360" w:lineRule="auto"/>
        <w:jc w:val="both"/>
        <w:rPr>
          <w:rFonts w:ascii="Arial" w:hAnsi="Arial" w:cs="Arial"/>
          <w:color w:val="000000" w:themeColor="text1"/>
        </w:rPr>
      </w:pPr>
      <w:r w:rsidRPr="00662585">
        <w:rPr>
          <w:rFonts w:ascii="Arial" w:hAnsi="Arial" w:cs="Arial"/>
          <w:color w:val="000000" w:themeColor="text1"/>
        </w:rPr>
        <w:t xml:space="preserve">Sean McKeever and Michael Ridge, ‘The Many Moral Particularisms’ </w:t>
      </w:r>
      <w:r w:rsidRPr="00662585">
        <w:rPr>
          <w:rFonts w:ascii="Arial" w:hAnsi="Arial" w:cs="Arial"/>
          <w:i/>
          <w:iCs/>
          <w:color w:val="000000" w:themeColor="text1"/>
        </w:rPr>
        <w:t>Canadian Journal of Philosophy</w:t>
      </w:r>
      <w:r w:rsidRPr="00662585">
        <w:rPr>
          <w:rFonts w:ascii="Arial" w:hAnsi="Arial" w:cs="Arial"/>
          <w:color w:val="000000" w:themeColor="text1"/>
        </w:rPr>
        <w:t xml:space="preserve">  35 (2005) 83 – 106. </w:t>
      </w:r>
    </w:p>
    <w:p w14:paraId="25BD2888" w14:textId="77777777" w:rsidR="00B22BBD" w:rsidRDefault="00B22BBD" w:rsidP="007903AD">
      <w:pPr>
        <w:spacing w:line="360" w:lineRule="auto"/>
        <w:ind w:left="720"/>
        <w:jc w:val="both"/>
        <w:rPr>
          <w:rFonts w:ascii="Calibri Light" w:hAnsi="Calibri Light" w:cs="Calibri Light"/>
        </w:rPr>
      </w:pPr>
    </w:p>
    <w:p w14:paraId="5B0BED77" w14:textId="77777777" w:rsidR="00291065" w:rsidRDefault="00291065" w:rsidP="007903AD">
      <w:pPr>
        <w:spacing w:line="360" w:lineRule="auto"/>
        <w:ind w:left="720"/>
        <w:jc w:val="both"/>
        <w:rPr>
          <w:rFonts w:ascii="Calibri Light" w:hAnsi="Calibri Light" w:cs="Calibri Light"/>
        </w:rPr>
      </w:pPr>
    </w:p>
    <w:p w14:paraId="5F4D119F" w14:textId="77777777" w:rsidR="00AB4C7B" w:rsidRDefault="00AB4C7B" w:rsidP="00467DB3">
      <w:pPr>
        <w:spacing w:line="360" w:lineRule="auto"/>
        <w:ind w:left="720"/>
        <w:jc w:val="both"/>
        <w:rPr>
          <w:rFonts w:ascii="Calibri Light" w:hAnsi="Calibri Light" w:cs="Calibri Light"/>
        </w:rPr>
      </w:pPr>
    </w:p>
    <w:p w14:paraId="31465D6C" w14:textId="77777777" w:rsidR="00520547" w:rsidRDefault="00520547"/>
    <w:sectPr w:rsidR="0052054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4A215" w14:textId="77777777" w:rsidR="00A04F9C" w:rsidRDefault="00A04F9C" w:rsidP="00B7769D">
      <w:r>
        <w:separator/>
      </w:r>
    </w:p>
  </w:endnote>
  <w:endnote w:type="continuationSeparator" w:id="0">
    <w:p w14:paraId="06F87DE3" w14:textId="77777777" w:rsidR="00A04F9C" w:rsidRDefault="00A04F9C" w:rsidP="00B77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Merriweather Sans">
    <w:panose1 w:val="00000000000000000000"/>
    <w:charset w:val="4D"/>
    <w:family w:val="auto"/>
    <w:pitch w:val="variable"/>
    <w:sig w:usb0="A00004FF" w:usb1="4000207B" w:usb2="00000000" w:usb3="00000000" w:csb0="0000019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04887500"/>
      <w:docPartObj>
        <w:docPartGallery w:val="Page Numbers (Bottom of Page)"/>
        <w:docPartUnique/>
      </w:docPartObj>
    </w:sdtPr>
    <w:sdtContent>
      <w:p w14:paraId="1C98F380" w14:textId="5FCCF7EB" w:rsidR="001321E4" w:rsidRDefault="001321E4" w:rsidP="004966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DEFCE8" w14:textId="77777777" w:rsidR="001321E4" w:rsidRDefault="001321E4" w:rsidP="001321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95874185"/>
      <w:docPartObj>
        <w:docPartGallery w:val="Page Numbers (Bottom of Page)"/>
        <w:docPartUnique/>
      </w:docPartObj>
    </w:sdtPr>
    <w:sdtContent>
      <w:p w14:paraId="51609175" w14:textId="671B6FB3" w:rsidR="001321E4" w:rsidRDefault="001321E4" w:rsidP="004966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6E4BD8" w14:textId="77777777" w:rsidR="001321E4" w:rsidRDefault="001321E4" w:rsidP="001321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C2DFD" w14:textId="77777777" w:rsidR="00A04F9C" w:rsidRDefault="00A04F9C" w:rsidP="00B7769D">
      <w:r>
        <w:separator/>
      </w:r>
    </w:p>
  </w:footnote>
  <w:footnote w:type="continuationSeparator" w:id="0">
    <w:p w14:paraId="5CC9CAB8" w14:textId="77777777" w:rsidR="00A04F9C" w:rsidRDefault="00A04F9C" w:rsidP="00B7769D">
      <w:r>
        <w:continuationSeparator/>
      </w:r>
    </w:p>
  </w:footnote>
  <w:footnote w:id="1">
    <w:p w14:paraId="399A8DA8" w14:textId="76B15888" w:rsidR="001359A1" w:rsidRPr="00226C32" w:rsidRDefault="00DE2872" w:rsidP="00226C32">
      <w:pPr>
        <w:pStyle w:val="FootnoteText"/>
        <w:jc w:val="both"/>
        <w:rPr>
          <w:rFonts w:ascii="Arial" w:hAnsi="Arial" w:cs="Arial"/>
          <w:color w:val="000000" w:themeColor="text1"/>
          <w:sz w:val="16"/>
          <w:szCs w:val="16"/>
        </w:rPr>
      </w:pPr>
      <w:r w:rsidRPr="00226C32">
        <w:rPr>
          <w:rStyle w:val="FootnoteReference"/>
          <w:rFonts w:ascii="Arial" w:hAnsi="Arial" w:cs="Arial"/>
          <w:color w:val="000000" w:themeColor="text1"/>
          <w:sz w:val="16"/>
          <w:szCs w:val="16"/>
        </w:rPr>
        <w:footnoteRef/>
      </w:r>
      <w:r w:rsidRPr="00226C32">
        <w:rPr>
          <w:rFonts w:ascii="Arial" w:hAnsi="Arial" w:cs="Arial"/>
          <w:color w:val="000000" w:themeColor="text1"/>
          <w:sz w:val="16"/>
          <w:szCs w:val="16"/>
        </w:rPr>
        <w:t xml:space="preserve"> By Virtue Ethics, I mean contemporary Virtue Ethics as developed in the second half of the Twentieth Century. </w:t>
      </w:r>
      <w:r w:rsidR="003A19E5" w:rsidRPr="00226C32">
        <w:rPr>
          <w:rFonts w:ascii="Arial" w:hAnsi="Arial" w:cs="Arial"/>
          <w:color w:val="000000" w:themeColor="text1"/>
          <w:sz w:val="16"/>
          <w:szCs w:val="16"/>
        </w:rPr>
        <w:t>By referring to VE</w:t>
      </w:r>
      <w:r w:rsidR="00AB3ECE" w:rsidRPr="00226C32">
        <w:rPr>
          <w:rFonts w:ascii="Arial" w:hAnsi="Arial" w:cs="Arial"/>
          <w:color w:val="000000" w:themeColor="text1"/>
          <w:sz w:val="16"/>
          <w:szCs w:val="16"/>
        </w:rPr>
        <w:t xml:space="preserve"> (as distinct from Virtue Theory, per Julia Driver)</w:t>
      </w:r>
      <w:r w:rsidR="003A19E5" w:rsidRPr="00226C32">
        <w:rPr>
          <w:rFonts w:ascii="Arial" w:hAnsi="Arial" w:cs="Arial"/>
          <w:color w:val="000000" w:themeColor="text1"/>
          <w:sz w:val="16"/>
          <w:szCs w:val="16"/>
        </w:rPr>
        <w:t xml:space="preserve">, I am referring to all forms of VE, e.g. Aristotelian/Eudaimonist VE (“EVE”) - Rosalind Hursthouse, Julia Annas, Daniel C. Russell; </w:t>
      </w:r>
      <w:r w:rsidR="00A311B9" w:rsidRPr="00226C32">
        <w:rPr>
          <w:rFonts w:ascii="Arial" w:hAnsi="Arial" w:cs="Arial"/>
          <w:color w:val="000000" w:themeColor="text1"/>
          <w:sz w:val="16"/>
          <w:szCs w:val="16"/>
        </w:rPr>
        <w:t>Agent</w:t>
      </w:r>
      <w:r w:rsidR="003A19E5" w:rsidRPr="00226C32">
        <w:rPr>
          <w:rFonts w:ascii="Arial" w:hAnsi="Arial" w:cs="Arial"/>
          <w:color w:val="000000" w:themeColor="text1"/>
          <w:sz w:val="16"/>
          <w:szCs w:val="16"/>
        </w:rPr>
        <w:t>-Based VE</w:t>
      </w:r>
      <w:r w:rsidR="00AB3ECE" w:rsidRPr="00226C32">
        <w:rPr>
          <w:rFonts w:ascii="Arial" w:hAnsi="Arial" w:cs="Arial"/>
          <w:color w:val="000000" w:themeColor="text1"/>
          <w:sz w:val="16"/>
          <w:szCs w:val="16"/>
        </w:rPr>
        <w:t xml:space="preserve"> incl.</w:t>
      </w:r>
      <w:r w:rsidR="003A19E5" w:rsidRPr="00226C32">
        <w:rPr>
          <w:rFonts w:ascii="Arial" w:hAnsi="Arial" w:cs="Arial"/>
          <w:color w:val="000000" w:themeColor="text1"/>
          <w:sz w:val="16"/>
          <w:szCs w:val="16"/>
        </w:rPr>
        <w:t xml:space="preserve"> Michael Slote’s Sentimentalist VE (“SVE”) </w:t>
      </w:r>
      <w:r w:rsidR="00AB3ECE" w:rsidRPr="00226C32">
        <w:rPr>
          <w:rFonts w:ascii="Arial" w:hAnsi="Arial" w:cs="Arial"/>
          <w:color w:val="000000" w:themeColor="text1"/>
          <w:sz w:val="16"/>
          <w:szCs w:val="16"/>
        </w:rPr>
        <w:t xml:space="preserve">and Linda </w:t>
      </w:r>
      <w:r w:rsidR="00A311B9" w:rsidRPr="00226C32">
        <w:rPr>
          <w:rFonts w:ascii="Arial" w:hAnsi="Arial" w:cs="Arial"/>
          <w:color w:val="000000" w:themeColor="text1"/>
          <w:sz w:val="16"/>
          <w:szCs w:val="16"/>
        </w:rPr>
        <w:t>Zagzebski’s</w:t>
      </w:r>
      <w:r w:rsidR="00AB3ECE" w:rsidRPr="00226C32">
        <w:rPr>
          <w:rFonts w:ascii="Arial" w:hAnsi="Arial" w:cs="Arial"/>
          <w:color w:val="000000" w:themeColor="text1"/>
          <w:sz w:val="16"/>
          <w:szCs w:val="16"/>
        </w:rPr>
        <w:t xml:space="preserve"> Exemplarist VE, Daniel Doviak; Target-Based Virtue Ethics (“</w:t>
      </w:r>
      <w:r w:rsidR="00586DEE">
        <w:rPr>
          <w:rFonts w:ascii="Arial" w:hAnsi="Arial" w:cs="Arial"/>
          <w:color w:val="000000" w:themeColor="text1"/>
          <w:sz w:val="16"/>
          <w:szCs w:val="16"/>
        </w:rPr>
        <w:t>TVCE</w:t>
      </w:r>
      <w:r w:rsidR="00AB3ECE" w:rsidRPr="00226C32">
        <w:rPr>
          <w:rFonts w:ascii="Arial" w:hAnsi="Arial" w:cs="Arial"/>
          <w:color w:val="000000" w:themeColor="text1"/>
          <w:sz w:val="16"/>
          <w:szCs w:val="16"/>
        </w:rPr>
        <w:t xml:space="preserve">”)- Christine Swanton, Platonic VE- John Adams but also those who are less amenable to ‘theory’ (e.g. Chappell, Brewer, Hacker-Wright). </w:t>
      </w:r>
    </w:p>
  </w:footnote>
  <w:footnote w:id="2">
    <w:p w14:paraId="23BEA669" w14:textId="4468367B" w:rsidR="001359A1" w:rsidRPr="00226C32" w:rsidRDefault="003D7549" w:rsidP="00226C32">
      <w:pPr>
        <w:jc w:val="both"/>
        <w:rPr>
          <w:rFonts w:ascii="Arial" w:hAnsi="Arial" w:cs="Arial"/>
          <w:color w:val="000000" w:themeColor="text1"/>
          <w:sz w:val="16"/>
          <w:szCs w:val="16"/>
        </w:rPr>
      </w:pPr>
      <w:r w:rsidRPr="00226C32">
        <w:rPr>
          <w:rStyle w:val="FootnoteReference"/>
          <w:rFonts w:ascii="Arial" w:hAnsi="Arial" w:cs="Arial"/>
          <w:color w:val="000000" w:themeColor="text1"/>
          <w:sz w:val="16"/>
          <w:szCs w:val="16"/>
        </w:rPr>
        <w:footnoteRef/>
      </w:r>
      <w:r w:rsidRPr="00226C32">
        <w:rPr>
          <w:rFonts w:ascii="Arial" w:hAnsi="Arial" w:cs="Arial"/>
          <w:color w:val="000000" w:themeColor="text1"/>
          <w:sz w:val="16"/>
          <w:szCs w:val="16"/>
        </w:rPr>
        <w:t xml:space="preserve"> </w:t>
      </w:r>
      <w:r w:rsidR="00DE6C3F" w:rsidRPr="00226C32">
        <w:rPr>
          <w:rFonts w:ascii="Arial" w:hAnsi="Arial" w:cs="Arial"/>
          <w:color w:val="000000" w:themeColor="text1"/>
          <w:sz w:val="16"/>
          <w:szCs w:val="16"/>
        </w:rPr>
        <w:t xml:space="preserve">R.B. </w:t>
      </w:r>
      <w:r w:rsidR="00CE74A7" w:rsidRPr="00226C32">
        <w:rPr>
          <w:rFonts w:ascii="Arial" w:hAnsi="Arial" w:cs="Arial"/>
          <w:color w:val="000000" w:themeColor="text1"/>
          <w:sz w:val="16"/>
          <w:szCs w:val="16"/>
        </w:rPr>
        <w:t xml:space="preserve">Louden, R.B. “On Some Vices of Virtue Ethics” </w:t>
      </w:r>
      <w:r w:rsidR="00DE6C3F" w:rsidRPr="00226C32">
        <w:rPr>
          <w:rFonts w:ascii="Arial" w:hAnsi="Arial" w:cs="Arial"/>
          <w:color w:val="000000" w:themeColor="text1"/>
          <w:sz w:val="16"/>
          <w:szCs w:val="16"/>
        </w:rPr>
        <w:t xml:space="preserve">(1984) </w:t>
      </w:r>
      <w:r w:rsidR="00CE74A7" w:rsidRPr="00226C32">
        <w:rPr>
          <w:rFonts w:ascii="Arial" w:hAnsi="Arial" w:cs="Arial"/>
          <w:color w:val="000000" w:themeColor="text1"/>
          <w:sz w:val="16"/>
          <w:szCs w:val="16"/>
        </w:rPr>
        <w:t>in D. Statman (ed.) Virtue Ethics: A Critical Reader (Edinburgh: Edinburgh UP, 1997), 18</w:t>
      </w:r>
      <w:r w:rsidR="00CE74A7" w:rsidRPr="00226C32">
        <w:rPr>
          <w:rFonts w:ascii="Arial" w:hAnsi="Arial" w:cs="Arial"/>
          <w:color w:val="000000" w:themeColor="text1"/>
          <w:sz w:val="16"/>
          <w:szCs w:val="16"/>
        </w:rPr>
        <w:t>3</w:t>
      </w:r>
      <w:r w:rsidR="00CE74A7" w:rsidRPr="00226C32">
        <w:rPr>
          <w:rFonts w:ascii="Arial" w:hAnsi="Arial" w:cs="Arial"/>
          <w:color w:val="000000" w:themeColor="text1"/>
          <w:sz w:val="16"/>
          <w:szCs w:val="16"/>
        </w:rPr>
        <w:t>.</w:t>
      </w:r>
      <w:r w:rsidR="00CE74A7" w:rsidRPr="00226C32">
        <w:rPr>
          <w:rFonts w:ascii="Arial" w:hAnsi="Arial" w:cs="Arial"/>
          <w:color w:val="000000" w:themeColor="text1"/>
          <w:sz w:val="16"/>
          <w:szCs w:val="16"/>
        </w:rPr>
        <w:t xml:space="preserve"> See also, </w:t>
      </w:r>
      <w:r w:rsidR="00DE6C3F" w:rsidRPr="00226C32">
        <w:rPr>
          <w:rFonts w:ascii="Arial" w:hAnsi="Arial" w:cs="Arial"/>
          <w:color w:val="000000" w:themeColor="text1"/>
          <w:sz w:val="16"/>
          <w:szCs w:val="16"/>
        </w:rPr>
        <w:t xml:space="preserve">J.B. Schneewind, ‘The Misfortunes of Virtue’, Ethics 101 (1990): 42 – 63.  </w:t>
      </w:r>
      <w:r w:rsidR="00CE74A7" w:rsidRPr="00226C32">
        <w:rPr>
          <w:rFonts w:ascii="Arial" w:hAnsi="Arial" w:cs="Arial"/>
          <w:color w:val="000000" w:themeColor="text1"/>
          <w:sz w:val="16"/>
          <w:szCs w:val="16"/>
        </w:rPr>
        <w:t xml:space="preserve"> </w:t>
      </w:r>
      <w:r w:rsidR="00DE6C3F" w:rsidRPr="00226C32">
        <w:rPr>
          <w:rFonts w:ascii="Arial" w:hAnsi="Arial" w:cs="Arial"/>
          <w:color w:val="000000" w:themeColor="text1"/>
          <w:sz w:val="16"/>
          <w:szCs w:val="16"/>
        </w:rPr>
        <w:t>For early criticism re. incompleteness of a putative VE/incompleteness of any NT without virtue (double-aspect theory), see W. Frankena, Ethics (New Jersey</w:t>
      </w:r>
      <w:r w:rsidR="00A261DC" w:rsidRPr="00226C32">
        <w:rPr>
          <w:rFonts w:ascii="Arial" w:hAnsi="Arial" w:cs="Arial"/>
          <w:color w:val="000000" w:themeColor="text1"/>
          <w:sz w:val="16"/>
          <w:szCs w:val="16"/>
        </w:rPr>
        <w:t>, Englewood Cliffs: Prentice Hall,</w:t>
      </w:r>
      <w:r w:rsidR="00DE6C3F" w:rsidRPr="00226C32">
        <w:rPr>
          <w:rFonts w:ascii="Arial" w:hAnsi="Arial" w:cs="Arial"/>
          <w:color w:val="000000" w:themeColor="text1"/>
          <w:sz w:val="16"/>
          <w:szCs w:val="16"/>
        </w:rPr>
        <w:t>1973) 65 – 67.</w:t>
      </w:r>
    </w:p>
  </w:footnote>
  <w:footnote w:id="3">
    <w:p w14:paraId="493476EE" w14:textId="337772F9" w:rsidR="00DE2872" w:rsidRPr="00226C32" w:rsidRDefault="00DE2872" w:rsidP="00226C32">
      <w:pPr>
        <w:pStyle w:val="FootnoteText"/>
        <w:jc w:val="both"/>
        <w:rPr>
          <w:rFonts w:ascii="Arial" w:hAnsi="Arial" w:cs="Arial"/>
          <w:color w:val="000000" w:themeColor="text1"/>
          <w:sz w:val="16"/>
          <w:szCs w:val="16"/>
        </w:rPr>
      </w:pPr>
      <w:r w:rsidRPr="00226C32">
        <w:rPr>
          <w:rStyle w:val="FootnoteReference"/>
          <w:rFonts w:ascii="Arial" w:hAnsi="Arial" w:cs="Arial"/>
          <w:color w:val="000000" w:themeColor="text1"/>
          <w:sz w:val="16"/>
          <w:szCs w:val="16"/>
        </w:rPr>
        <w:footnoteRef/>
      </w:r>
      <w:r w:rsidRPr="00226C32">
        <w:rPr>
          <w:rFonts w:ascii="Arial" w:hAnsi="Arial" w:cs="Arial"/>
          <w:color w:val="000000" w:themeColor="text1"/>
          <w:sz w:val="16"/>
          <w:szCs w:val="16"/>
        </w:rPr>
        <w:t xml:space="preserve"> </w:t>
      </w:r>
      <w:r w:rsidR="00A311B9" w:rsidRPr="00226C32">
        <w:rPr>
          <w:rFonts w:ascii="Arial" w:hAnsi="Arial" w:cs="Arial"/>
          <w:color w:val="000000" w:themeColor="text1"/>
          <w:sz w:val="16"/>
          <w:szCs w:val="16"/>
        </w:rPr>
        <w:t>Louden</w:t>
      </w:r>
      <w:r w:rsidR="00133EFA">
        <w:rPr>
          <w:rFonts w:ascii="Arial" w:hAnsi="Arial" w:cs="Arial"/>
          <w:color w:val="000000" w:themeColor="text1"/>
          <w:sz w:val="16"/>
          <w:szCs w:val="16"/>
        </w:rPr>
        <w:t xml:space="preserve"> (1984)</w:t>
      </w:r>
      <w:r w:rsidR="00A311B9" w:rsidRPr="00226C32">
        <w:rPr>
          <w:rFonts w:ascii="Arial" w:hAnsi="Arial" w:cs="Arial"/>
          <w:color w:val="000000" w:themeColor="text1"/>
          <w:sz w:val="16"/>
          <w:szCs w:val="16"/>
        </w:rPr>
        <w:t xml:space="preserve"> 183</w:t>
      </w:r>
      <w:r w:rsidR="00A311B9" w:rsidRPr="00226C32">
        <w:rPr>
          <w:rFonts w:ascii="Arial" w:hAnsi="Arial" w:cs="Arial"/>
          <w:color w:val="000000" w:themeColor="text1"/>
          <w:sz w:val="16"/>
          <w:szCs w:val="16"/>
        </w:rPr>
        <w:t xml:space="preserve"> - 184</w:t>
      </w:r>
      <w:r w:rsidR="00A311B9" w:rsidRPr="00226C32">
        <w:rPr>
          <w:rFonts w:ascii="Arial" w:hAnsi="Arial" w:cs="Arial"/>
          <w:color w:val="000000" w:themeColor="text1"/>
          <w:sz w:val="16"/>
          <w:szCs w:val="16"/>
        </w:rPr>
        <w:t>.</w:t>
      </w:r>
      <w:r w:rsidR="00A311B9" w:rsidRPr="00226C32">
        <w:rPr>
          <w:rFonts w:ascii="Arial" w:hAnsi="Arial" w:cs="Arial"/>
          <w:color w:val="000000" w:themeColor="text1"/>
          <w:sz w:val="16"/>
          <w:szCs w:val="16"/>
        </w:rPr>
        <w:t xml:space="preserve"> </w:t>
      </w:r>
    </w:p>
  </w:footnote>
  <w:footnote w:id="4">
    <w:p w14:paraId="4CC7E4A2" w14:textId="7954AC0E" w:rsidR="00B93687" w:rsidRPr="00226C32" w:rsidRDefault="00DE2872" w:rsidP="00226C32">
      <w:pPr>
        <w:jc w:val="both"/>
        <w:rPr>
          <w:rFonts w:ascii="Arial" w:hAnsi="Arial" w:cs="Arial"/>
          <w:color w:val="000000" w:themeColor="text1"/>
          <w:sz w:val="16"/>
          <w:szCs w:val="16"/>
        </w:rPr>
      </w:pPr>
      <w:r w:rsidRPr="00226C32">
        <w:rPr>
          <w:rStyle w:val="FootnoteReference"/>
          <w:rFonts w:ascii="Arial" w:hAnsi="Arial" w:cs="Arial"/>
          <w:color w:val="000000" w:themeColor="text1"/>
          <w:sz w:val="16"/>
          <w:szCs w:val="16"/>
        </w:rPr>
        <w:footnoteRef/>
      </w:r>
      <w:r w:rsidR="00ED5554" w:rsidRPr="00226C32">
        <w:rPr>
          <w:rFonts w:ascii="Arial" w:hAnsi="Arial" w:cs="Arial"/>
          <w:color w:val="000000" w:themeColor="text1"/>
          <w:sz w:val="16"/>
          <w:szCs w:val="16"/>
        </w:rPr>
        <w:t xml:space="preserve">For ‘theoretical’ examples of Applied VE, see </w:t>
      </w:r>
      <w:r w:rsidR="00A261DC" w:rsidRPr="00226C32">
        <w:rPr>
          <w:rFonts w:ascii="Arial" w:hAnsi="Arial" w:cs="Arial"/>
          <w:color w:val="000000" w:themeColor="text1"/>
          <w:sz w:val="16"/>
          <w:szCs w:val="16"/>
        </w:rPr>
        <w:t>P.</w:t>
      </w:r>
      <w:r w:rsidR="00A311B9" w:rsidRPr="00226C32">
        <w:rPr>
          <w:rFonts w:ascii="Arial" w:hAnsi="Arial" w:cs="Arial"/>
          <w:color w:val="000000" w:themeColor="text1"/>
          <w:sz w:val="16"/>
          <w:szCs w:val="16"/>
        </w:rPr>
        <w:t xml:space="preserve"> </w:t>
      </w:r>
      <w:r w:rsidR="00A261DC" w:rsidRPr="00226C32">
        <w:rPr>
          <w:rFonts w:ascii="Arial" w:hAnsi="Arial" w:cs="Arial"/>
          <w:color w:val="000000" w:themeColor="text1"/>
          <w:sz w:val="16"/>
          <w:szCs w:val="16"/>
        </w:rPr>
        <w:t>Foot “Euthanasia”</w:t>
      </w:r>
      <w:r w:rsidR="00E97749" w:rsidRPr="00226C32">
        <w:rPr>
          <w:rFonts w:ascii="Arial" w:hAnsi="Arial" w:cs="Arial"/>
          <w:color w:val="000000" w:themeColor="text1"/>
          <w:sz w:val="16"/>
          <w:szCs w:val="16"/>
        </w:rPr>
        <w:t xml:space="preserve">, </w:t>
      </w:r>
      <w:r w:rsidR="00E97749" w:rsidRPr="00226C32">
        <w:rPr>
          <w:rFonts w:ascii="Arial" w:hAnsi="Arial" w:cs="Arial"/>
          <w:i/>
          <w:iCs/>
          <w:color w:val="000000" w:themeColor="text1"/>
          <w:sz w:val="16"/>
          <w:szCs w:val="16"/>
        </w:rPr>
        <w:t>Philosophy and Public Affairs</w:t>
      </w:r>
      <w:r w:rsidR="00E97749" w:rsidRPr="00226C32">
        <w:rPr>
          <w:rFonts w:ascii="Arial" w:hAnsi="Arial" w:cs="Arial"/>
          <w:color w:val="000000" w:themeColor="text1"/>
          <w:sz w:val="16"/>
          <w:szCs w:val="16"/>
          <w:shd w:val="clear" w:color="auto" w:fill="FFFFFF"/>
        </w:rPr>
        <w:t xml:space="preserve"> 6 </w:t>
      </w:r>
      <w:r w:rsidR="00226C32">
        <w:rPr>
          <w:rFonts w:ascii="Arial" w:hAnsi="Arial" w:cs="Arial"/>
          <w:color w:val="000000" w:themeColor="text1"/>
          <w:sz w:val="16"/>
          <w:szCs w:val="16"/>
          <w:shd w:val="clear" w:color="auto" w:fill="FFFFFF"/>
        </w:rPr>
        <w:t xml:space="preserve">(1977) </w:t>
      </w:r>
      <w:r w:rsidR="00E97749" w:rsidRPr="00226C32">
        <w:rPr>
          <w:rFonts w:ascii="Arial" w:hAnsi="Arial" w:cs="Arial"/>
          <w:color w:val="000000" w:themeColor="text1"/>
          <w:sz w:val="16"/>
          <w:szCs w:val="16"/>
          <w:shd w:val="clear" w:color="auto" w:fill="FFFFFF"/>
        </w:rPr>
        <w:t>2:85-112</w:t>
      </w:r>
      <w:r w:rsidR="00226C32">
        <w:rPr>
          <w:rFonts w:ascii="Arial" w:hAnsi="Arial" w:cs="Arial"/>
          <w:color w:val="000000" w:themeColor="text1"/>
          <w:sz w:val="16"/>
          <w:szCs w:val="16"/>
          <w:shd w:val="clear" w:color="auto" w:fill="FFFFFF"/>
        </w:rPr>
        <w:t xml:space="preserve">; R. </w:t>
      </w:r>
      <w:r w:rsidR="00E97749" w:rsidRPr="00226C32">
        <w:rPr>
          <w:rFonts w:ascii="Arial" w:hAnsi="Arial" w:cs="Arial"/>
          <w:color w:val="000000" w:themeColor="text1"/>
          <w:sz w:val="16"/>
          <w:szCs w:val="16"/>
        </w:rPr>
        <w:t xml:space="preserve">Hursthouse, ‘Virtue Theory and Abortion’, </w:t>
      </w:r>
      <w:r w:rsidR="00E97749" w:rsidRPr="00226C32">
        <w:rPr>
          <w:rFonts w:ascii="Arial" w:hAnsi="Arial" w:cs="Arial"/>
          <w:i/>
          <w:iCs/>
          <w:color w:val="000000" w:themeColor="text1"/>
          <w:sz w:val="16"/>
          <w:szCs w:val="16"/>
        </w:rPr>
        <w:t>Philosophy and Public Affairs</w:t>
      </w:r>
      <w:r w:rsidR="00E97749" w:rsidRPr="00226C32">
        <w:rPr>
          <w:rFonts w:ascii="Arial" w:hAnsi="Arial" w:cs="Arial"/>
          <w:color w:val="000000" w:themeColor="text1"/>
          <w:sz w:val="16"/>
          <w:szCs w:val="16"/>
        </w:rPr>
        <w:t xml:space="preserve"> (1991) 20(3): 223-246. www.jstor.org/stable/2265432</w:t>
      </w:r>
      <w:r w:rsidR="00E97749" w:rsidRPr="00226C32">
        <w:rPr>
          <w:rFonts w:ascii="Arial" w:hAnsi="Arial" w:cs="Arial"/>
          <w:color w:val="000000" w:themeColor="text1"/>
          <w:sz w:val="16"/>
          <w:szCs w:val="16"/>
        </w:rPr>
        <w:t xml:space="preserve">, R.C. Solomon ‘Corporate Roles, Personal Virtues: An Aristotelian Approach to Business Ethics’ in </w:t>
      </w:r>
      <w:r w:rsidR="00522A38" w:rsidRPr="00226C32">
        <w:rPr>
          <w:rFonts w:ascii="Arial" w:hAnsi="Arial" w:cs="Arial"/>
          <w:color w:val="000000" w:themeColor="text1"/>
          <w:sz w:val="16"/>
          <w:szCs w:val="16"/>
        </w:rPr>
        <w:t xml:space="preserve">D. </w:t>
      </w:r>
      <w:r w:rsidR="00E97749" w:rsidRPr="00226C32">
        <w:rPr>
          <w:rFonts w:ascii="Arial" w:hAnsi="Arial" w:cs="Arial"/>
          <w:color w:val="000000" w:themeColor="text1"/>
          <w:sz w:val="16"/>
          <w:szCs w:val="16"/>
        </w:rPr>
        <w:t>Statman (ed.)</w:t>
      </w:r>
      <w:r w:rsidR="00E97749" w:rsidRPr="00226C32">
        <w:rPr>
          <w:rFonts w:ascii="Arial" w:hAnsi="Arial" w:cs="Arial"/>
          <w:color w:val="000000" w:themeColor="text1"/>
          <w:sz w:val="16"/>
          <w:szCs w:val="16"/>
        </w:rPr>
        <w:t xml:space="preserve">, </w:t>
      </w:r>
      <w:r w:rsidR="00E97749" w:rsidRPr="00226C32">
        <w:rPr>
          <w:rFonts w:ascii="Arial" w:hAnsi="Arial" w:cs="Arial"/>
          <w:i/>
          <w:iCs/>
          <w:color w:val="000000" w:themeColor="text1"/>
          <w:sz w:val="16"/>
          <w:szCs w:val="16"/>
        </w:rPr>
        <w:t>Virtue Ethics: A Critical Reader</w:t>
      </w:r>
      <w:r w:rsidR="00E97749" w:rsidRPr="00226C32">
        <w:rPr>
          <w:rFonts w:ascii="Arial" w:hAnsi="Arial" w:cs="Arial"/>
          <w:color w:val="000000" w:themeColor="text1"/>
          <w:sz w:val="16"/>
          <w:szCs w:val="16"/>
        </w:rPr>
        <w:t xml:space="preserve"> (Edinburgh: Edinburgh UP, 1997) 205 -226</w:t>
      </w:r>
      <w:r w:rsidR="00E97749" w:rsidRPr="00226C32">
        <w:rPr>
          <w:rFonts w:ascii="Arial" w:hAnsi="Arial" w:cs="Arial"/>
          <w:color w:val="000000" w:themeColor="text1"/>
          <w:sz w:val="16"/>
          <w:szCs w:val="16"/>
        </w:rPr>
        <w:t xml:space="preserve">; </w:t>
      </w:r>
      <w:r w:rsidR="00657F4F" w:rsidRPr="00226C32">
        <w:rPr>
          <w:rFonts w:ascii="Arial" w:hAnsi="Arial" w:cs="Arial"/>
          <w:color w:val="000000" w:themeColor="text1"/>
          <w:sz w:val="16"/>
          <w:szCs w:val="16"/>
        </w:rPr>
        <w:t xml:space="preserve">D. </w:t>
      </w:r>
      <w:r w:rsidR="00657F4F" w:rsidRPr="00226C32">
        <w:rPr>
          <w:rFonts w:ascii="Arial" w:hAnsi="Arial" w:cs="Arial"/>
          <w:color w:val="000000" w:themeColor="text1"/>
          <w:sz w:val="16"/>
          <w:szCs w:val="16"/>
        </w:rPr>
        <w:t>Carr</w:t>
      </w:r>
      <w:r w:rsidR="00657F4F" w:rsidRPr="00226C32">
        <w:rPr>
          <w:rFonts w:ascii="Arial" w:hAnsi="Arial" w:cs="Arial"/>
          <w:color w:val="000000" w:themeColor="text1"/>
          <w:sz w:val="16"/>
          <w:szCs w:val="16"/>
        </w:rPr>
        <w:t xml:space="preserve"> </w:t>
      </w:r>
      <w:r w:rsidR="00657F4F" w:rsidRPr="00226C32">
        <w:rPr>
          <w:rFonts w:ascii="Arial" w:hAnsi="Arial" w:cs="Arial"/>
          <w:color w:val="000000" w:themeColor="text1"/>
          <w:sz w:val="16"/>
          <w:szCs w:val="16"/>
        </w:rPr>
        <w:t xml:space="preserve">and J. W. </w:t>
      </w:r>
      <w:r w:rsidR="00657F4F" w:rsidRPr="00226C32">
        <w:rPr>
          <w:rFonts w:ascii="Arial" w:hAnsi="Arial" w:cs="Arial"/>
          <w:color w:val="000000" w:themeColor="text1"/>
          <w:sz w:val="16"/>
          <w:szCs w:val="16"/>
        </w:rPr>
        <w:t>S</w:t>
      </w:r>
      <w:r w:rsidR="00657F4F" w:rsidRPr="00226C32">
        <w:rPr>
          <w:rFonts w:ascii="Arial" w:hAnsi="Arial" w:cs="Arial"/>
          <w:color w:val="000000" w:themeColor="text1"/>
          <w:sz w:val="16"/>
          <w:szCs w:val="16"/>
        </w:rPr>
        <w:t>teutel</w:t>
      </w:r>
      <w:r w:rsidR="00657F4F" w:rsidRPr="00226C32">
        <w:rPr>
          <w:rFonts w:ascii="Arial" w:hAnsi="Arial" w:cs="Arial"/>
          <w:color w:val="000000" w:themeColor="text1"/>
          <w:sz w:val="16"/>
          <w:szCs w:val="16"/>
        </w:rPr>
        <w:t xml:space="preserve"> (</w:t>
      </w:r>
      <w:r w:rsidR="00657F4F" w:rsidRPr="00226C32">
        <w:rPr>
          <w:rFonts w:ascii="Arial" w:hAnsi="Arial" w:cs="Arial"/>
          <w:color w:val="000000" w:themeColor="text1"/>
          <w:sz w:val="16"/>
          <w:szCs w:val="16"/>
        </w:rPr>
        <w:t>eds.</w:t>
      </w:r>
      <w:r w:rsidR="00657F4F" w:rsidRPr="00226C32">
        <w:rPr>
          <w:rFonts w:ascii="Arial" w:hAnsi="Arial" w:cs="Arial"/>
          <w:color w:val="000000" w:themeColor="text1"/>
          <w:sz w:val="16"/>
          <w:szCs w:val="16"/>
        </w:rPr>
        <w:t>)</w:t>
      </w:r>
      <w:r w:rsidR="00657F4F" w:rsidRPr="00226C32">
        <w:rPr>
          <w:rFonts w:ascii="Arial" w:hAnsi="Arial" w:cs="Arial"/>
          <w:color w:val="000000" w:themeColor="text1"/>
          <w:sz w:val="16"/>
          <w:szCs w:val="16"/>
        </w:rPr>
        <w:t xml:space="preserve">. </w:t>
      </w:r>
      <w:r w:rsidR="00657F4F" w:rsidRPr="00226C32">
        <w:rPr>
          <w:rFonts w:ascii="Arial" w:hAnsi="Arial" w:cs="Arial"/>
          <w:i/>
          <w:iCs/>
          <w:color w:val="000000" w:themeColor="text1"/>
          <w:sz w:val="16"/>
          <w:szCs w:val="16"/>
        </w:rPr>
        <w:t>Virtue Ethics and Moral Education</w:t>
      </w:r>
      <w:r w:rsidR="00657F4F" w:rsidRPr="00226C32">
        <w:rPr>
          <w:rFonts w:ascii="Arial" w:hAnsi="Arial" w:cs="Arial"/>
          <w:color w:val="000000" w:themeColor="text1"/>
          <w:sz w:val="16"/>
          <w:szCs w:val="16"/>
        </w:rPr>
        <w:t xml:space="preserve"> (New </w:t>
      </w:r>
      <w:r w:rsidR="00657F4F" w:rsidRPr="00226C32">
        <w:rPr>
          <w:rFonts w:ascii="Arial" w:hAnsi="Arial" w:cs="Arial"/>
          <w:color w:val="000000" w:themeColor="text1"/>
          <w:sz w:val="16"/>
          <w:szCs w:val="16"/>
        </w:rPr>
        <w:t>Y</w:t>
      </w:r>
      <w:r w:rsidR="00657F4F" w:rsidRPr="00226C32">
        <w:rPr>
          <w:rFonts w:ascii="Arial" w:hAnsi="Arial" w:cs="Arial"/>
          <w:color w:val="000000" w:themeColor="text1"/>
          <w:sz w:val="16"/>
          <w:szCs w:val="16"/>
        </w:rPr>
        <w:t>ork: Routledge</w:t>
      </w:r>
      <w:r w:rsidR="00657F4F" w:rsidRPr="00226C32">
        <w:rPr>
          <w:rFonts w:ascii="Arial" w:hAnsi="Arial" w:cs="Arial"/>
          <w:color w:val="000000" w:themeColor="text1"/>
          <w:sz w:val="16"/>
          <w:szCs w:val="16"/>
        </w:rPr>
        <w:t>, 1999</w:t>
      </w:r>
      <w:r w:rsidR="00657F4F" w:rsidRPr="00226C32">
        <w:rPr>
          <w:rFonts w:ascii="Arial" w:hAnsi="Arial" w:cs="Arial"/>
          <w:color w:val="000000" w:themeColor="text1"/>
          <w:sz w:val="16"/>
          <w:szCs w:val="16"/>
        </w:rPr>
        <w:t>)</w:t>
      </w:r>
      <w:r w:rsidR="00ED5554" w:rsidRPr="00226C32">
        <w:rPr>
          <w:rFonts w:ascii="Arial" w:hAnsi="Arial" w:cs="Arial"/>
          <w:color w:val="000000" w:themeColor="text1"/>
          <w:sz w:val="16"/>
          <w:szCs w:val="16"/>
        </w:rPr>
        <w:t xml:space="preserve">; </w:t>
      </w:r>
      <w:r w:rsidR="009A66A4" w:rsidRPr="00226C32">
        <w:rPr>
          <w:rFonts w:ascii="Arial" w:hAnsi="Arial" w:cs="Arial"/>
          <w:color w:val="000000" w:themeColor="text1"/>
          <w:sz w:val="16"/>
          <w:szCs w:val="16"/>
        </w:rPr>
        <w:t xml:space="preserve">R. Hursthouse, R. </w:t>
      </w:r>
      <w:r w:rsidR="009A66A4" w:rsidRPr="00226C32">
        <w:rPr>
          <w:rFonts w:ascii="Arial" w:hAnsi="Arial" w:cs="Arial"/>
          <w:i/>
          <w:iCs/>
          <w:color w:val="000000" w:themeColor="text1"/>
          <w:sz w:val="16"/>
          <w:szCs w:val="16"/>
        </w:rPr>
        <w:t>Ethics, Humans and other Animals: An Introduction With Readings</w:t>
      </w:r>
      <w:r w:rsidR="009A66A4" w:rsidRPr="00226C32">
        <w:rPr>
          <w:rFonts w:ascii="Arial" w:hAnsi="Arial" w:cs="Arial"/>
          <w:color w:val="000000" w:themeColor="text1"/>
          <w:sz w:val="16"/>
          <w:szCs w:val="16"/>
        </w:rPr>
        <w:t xml:space="preserve"> (London: Routledge, 2000)</w:t>
      </w:r>
      <w:r w:rsidR="00ED5554" w:rsidRPr="00226C32">
        <w:rPr>
          <w:rFonts w:ascii="Arial" w:hAnsi="Arial" w:cs="Arial"/>
          <w:color w:val="000000" w:themeColor="text1"/>
          <w:sz w:val="16"/>
          <w:szCs w:val="16"/>
        </w:rPr>
        <w:t xml:space="preserve">; </w:t>
      </w:r>
      <w:r w:rsidR="00B93687" w:rsidRPr="00226C32">
        <w:rPr>
          <w:rFonts w:ascii="Arial" w:hAnsi="Arial" w:cs="Arial"/>
          <w:color w:val="000000" w:themeColor="text1"/>
          <w:sz w:val="16"/>
          <w:szCs w:val="16"/>
        </w:rPr>
        <w:t xml:space="preserve">J. Oakley </w:t>
      </w:r>
      <w:r w:rsidR="00B93687" w:rsidRPr="00226C32">
        <w:rPr>
          <w:rFonts w:ascii="Arial" w:hAnsi="Arial" w:cs="Arial"/>
          <w:color w:val="000000" w:themeColor="text1"/>
          <w:sz w:val="16"/>
          <w:szCs w:val="16"/>
        </w:rPr>
        <w:t xml:space="preserve">and D. Cocking. </w:t>
      </w:r>
      <w:r w:rsidR="00B93687" w:rsidRPr="00226C32">
        <w:rPr>
          <w:rFonts w:ascii="Arial" w:hAnsi="Arial" w:cs="Arial"/>
          <w:i/>
          <w:iCs/>
          <w:color w:val="000000" w:themeColor="text1"/>
          <w:sz w:val="16"/>
          <w:szCs w:val="16"/>
        </w:rPr>
        <w:t>Virtue Ethics and Professional Roles</w:t>
      </w:r>
      <w:r w:rsidR="00B93687" w:rsidRPr="00226C32">
        <w:rPr>
          <w:rFonts w:ascii="Arial" w:hAnsi="Arial" w:cs="Arial"/>
          <w:color w:val="000000" w:themeColor="text1"/>
          <w:sz w:val="16"/>
          <w:szCs w:val="16"/>
        </w:rPr>
        <w:t xml:space="preserve"> (Cambridge: Cambridge University Press</w:t>
      </w:r>
      <w:r w:rsidR="00B93687" w:rsidRPr="00226C32">
        <w:rPr>
          <w:rFonts w:ascii="Arial" w:hAnsi="Arial" w:cs="Arial"/>
          <w:color w:val="000000" w:themeColor="text1"/>
          <w:sz w:val="16"/>
          <w:szCs w:val="16"/>
        </w:rPr>
        <w:t>, 2001</w:t>
      </w:r>
      <w:r w:rsidR="00B93687" w:rsidRPr="00226C32">
        <w:rPr>
          <w:rFonts w:ascii="Arial" w:hAnsi="Arial" w:cs="Arial"/>
          <w:color w:val="000000" w:themeColor="text1"/>
          <w:sz w:val="16"/>
          <w:szCs w:val="16"/>
        </w:rPr>
        <w:t>)</w:t>
      </w:r>
      <w:r w:rsidR="00ED5554" w:rsidRPr="00226C32">
        <w:rPr>
          <w:rFonts w:ascii="Arial" w:hAnsi="Arial" w:cs="Arial"/>
          <w:color w:val="000000" w:themeColor="text1"/>
          <w:sz w:val="16"/>
          <w:szCs w:val="16"/>
        </w:rPr>
        <w:t xml:space="preserve">; </w:t>
      </w:r>
      <w:r w:rsidR="00B93687" w:rsidRPr="00226C32">
        <w:rPr>
          <w:rFonts w:ascii="Arial" w:hAnsi="Arial" w:cs="Arial"/>
          <w:color w:val="000000" w:themeColor="text1"/>
          <w:sz w:val="16"/>
          <w:szCs w:val="16"/>
        </w:rPr>
        <w:t xml:space="preserve">Quinn, A. 2007. “Moral Virtues for Journalists,” </w:t>
      </w:r>
      <w:r w:rsidR="00B93687" w:rsidRPr="00226C32">
        <w:rPr>
          <w:rFonts w:ascii="Arial" w:hAnsi="Arial" w:cs="Arial"/>
          <w:i/>
          <w:iCs/>
          <w:color w:val="000000" w:themeColor="text1"/>
          <w:sz w:val="16"/>
          <w:szCs w:val="16"/>
        </w:rPr>
        <w:t>Journal of Mass Media Ethics</w:t>
      </w:r>
      <w:r w:rsidR="00B93687" w:rsidRPr="00226C32">
        <w:rPr>
          <w:rFonts w:ascii="Arial" w:hAnsi="Arial" w:cs="Arial"/>
          <w:color w:val="000000" w:themeColor="text1"/>
          <w:sz w:val="16"/>
          <w:szCs w:val="16"/>
        </w:rPr>
        <w:t>, vol. 22, nos. 2–3, pp. 168–186.</w:t>
      </w:r>
    </w:p>
    <w:p w14:paraId="7CC367C4" w14:textId="103147E2" w:rsidR="00DE2872" w:rsidRPr="00226C32" w:rsidRDefault="00657F4F" w:rsidP="00226C32">
      <w:pPr>
        <w:jc w:val="both"/>
        <w:rPr>
          <w:rFonts w:ascii="Arial" w:hAnsi="Arial" w:cs="Arial"/>
          <w:color w:val="000000" w:themeColor="text1"/>
          <w:sz w:val="16"/>
          <w:szCs w:val="16"/>
        </w:rPr>
      </w:pPr>
      <w:r w:rsidRPr="00226C32">
        <w:rPr>
          <w:rFonts w:ascii="Arial" w:hAnsi="Arial" w:cs="Arial"/>
          <w:color w:val="000000" w:themeColor="text1"/>
          <w:sz w:val="16"/>
          <w:szCs w:val="16"/>
        </w:rPr>
        <w:t xml:space="preserve">P. </w:t>
      </w:r>
      <w:r w:rsidRPr="00226C32">
        <w:rPr>
          <w:rFonts w:ascii="Arial" w:hAnsi="Arial" w:cs="Arial"/>
          <w:color w:val="000000" w:themeColor="text1"/>
          <w:sz w:val="16"/>
          <w:szCs w:val="16"/>
        </w:rPr>
        <w:t>Cafaro</w:t>
      </w:r>
      <w:r w:rsidRPr="00226C32">
        <w:rPr>
          <w:rFonts w:ascii="Arial" w:hAnsi="Arial" w:cs="Arial"/>
          <w:color w:val="000000" w:themeColor="text1"/>
          <w:sz w:val="16"/>
          <w:szCs w:val="16"/>
        </w:rPr>
        <w:t xml:space="preserve"> (ed.)</w:t>
      </w:r>
      <w:r w:rsidRPr="00226C32">
        <w:rPr>
          <w:rFonts w:ascii="Arial" w:hAnsi="Arial" w:cs="Arial"/>
          <w:color w:val="000000" w:themeColor="text1"/>
          <w:sz w:val="16"/>
          <w:szCs w:val="16"/>
        </w:rPr>
        <w:t xml:space="preserve"> </w:t>
      </w:r>
      <w:r w:rsidRPr="00226C32">
        <w:rPr>
          <w:rFonts w:ascii="Arial" w:hAnsi="Arial" w:cs="Arial"/>
          <w:color w:val="000000" w:themeColor="text1"/>
          <w:sz w:val="16"/>
          <w:szCs w:val="16"/>
        </w:rPr>
        <w:t>‘</w:t>
      </w:r>
      <w:r w:rsidRPr="00226C32">
        <w:rPr>
          <w:rFonts w:ascii="Arial" w:hAnsi="Arial" w:cs="Arial"/>
          <w:color w:val="000000" w:themeColor="text1"/>
          <w:sz w:val="16"/>
          <w:szCs w:val="16"/>
        </w:rPr>
        <w:t>Virtue ethics</w:t>
      </w:r>
      <w:r w:rsidRPr="00226C32">
        <w:rPr>
          <w:rFonts w:ascii="Arial" w:hAnsi="Arial" w:cs="Arial"/>
          <w:color w:val="000000" w:themeColor="text1"/>
          <w:sz w:val="16"/>
          <w:szCs w:val="16"/>
        </w:rPr>
        <w:t>’</w:t>
      </w:r>
      <w:r w:rsidRPr="00226C32">
        <w:rPr>
          <w:rFonts w:ascii="Arial" w:hAnsi="Arial" w:cs="Arial"/>
          <w:color w:val="000000" w:themeColor="text1"/>
          <w:sz w:val="16"/>
          <w:szCs w:val="16"/>
        </w:rPr>
        <w:t xml:space="preserve">, </w:t>
      </w:r>
      <w:r w:rsidRPr="00226C32">
        <w:rPr>
          <w:rFonts w:ascii="Arial" w:hAnsi="Arial" w:cs="Arial"/>
          <w:i/>
          <w:iCs/>
          <w:color w:val="000000" w:themeColor="text1"/>
          <w:sz w:val="16"/>
          <w:szCs w:val="16"/>
        </w:rPr>
        <w:t xml:space="preserve">Journal of </w:t>
      </w:r>
      <w:r w:rsidR="00972CB1" w:rsidRPr="00226C32">
        <w:rPr>
          <w:rFonts w:ascii="Arial" w:hAnsi="Arial" w:cs="Arial"/>
          <w:i/>
          <w:iCs/>
          <w:color w:val="000000" w:themeColor="text1"/>
          <w:sz w:val="16"/>
          <w:szCs w:val="16"/>
        </w:rPr>
        <w:t>A</w:t>
      </w:r>
      <w:r w:rsidR="00A311B9" w:rsidRPr="00226C32">
        <w:rPr>
          <w:rFonts w:ascii="Arial" w:hAnsi="Arial" w:cs="Arial"/>
          <w:i/>
          <w:iCs/>
          <w:color w:val="000000" w:themeColor="text1"/>
          <w:sz w:val="16"/>
          <w:szCs w:val="16"/>
        </w:rPr>
        <w:t>gricultural</w:t>
      </w:r>
      <w:r w:rsidRPr="00226C32">
        <w:rPr>
          <w:rFonts w:ascii="Arial" w:hAnsi="Arial" w:cs="Arial"/>
          <w:i/>
          <w:iCs/>
          <w:color w:val="000000" w:themeColor="text1"/>
          <w:sz w:val="16"/>
          <w:szCs w:val="16"/>
        </w:rPr>
        <w:t xml:space="preserve"> and Environmental Ethics</w:t>
      </w:r>
      <w:r w:rsidRPr="00226C32">
        <w:rPr>
          <w:rFonts w:ascii="Arial" w:hAnsi="Arial" w:cs="Arial"/>
          <w:color w:val="000000" w:themeColor="text1"/>
          <w:sz w:val="16"/>
          <w:szCs w:val="16"/>
        </w:rPr>
        <w:t xml:space="preserve"> (2010),</w:t>
      </w:r>
      <w:r w:rsidRPr="00226C32">
        <w:rPr>
          <w:rFonts w:ascii="Arial" w:hAnsi="Arial" w:cs="Arial"/>
          <w:color w:val="000000" w:themeColor="text1"/>
          <w:sz w:val="16"/>
          <w:szCs w:val="16"/>
        </w:rPr>
        <w:t xml:space="preserve"> vol. 23, nos. 1–2, pp. 3–7. DOI: 10.1007/s10806–009–9204–3</w:t>
      </w:r>
      <w:r w:rsidR="00ED5554" w:rsidRPr="00226C32">
        <w:rPr>
          <w:rFonts w:ascii="Arial" w:hAnsi="Arial" w:cs="Arial"/>
          <w:color w:val="000000" w:themeColor="text1"/>
          <w:sz w:val="16"/>
          <w:szCs w:val="16"/>
        </w:rPr>
        <w:t xml:space="preserve">; </w:t>
      </w:r>
      <w:r w:rsidR="009A66A4" w:rsidRPr="00226C32">
        <w:rPr>
          <w:rFonts w:ascii="Arial" w:hAnsi="Arial" w:cs="Arial"/>
          <w:color w:val="000000" w:themeColor="text1"/>
          <w:sz w:val="16"/>
          <w:szCs w:val="16"/>
        </w:rPr>
        <w:t>Bovenkirk, B. and F. Meijboom</w:t>
      </w:r>
      <w:r w:rsidR="009A66A4" w:rsidRPr="00226C32">
        <w:rPr>
          <w:rFonts w:ascii="Arial" w:hAnsi="Arial" w:cs="Arial"/>
          <w:color w:val="000000" w:themeColor="text1"/>
          <w:sz w:val="16"/>
          <w:szCs w:val="16"/>
        </w:rPr>
        <w:tab/>
        <w:t xml:space="preserve">‘The Moral Status of Fish. The Importance and Limitations of a Fundamental Discussion for Practical Ethical Questions in Fish Farming’, </w:t>
      </w:r>
      <w:r w:rsidR="009A66A4" w:rsidRPr="00226C32">
        <w:rPr>
          <w:rFonts w:ascii="Arial" w:hAnsi="Arial" w:cs="Arial"/>
          <w:i/>
          <w:iCs/>
          <w:color w:val="000000" w:themeColor="text1"/>
          <w:sz w:val="16"/>
          <w:szCs w:val="16"/>
        </w:rPr>
        <w:t xml:space="preserve">Journal of </w:t>
      </w:r>
      <w:r w:rsidR="00972CB1" w:rsidRPr="00226C32">
        <w:rPr>
          <w:rFonts w:ascii="Arial" w:hAnsi="Arial" w:cs="Arial"/>
          <w:i/>
          <w:iCs/>
          <w:color w:val="000000" w:themeColor="text1"/>
          <w:sz w:val="16"/>
          <w:szCs w:val="16"/>
        </w:rPr>
        <w:t>A</w:t>
      </w:r>
      <w:r w:rsidR="00A311B9" w:rsidRPr="00226C32">
        <w:rPr>
          <w:rFonts w:ascii="Arial" w:hAnsi="Arial" w:cs="Arial"/>
          <w:i/>
          <w:iCs/>
          <w:color w:val="000000" w:themeColor="text1"/>
          <w:sz w:val="16"/>
          <w:szCs w:val="16"/>
        </w:rPr>
        <w:t>gricultural</w:t>
      </w:r>
      <w:r w:rsidR="009A66A4" w:rsidRPr="00226C32">
        <w:rPr>
          <w:rFonts w:ascii="Arial" w:hAnsi="Arial" w:cs="Arial"/>
          <w:i/>
          <w:iCs/>
          <w:color w:val="000000" w:themeColor="text1"/>
          <w:sz w:val="16"/>
          <w:szCs w:val="16"/>
        </w:rPr>
        <w:t xml:space="preserve"> Environmental Ethics</w:t>
      </w:r>
      <w:r w:rsidR="009A66A4" w:rsidRPr="00226C32">
        <w:rPr>
          <w:rFonts w:ascii="Arial" w:hAnsi="Arial" w:cs="Arial"/>
          <w:color w:val="000000" w:themeColor="text1"/>
          <w:sz w:val="16"/>
          <w:szCs w:val="16"/>
        </w:rPr>
        <w:t>, 25 (2012) 843 – 860</w:t>
      </w:r>
      <w:r w:rsidR="00ED5554" w:rsidRPr="00226C32">
        <w:rPr>
          <w:rFonts w:ascii="Arial" w:hAnsi="Arial" w:cs="Arial"/>
          <w:color w:val="000000" w:themeColor="text1"/>
          <w:sz w:val="16"/>
          <w:szCs w:val="16"/>
        </w:rPr>
        <w:t xml:space="preserve">; </w:t>
      </w:r>
      <w:r w:rsidR="00E97749" w:rsidRPr="00226C32">
        <w:rPr>
          <w:rFonts w:ascii="Arial" w:hAnsi="Arial" w:cs="Arial"/>
          <w:color w:val="000000" w:themeColor="text1"/>
          <w:sz w:val="16"/>
          <w:szCs w:val="16"/>
        </w:rPr>
        <w:t xml:space="preserve">E. Hartman </w:t>
      </w:r>
      <w:r w:rsidR="004B2DFD" w:rsidRPr="00226C32">
        <w:rPr>
          <w:rFonts w:ascii="Arial" w:hAnsi="Arial" w:cs="Arial"/>
          <w:color w:val="000000" w:themeColor="text1"/>
          <w:sz w:val="16"/>
          <w:szCs w:val="16"/>
        </w:rPr>
        <w:t>‘T</w:t>
      </w:r>
      <w:r w:rsidR="00522A38" w:rsidRPr="00226C32">
        <w:rPr>
          <w:rFonts w:ascii="Arial" w:hAnsi="Arial" w:cs="Arial"/>
          <w:color w:val="000000" w:themeColor="text1"/>
          <w:sz w:val="16"/>
          <w:szCs w:val="16"/>
        </w:rPr>
        <w:t>he Virtue Ethics Approach to Business’ in D. Russell</w:t>
      </w:r>
      <w:r w:rsidR="00522A38" w:rsidRPr="00226C32">
        <w:rPr>
          <w:rFonts w:ascii="Arial" w:hAnsi="Arial" w:cs="Arial"/>
          <w:color w:val="000000" w:themeColor="text1"/>
          <w:sz w:val="16"/>
          <w:szCs w:val="16"/>
        </w:rPr>
        <w:t xml:space="preserve"> (ed.)</w:t>
      </w:r>
      <w:r w:rsidR="00522A38" w:rsidRPr="00226C32">
        <w:rPr>
          <w:rFonts w:ascii="Arial" w:hAnsi="Arial" w:cs="Arial"/>
          <w:color w:val="000000" w:themeColor="text1"/>
          <w:sz w:val="16"/>
          <w:szCs w:val="16"/>
        </w:rPr>
        <w:t>,</w:t>
      </w:r>
      <w:r w:rsidR="00522A38" w:rsidRPr="00226C32">
        <w:rPr>
          <w:rFonts w:ascii="Arial" w:hAnsi="Arial" w:cs="Arial"/>
          <w:color w:val="000000" w:themeColor="text1"/>
          <w:sz w:val="16"/>
          <w:szCs w:val="16"/>
        </w:rPr>
        <w:t xml:space="preserve"> </w:t>
      </w:r>
      <w:r w:rsidR="00522A38" w:rsidRPr="00226C32">
        <w:rPr>
          <w:rFonts w:ascii="Arial" w:hAnsi="Arial" w:cs="Arial"/>
          <w:i/>
          <w:iCs/>
          <w:color w:val="000000" w:themeColor="text1"/>
          <w:sz w:val="16"/>
          <w:szCs w:val="16"/>
        </w:rPr>
        <w:t>The Cambridge Companion to Virtue Ethics</w:t>
      </w:r>
      <w:r w:rsidR="00522A38" w:rsidRPr="00226C32">
        <w:rPr>
          <w:rFonts w:ascii="Arial" w:hAnsi="Arial" w:cs="Arial"/>
          <w:color w:val="000000" w:themeColor="text1"/>
          <w:sz w:val="16"/>
          <w:szCs w:val="16"/>
        </w:rPr>
        <w:t xml:space="preserve"> (Cambridge: CUP, 2013)</w:t>
      </w:r>
      <w:r w:rsidR="00522A38" w:rsidRPr="00226C32">
        <w:rPr>
          <w:rFonts w:ascii="Arial" w:hAnsi="Arial" w:cs="Arial"/>
          <w:color w:val="000000" w:themeColor="text1"/>
          <w:sz w:val="16"/>
          <w:szCs w:val="16"/>
        </w:rPr>
        <w:t xml:space="preserve"> 240 – 264 ; J. Oakley, ‘Virtue Ethics and Bioethics’ in Russell (2013) 197 – 220</w:t>
      </w:r>
      <w:r w:rsidRPr="00226C32">
        <w:rPr>
          <w:rFonts w:ascii="Arial" w:hAnsi="Arial" w:cs="Arial"/>
          <w:color w:val="000000" w:themeColor="text1"/>
          <w:sz w:val="16"/>
          <w:szCs w:val="16"/>
        </w:rPr>
        <w:t xml:space="preserve">; A. </w:t>
      </w:r>
      <w:r w:rsidRPr="00226C32">
        <w:rPr>
          <w:rFonts w:ascii="Arial" w:hAnsi="Arial" w:cs="Arial"/>
          <w:color w:val="000000" w:themeColor="text1"/>
          <w:sz w:val="16"/>
          <w:szCs w:val="16"/>
          <w:shd w:val="clear" w:color="auto" w:fill="FFFFFF"/>
        </w:rPr>
        <w:t>Sison (ed</w:t>
      </w:r>
      <w:r w:rsidRPr="00226C32">
        <w:rPr>
          <w:rFonts w:ascii="Arial" w:hAnsi="Arial" w:cs="Arial"/>
          <w:color w:val="000000" w:themeColor="text1"/>
          <w:sz w:val="16"/>
          <w:szCs w:val="16"/>
          <w:shd w:val="clear" w:color="auto" w:fill="FFFFFF"/>
        </w:rPr>
        <w:t>.</w:t>
      </w:r>
      <w:r w:rsidRPr="00226C32">
        <w:rPr>
          <w:rFonts w:ascii="Arial" w:hAnsi="Arial" w:cs="Arial"/>
          <w:color w:val="000000" w:themeColor="text1"/>
          <w:sz w:val="16"/>
          <w:szCs w:val="16"/>
          <w:shd w:val="clear" w:color="auto" w:fill="FFFFFF"/>
        </w:rPr>
        <w:t xml:space="preserve">) </w:t>
      </w:r>
      <w:r w:rsidRPr="00226C32">
        <w:rPr>
          <w:rFonts w:ascii="Arial" w:hAnsi="Arial" w:cs="Arial"/>
          <w:i/>
          <w:iCs/>
          <w:color w:val="000000" w:themeColor="text1"/>
          <w:sz w:val="16"/>
          <w:szCs w:val="16"/>
          <w:shd w:val="clear" w:color="auto" w:fill="FFFFFF"/>
        </w:rPr>
        <w:t xml:space="preserve">Handbook of Virtue Ethics in Business and </w:t>
      </w:r>
      <w:r w:rsidR="00A311B9" w:rsidRPr="00226C32">
        <w:rPr>
          <w:rFonts w:ascii="Arial" w:hAnsi="Arial" w:cs="Arial"/>
          <w:i/>
          <w:iCs/>
          <w:color w:val="000000" w:themeColor="text1"/>
          <w:sz w:val="16"/>
          <w:szCs w:val="16"/>
          <w:shd w:val="clear" w:color="auto" w:fill="FFFFFF"/>
        </w:rPr>
        <w:t>Management</w:t>
      </w:r>
      <w:r w:rsidRPr="00226C32">
        <w:rPr>
          <w:rFonts w:ascii="Arial" w:hAnsi="Arial" w:cs="Arial"/>
          <w:color w:val="000000" w:themeColor="text1"/>
          <w:sz w:val="16"/>
          <w:szCs w:val="16"/>
          <w:shd w:val="clear" w:color="auto" w:fill="FFFFFF"/>
        </w:rPr>
        <w:t xml:space="preserve"> </w:t>
      </w:r>
      <w:r w:rsidRPr="00226C32">
        <w:rPr>
          <w:rFonts w:ascii="Arial" w:hAnsi="Arial" w:cs="Arial"/>
          <w:color w:val="000000" w:themeColor="text1"/>
          <w:sz w:val="16"/>
          <w:szCs w:val="16"/>
          <w:shd w:val="clear" w:color="auto" w:fill="FFFFFF"/>
        </w:rPr>
        <w:t>(</w:t>
      </w:r>
      <w:r w:rsidRPr="00226C32">
        <w:rPr>
          <w:rFonts w:ascii="Arial" w:hAnsi="Arial" w:cs="Arial"/>
          <w:color w:val="000000" w:themeColor="text1"/>
          <w:sz w:val="16"/>
          <w:szCs w:val="16"/>
          <w:shd w:val="clear" w:color="auto" w:fill="FFFFFF"/>
        </w:rPr>
        <w:t>Springer, Dordrecht</w:t>
      </w:r>
      <w:r w:rsidRPr="00226C32">
        <w:rPr>
          <w:rFonts w:ascii="Arial" w:hAnsi="Arial" w:cs="Arial"/>
          <w:color w:val="000000" w:themeColor="text1"/>
          <w:sz w:val="16"/>
          <w:szCs w:val="16"/>
          <w:shd w:val="clear" w:color="auto" w:fill="FFFFFF"/>
        </w:rPr>
        <w:t>; 2013 to date)</w:t>
      </w:r>
      <w:r w:rsidRPr="00226C32">
        <w:rPr>
          <w:rFonts w:ascii="Arial" w:hAnsi="Arial" w:cs="Arial"/>
          <w:color w:val="000000" w:themeColor="text1"/>
          <w:sz w:val="16"/>
          <w:szCs w:val="16"/>
          <w:shd w:val="clear" w:color="auto" w:fill="FFFFFF"/>
        </w:rPr>
        <w:t>. https://doi.org/10.1007/978-94-007-6729-4_41-1</w:t>
      </w:r>
      <w:r w:rsidR="009A66A4" w:rsidRPr="00226C32">
        <w:rPr>
          <w:rFonts w:ascii="Arial" w:hAnsi="Arial" w:cs="Arial"/>
          <w:color w:val="000000" w:themeColor="text1"/>
          <w:sz w:val="16"/>
          <w:szCs w:val="16"/>
        </w:rPr>
        <w:t xml:space="preserve">; ‘Part III’ in S. Van Hooft (ed.) </w:t>
      </w:r>
      <w:r w:rsidR="009A66A4" w:rsidRPr="00226C32">
        <w:rPr>
          <w:rFonts w:ascii="Arial" w:hAnsi="Arial" w:cs="Arial"/>
          <w:i/>
          <w:iCs/>
          <w:color w:val="000000" w:themeColor="text1"/>
          <w:sz w:val="16"/>
          <w:szCs w:val="16"/>
        </w:rPr>
        <w:t>The Handbook of Virtue Ethics</w:t>
      </w:r>
      <w:r w:rsidR="009A66A4" w:rsidRPr="00226C32">
        <w:rPr>
          <w:rFonts w:ascii="Arial" w:hAnsi="Arial" w:cs="Arial"/>
          <w:color w:val="000000" w:themeColor="text1"/>
          <w:sz w:val="16"/>
          <w:szCs w:val="16"/>
        </w:rPr>
        <w:t xml:space="preserve"> (Acumen, 2013) 327 – 396</w:t>
      </w:r>
      <w:r w:rsidR="00ED5554" w:rsidRPr="00226C32">
        <w:rPr>
          <w:rFonts w:ascii="Arial" w:hAnsi="Arial" w:cs="Arial"/>
          <w:color w:val="000000" w:themeColor="text1"/>
          <w:sz w:val="16"/>
          <w:szCs w:val="16"/>
        </w:rPr>
        <w:t xml:space="preserve">; </w:t>
      </w:r>
      <w:r w:rsidR="00003F8D" w:rsidRPr="00226C32">
        <w:rPr>
          <w:rFonts w:ascii="Arial" w:hAnsi="Arial" w:cs="Arial"/>
          <w:color w:val="000000" w:themeColor="text1"/>
          <w:sz w:val="16"/>
          <w:szCs w:val="16"/>
        </w:rPr>
        <w:t xml:space="preserve"> </w:t>
      </w:r>
      <w:r w:rsidR="00003F8D" w:rsidRPr="00226C32">
        <w:rPr>
          <w:rFonts w:ascii="Arial" w:hAnsi="Arial" w:cs="Arial"/>
          <w:color w:val="000000" w:themeColor="text1"/>
          <w:sz w:val="16"/>
          <w:szCs w:val="16"/>
        </w:rPr>
        <w:t xml:space="preserve">A. </w:t>
      </w:r>
      <w:r w:rsidR="00003F8D" w:rsidRPr="00226C32">
        <w:rPr>
          <w:rFonts w:ascii="Arial" w:hAnsi="Arial" w:cs="Arial"/>
          <w:color w:val="000000" w:themeColor="text1"/>
          <w:sz w:val="16"/>
          <w:szCs w:val="16"/>
          <w:shd w:val="clear" w:color="auto" w:fill="FFFFFF"/>
        </w:rPr>
        <w:t>Amaya, ‘Reasoning in Character: Virtue, Legal Argumentation, and Judicial Ethics’. Ethical Theory Moral Practice (2025) 28, 359–378 https://doi.org/10.1007/s10677-023-10414-z.</w:t>
      </w:r>
      <w:r w:rsidR="00003F8D" w:rsidRPr="00226C32">
        <w:rPr>
          <w:rFonts w:ascii="Arial" w:hAnsi="Arial" w:cs="Arial"/>
          <w:color w:val="000000" w:themeColor="text1"/>
          <w:sz w:val="16"/>
          <w:szCs w:val="16"/>
          <w:shd w:val="clear" w:color="auto" w:fill="FFFFFF"/>
        </w:rPr>
        <w:t xml:space="preserve">; </w:t>
      </w:r>
      <w:r w:rsidR="00ED5554" w:rsidRPr="00226C32">
        <w:rPr>
          <w:rFonts w:ascii="Arial" w:hAnsi="Arial" w:cs="Arial"/>
          <w:color w:val="000000" w:themeColor="text1"/>
          <w:sz w:val="16"/>
          <w:szCs w:val="16"/>
        </w:rPr>
        <w:t xml:space="preserve">J. </w:t>
      </w:r>
      <w:r w:rsidR="00B93687" w:rsidRPr="00226C32">
        <w:rPr>
          <w:rFonts w:ascii="Arial" w:hAnsi="Arial" w:cs="Arial"/>
          <w:color w:val="000000" w:themeColor="text1"/>
          <w:sz w:val="16"/>
          <w:szCs w:val="16"/>
          <w:shd w:val="clear" w:color="auto" w:fill="FFFFFF"/>
        </w:rPr>
        <w:t>Greenwood, and A.</w:t>
      </w:r>
      <w:r w:rsidR="00ED5554" w:rsidRPr="00226C32">
        <w:rPr>
          <w:rFonts w:ascii="Arial" w:hAnsi="Arial" w:cs="Arial"/>
          <w:color w:val="000000" w:themeColor="text1"/>
          <w:sz w:val="16"/>
          <w:szCs w:val="16"/>
          <w:shd w:val="clear" w:color="auto" w:fill="FFFFFF"/>
        </w:rPr>
        <w:t xml:space="preserve"> </w:t>
      </w:r>
      <w:r w:rsidR="00B93687" w:rsidRPr="00226C32">
        <w:rPr>
          <w:rFonts w:ascii="Arial" w:hAnsi="Arial" w:cs="Arial"/>
          <w:color w:val="000000" w:themeColor="text1"/>
          <w:sz w:val="16"/>
          <w:szCs w:val="16"/>
          <w:shd w:val="clear" w:color="auto" w:fill="FFFFFF"/>
        </w:rPr>
        <w:t xml:space="preserve">Crowden. “Understanding Virtuous Person-Centred Nursing Care: A Neo-Aristotelean Perspective.” </w:t>
      </w:r>
      <w:r w:rsidR="00ED5554" w:rsidRPr="00226C32">
        <w:rPr>
          <w:rFonts w:ascii="Arial" w:hAnsi="Arial" w:cs="Arial"/>
          <w:color w:val="000000" w:themeColor="text1"/>
          <w:sz w:val="16"/>
          <w:szCs w:val="16"/>
          <w:shd w:val="clear" w:color="auto" w:fill="FFFFFF"/>
        </w:rPr>
        <w:t xml:space="preserve">(2026) </w:t>
      </w:r>
      <w:r w:rsidR="00B93687" w:rsidRPr="00226C32">
        <w:rPr>
          <w:rFonts w:ascii="Arial" w:hAnsi="Arial" w:cs="Arial"/>
          <w:i/>
          <w:iCs/>
          <w:color w:val="000000" w:themeColor="text1"/>
          <w:sz w:val="16"/>
          <w:szCs w:val="16"/>
          <w:shd w:val="clear" w:color="auto" w:fill="FFFFFF"/>
        </w:rPr>
        <w:t xml:space="preserve">Nursing </w:t>
      </w:r>
      <w:r w:rsidR="00B93687" w:rsidRPr="00226C32">
        <w:rPr>
          <w:rFonts w:ascii="Arial" w:hAnsi="Arial" w:cs="Arial"/>
          <w:color w:val="000000" w:themeColor="text1"/>
          <w:sz w:val="16"/>
          <w:szCs w:val="16"/>
          <w:shd w:val="clear" w:color="auto" w:fill="FFFFFF"/>
        </w:rPr>
        <w:t>Philosophy</w:t>
      </w:r>
      <w:r w:rsidR="00ED5554" w:rsidRPr="00226C32">
        <w:rPr>
          <w:rFonts w:ascii="Arial" w:hAnsi="Arial" w:cs="Arial"/>
          <w:color w:val="000000" w:themeColor="text1"/>
          <w:sz w:val="16"/>
          <w:szCs w:val="16"/>
          <w:shd w:val="clear" w:color="auto" w:fill="FFFFFF"/>
        </w:rPr>
        <w:t xml:space="preserve"> </w:t>
      </w:r>
      <w:r w:rsidR="00B93687" w:rsidRPr="00226C32">
        <w:rPr>
          <w:rFonts w:ascii="Arial" w:hAnsi="Arial" w:cs="Arial"/>
          <w:color w:val="000000" w:themeColor="text1"/>
          <w:sz w:val="16"/>
          <w:szCs w:val="16"/>
          <w:shd w:val="clear" w:color="auto" w:fill="FFFFFF"/>
        </w:rPr>
        <w:t>27: 1–9. https://doi.org/10.1111/n</w:t>
      </w:r>
      <w:r w:rsidR="00B93687" w:rsidRPr="00226C32">
        <w:rPr>
          <w:rFonts w:ascii="Arial" w:hAnsi="Arial" w:cs="Arial"/>
          <w:color w:val="000000" w:themeColor="text1"/>
          <w:sz w:val="16"/>
          <w:szCs w:val="16"/>
          <w:shd w:val="clear" w:color="auto" w:fill="FFFFFF"/>
        </w:rPr>
        <w:t>u</w:t>
      </w:r>
      <w:r w:rsidR="00B93687" w:rsidRPr="00226C32">
        <w:rPr>
          <w:rFonts w:ascii="Arial" w:hAnsi="Arial" w:cs="Arial"/>
          <w:color w:val="000000" w:themeColor="text1"/>
          <w:sz w:val="16"/>
          <w:szCs w:val="16"/>
          <w:shd w:val="clear" w:color="auto" w:fill="FFFFFF"/>
        </w:rPr>
        <w:t>p.70059.</w:t>
      </w:r>
      <w:r w:rsidR="00B93687" w:rsidRPr="00226C32">
        <w:rPr>
          <w:rFonts w:ascii="Arial" w:hAnsi="Arial" w:cs="Arial"/>
          <w:color w:val="000000" w:themeColor="text1"/>
          <w:sz w:val="16"/>
          <w:szCs w:val="16"/>
          <w:shd w:val="clear" w:color="auto" w:fill="FFFFFF"/>
        </w:rPr>
        <w:t xml:space="preserve"> </w:t>
      </w:r>
      <w:r w:rsidR="00B93687" w:rsidRPr="00226C32">
        <w:rPr>
          <w:rFonts w:ascii="Arial" w:hAnsi="Arial" w:cs="Arial"/>
          <w:color w:val="000000" w:themeColor="text1"/>
          <w:sz w:val="16"/>
          <w:szCs w:val="16"/>
        </w:rPr>
        <w:t xml:space="preserve">cf. A. MacIntyre, ‘Does Applied Ethics Rest on A Mistake’, </w:t>
      </w:r>
      <w:r w:rsidR="00B93687" w:rsidRPr="00226C32">
        <w:rPr>
          <w:rFonts w:ascii="Arial" w:hAnsi="Arial" w:cs="Arial"/>
          <w:i/>
          <w:iCs/>
          <w:color w:val="000000" w:themeColor="text1"/>
          <w:sz w:val="16"/>
          <w:szCs w:val="16"/>
        </w:rPr>
        <w:t xml:space="preserve">The Monist </w:t>
      </w:r>
      <w:r w:rsidR="00B93687" w:rsidRPr="00226C32">
        <w:rPr>
          <w:rFonts w:ascii="Arial" w:hAnsi="Arial" w:cs="Arial"/>
          <w:color w:val="000000" w:themeColor="text1"/>
          <w:sz w:val="16"/>
          <w:szCs w:val="16"/>
        </w:rPr>
        <w:t xml:space="preserve">(1984) Vol.67 No.4, 498 – 513. </w:t>
      </w:r>
    </w:p>
  </w:footnote>
  <w:footnote w:id="5">
    <w:p w14:paraId="6F70CC33" w14:textId="4D9F5C34" w:rsidR="00DE2872" w:rsidRPr="00226C32" w:rsidRDefault="00DE2872" w:rsidP="00226C32">
      <w:pPr>
        <w:pStyle w:val="FootnoteText"/>
        <w:jc w:val="both"/>
        <w:rPr>
          <w:rFonts w:ascii="Arial" w:hAnsi="Arial" w:cs="Arial"/>
          <w:color w:val="000000" w:themeColor="text1"/>
          <w:sz w:val="16"/>
          <w:szCs w:val="16"/>
        </w:rPr>
      </w:pPr>
      <w:r w:rsidRPr="00226C32">
        <w:rPr>
          <w:rStyle w:val="FootnoteReference"/>
          <w:rFonts w:ascii="Arial" w:hAnsi="Arial" w:cs="Arial"/>
          <w:color w:val="000000" w:themeColor="text1"/>
          <w:sz w:val="16"/>
          <w:szCs w:val="16"/>
        </w:rPr>
        <w:footnoteRef/>
      </w:r>
      <w:r w:rsidRPr="00226C32">
        <w:rPr>
          <w:rFonts w:ascii="Arial" w:hAnsi="Arial" w:cs="Arial"/>
          <w:color w:val="000000" w:themeColor="text1"/>
          <w:sz w:val="16"/>
          <w:szCs w:val="16"/>
        </w:rPr>
        <w:t xml:space="preserve"> </w:t>
      </w:r>
      <w:r w:rsidR="00A311B9" w:rsidRPr="00226C32">
        <w:rPr>
          <w:rFonts w:ascii="Arial" w:hAnsi="Arial" w:cs="Arial"/>
          <w:color w:val="000000" w:themeColor="text1"/>
          <w:sz w:val="16"/>
          <w:szCs w:val="16"/>
        </w:rPr>
        <w:t xml:space="preserve">J. Annas, ‘Being Virtuous and Doing the Right Thing’, </w:t>
      </w:r>
      <w:r w:rsidR="00A311B9" w:rsidRPr="00226C32">
        <w:rPr>
          <w:rFonts w:ascii="Arial" w:hAnsi="Arial" w:cs="Arial"/>
          <w:i/>
          <w:iCs/>
          <w:color w:val="000000" w:themeColor="text1"/>
          <w:sz w:val="16"/>
          <w:szCs w:val="16"/>
        </w:rPr>
        <w:t xml:space="preserve">Proceedings and Addresses of the American Philosophical Association </w:t>
      </w:r>
      <w:r w:rsidR="00A311B9" w:rsidRPr="00226C32">
        <w:rPr>
          <w:rFonts w:ascii="Arial" w:hAnsi="Arial" w:cs="Arial"/>
          <w:color w:val="000000" w:themeColor="text1"/>
          <w:sz w:val="16"/>
          <w:szCs w:val="16"/>
        </w:rPr>
        <w:t>(2004) Vol. 78, No. 2: 61.</w:t>
      </w:r>
    </w:p>
  </w:footnote>
  <w:footnote w:id="6">
    <w:p w14:paraId="02549BA6" w14:textId="18738BF3" w:rsidR="00ED5554" w:rsidRPr="00226C32" w:rsidRDefault="00DE2872" w:rsidP="00226C32">
      <w:pPr>
        <w:jc w:val="both"/>
        <w:rPr>
          <w:rFonts w:ascii="Arial" w:hAnsi="Arial" w:cs="Arial"/>
          <w:color w:val="000000" w:themeColor="text1"/>
          <w:sz w:val="16"/>
          <w:szCs w:val="16"/>
        </w:rPr>
      </w:pPr>
      <w:r w:rsidRPr="00226C32">
        <w:rPr>
          <w:rStyle w:val="FootnoteReference"/>
          <w:rFonts w:ascii="Arial" w:hAnsi="Arial" w:cs="Arial"/>
          <w:color w:val="000000" w:themeColor="text1"/>
          <w:sz w:val="16"/>
          <w:szCs w:val="16"/>
        </w:rPr>
        <w:footnoteRef/>
      </w:r>
      <w:r w:rsidRPr="00226C32">
        <w:rPr>
          <w:rFonts w:ascii="Arial" w:hAnsi="Arial" w:cs="Arial"/>
          <w:color w:val="000000" w:themeColor="text1"/>
          <w:sz w:val="16"/>
          <w:szCs w:val="16"/>
        </w:rPr>
        <w:t xml:space="preserve"> </w:t>
      </w:r>
      <w:r w:rsidR="00133EFA">
        <w:rPr>
          <w:rFonts w:ascii="Arial" w:hAnsi="Arial" w:cs="Arial"/>
          <w:color w:val="000000" w:themeColor="text1"/>
          <w:sz w:val="16"/>
          <w:szCs w:val="16"/>
        </w:rPr>
        <w:t xml:space="preserve">R. Louden (1984) 183 – 184. </w:t>
      </w:r>
      <w:r w:rsidR="00ED5554" w:rsidRPr="00226C32">
        <w:rPr>
          <w:rFonts w:ascii="Arial" w:hAnsi="Arial" w:cs="Arial"/>
          <w:color w:val="000000" w:themeColor="text1"/>
          <w:sz w:val="16"/>
          <w:szCs w:val="16"/>
        </w:rPr>
        <w:t>For concurrent rise of VE and Applied Ethics, see R. Hursthouse and</w:t>
      </w:r>
      <w:r w:rsidR="00ED5554" w:rsidRPr="00226C32">
        <w:rPr>
          <w:rFonts w:ascii="Arial" w:hAnsi="Arial" w:cs="Arial"/>
          <w:color w:val="000000" w:themeColor="text1"/>
          <w:sz w:val="16"/>
          <w:szCs w:val="16"/>
        </w:rPr>
        <w:t xml:space="preserve"> </w:t>
      </w:r>
      <w:r w:rsidR="00ED5554" w:rsidRPr="00226C32">
        <w:rPr>
          <w:rFonts w:ascii="Arial" w:hAnsi="Arial" w:cs="Arial"/>
          <w:color w:val="000000" w:themeColor="text1"/>
          <w:sz w:val="16"/>
          <w:szCs w:val="16"/>
        </w:rPr>
        <w:t>G.</w:t>
      </w:r>
      <w:r w:rsidR="00ED5554" w:rsidRPr="00226C32">
        <w:rPr>
          <w:rFonts w:ascii="Arial" w:hAnsi="Arial" w:cs="Arial"/>
          <w:color w:val="000000" w:themeColor="text1"/>
          <w:sz w:val="16"/>
          <w:szCs w:val="16"/>
        </w:rPr>
        <w:t xml:space="preserve"> Pettigrove, "Virtue Ethics", </w:t>
      </w:r>
      <w:r w:rsidR="00ED5554" w:rsidRPr="00226C32">
        <w:rPr>
          <w:rStyle w:val="Emphasis"/>
          <w:rFonts w:ascii="Arial" w:hAnsi="Arial" w:cs="Arial"/>
          <w:color w:val="000000" w:themeColor="text1"/>
          <w:sz w:val="16"/>
          <w:szCs w:val="16"/>
        </w:rPr>
        <w:t>The Stanford Encyclopedia of Philosophy </w:t>
      </w:r>
      <w:r w:rsidR="00ED5554" w:rsidRPr="00226C32">
        <w:rPr>
          <w:rFonts w:ascii="Arial" w:hAnsi="Arial" w:cs="Arial"/>
          <w:color w:val="000000" w:themeColor="text1"/>
          <w:sz w:val="16"/>
          <w:szCs w:val="16"/>
        </w:rPr>
        <w:t xml:space="preserve">(Fall 2023 Edition), Edward N. Zalta &amp; Uri Nodelman (eds.), URL = </w:t>
      </w:r>
      <w:r w:rsidR="00A311B9" w:rsidRPr="00226C32">
        <w:rPr>
          <w:rFonts w:ascii="Arial" w:hAnsi="Arial" w:cs="Arial"/>
          <w:color w:val="000000" w:themeColor="text1"/>
          <w:sz w:val="16"/>
          <w:szCs w:val="16"/>
        </w:rPr>
        <w:t>https://plato.stanford.edu/archives/fall2023/entries/ethics-virtue/</w:t>
      </w:r>
      <w:r w:rsidR="00A311B9" w:rsidRPr="00226C32">
        <w:rPr>
          <w:rFonts w:ascii="Arial" w:hAnsi="Arial" w:cs="Arial"/>
          <w:color w:val="000000" w:themeColor="text1"/>
          <w:sz w:val="16"/>
          <w:szCs w:val="16"/>
        </w:rPr>
        <w:t xml:space="preserve"> </w:t>
      </w:r>
      <w:r w:rsidR="00226C32" w:rsidRPr="00226C32">
        <w:rPr>
          <w:rFonts w:ascii="Arial" w:hAnsi="Arial" w:cs="Arial"/>
          <w:color w:val="000000" w:themeColor="text1"/>
          <w:sz w:val="16"/>
          <w:szCs w:val="16"/>
        </w:rPr>
        <w:t>21</w:t>
      </w:r>
      <w:r w:rsidR="00ED5554" w:rsidRPr="00226C32">
        <w:rPr>
          <w:rFonts w:ascii="Arial" w:hAnsi="Arial" w:cs="Arial"/>
          <w:color w:val="000000" w:themeColor="text1"/>
          <w:sz w:val="16"/>
          <w:szCs w:val="16"/>
        </w:rPr>
        <w:t>.</w:t>
      </w:r>
    </w:p>
    <w:p w14:paraId="5556C66C" w14:textId="10C7E26F" w:rsidR="00DE2872" w:rsidRPr="00825DDF" w:rsidRDefault="00DE2872" w:rsidP="00825DDF">
      <w:pPr>
        <w:pStyle w:val="FootnoteText"/>
        <w:jc w:val="both"/>
        <w:rPr>
          <w:rFonts w:ascii="Calibri" w:hAnsi="Calibri" w:cs="Calibri"/>
          <w:sz w:val="16"/>
          <w:szCs w:val="16"/>
        </w:rPr>
      </w:pPr>
    </w:p>
  </w:footnote>
  <w:footnote w:id="7">
    <w:p w14:paraId="648F8B4C" w14:textId="73DFDE98" w:rsidR="00003F8D" w:rsidRPr="002C16AB" w:rsidRDefault="00003F8D"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w:t>
      </w:r>
      <w:r w:rsidR="00086155" w:rsidRPr="002C16AB">
        <w:rPr>
          <w:rFonts w:ascii="Arial" w:hAnsi="Arial" w:cs="Arial"/>
          <w:sz w:val="16"/>
          <w:szCs w:val="16"/>
        </w:rPr>
        <w:t>By Action-Theory, I mean an Account of Right Action, Criterion,</w:t>
      </w:r>
      <w:r w:rsidR="003D332E" w:rsidRPr="002C16AB">
        <w:rPr>
          <w:rFonts w:ascii="Arial" w:hAnsi="Arial" w:cs="Arial"/>
          <w:sz w:val="16"/>
          <w:szCs w:val="16"/>
        </w:rPr>
        <w:t xml:space="preserve"> Theory of Action etc.</w:t>
      </w:r>
      <w:r w:rsidR="000E5605" w:rsidRPr="002C16AB">
        <w:rPr>
          <w:rFonts w:ascii="Arial" w:hAnsi="Arial" w:cs="Arial"/>
          <w:sz w:val="16"/>
          <w:szCs w:val="16"/>
        </w:rPr>
        <w:t xml:space="preserve"> </w:t>
      </w:r>
      <w:r w:rsidR="00997ACB" w:rsidRPr="002C16AB">
        <w:rPr>
          <w:rFonts w:ascii="Arial" w:hAnsi="Arial" w:cs="Arial"/>
          <w:sz w:val="16"/>
          <w:szCs w:val="16"/>
        </w:rPr>
        <w:t xml:space="preserve">(i.e. the theoretical </w:t>
      </w:r>
      <w:r w:rsidR="000F6289" w:rsidRPr="002C16AB">
        <w:rPr>
          <w:rFonts w:ascii="Arial" w:hAnsi="Arial" w:cs="Arial"/>
          <w:sz w:val="16"/>
          <w:szCs w:val="16"/>
        </w:rPr>
        <w:t>aim).</w:t>
      </w:r>
      <w:r w:rsidR="00086155" w:rsidRPr="002C16AB">
        <w:rPr>
          <w:rFonts w:ascii="Arial" w:hAnsi="Arial" w:cs="Arial"/>
          <w:sz w:val="16"/>
          <w:szCs w:val="16"/>
        </w:rPr>
        <w:t xml:space="preserve"> </w:t>
      </w:r>
      <w:r w:rsidRPr="002C16AB">
        <w:rPr>
          <w:rFonts w:ascii="Arial" w:hAnsi="Arial" w:cs="Arial"/>
          <w:sz w:val="16"/>
          <w:szCs w:val="16"/>
        </w:rPr>
        <w:t>In addition to those mentioned above:</w:t>
      </w:r>
      <w:r w:rsidR="00226C32" w:rsidRPr="002C16AB">
        <w:rPr>
          <w:rFonts w:ascii="Arial" w:hAnsi="Arial" w:cs="Arial"/>
          <w:sz w:val="16"/>
          <w:szCs w:val="16"/>
        </w:rPr>
        <w:t xml:space="preserve"> e.g</w:t>
      </w:r>
      <w:r w:rsidRPr="002C16AB">
        <w:rPr>
          <w:rFonts w:ascii="Arial" w:hAnsi="Arial" w:cs="Arial"/>
          <w:sz w:val="16"/>
          <w:szCs w:val="16"/>
        </w:rPr>
        <w:t xml:space="preserve"> </w:t>
      </w:r>
      <w:r w:rsidR="00226C32" w:rsidRPr="002C16AB">
        <w:rPr>
          <w:rFonts w:ascii="Arial" w:hAnsi="Arial" w:cs="Arial"/>
          <w:sz w:val="16"/>
          <w:szCs w:val="16"/>
        </w:rPr>
        <w:t xml:space="preserve">J. Kawall </w:t>
      </w:r>
      <w:r w:rsidR="00086155" w:rsidRPr="002C16AB">
        <w:rPr>
          <w:rFonts w:ascii="Arial" w:hAnsi="Arial" w:cs="Arial"/>
          <w:sz w:val="16"/>
          <w:szCs w:val="16"/>
        </w:rPr>
        <w:t>‘</w:t>
      </w:r>
      <w:r w:rsidR="00226C32" w:rsidRPr="002C16AB">
        <w:rPr>
          <w:rFonts w:ascii="Arial" w:hAnsi="Arial" w:cs="Arial"/>
          <w:sz w:val="16"/>
          <w:szCs w:val="16"/>
        </w:rPr>
        <w:t>Virtue Theory and Ideal Observers</w:t>
      </w:r>
      <w:r w:rsidR="00086155" w:rsidRPr="002C16AB">
        <w:rPr>
          <w:rFonts w:ascii="Arial" w:hAnsi="Arial" w:cs="Arial"/>
          <w:sz w:val="16"/>
          <w:szCs w:val="16"/>
        </w:rPr>
        <w:t>’</w:t>
      </w:r>
      <w:r w:rsidR="00226C32" w:rsidRPr="002C16AB">
        <w:rPr>
          <w:rFonts w:ascii="Arial" w:hAnsi="Arial" w:cs="Arial"/>
          <w:sz w:val="16"/>
          <w:szCs w:val="16"/>
        </w:rPr>
        <w:t xml:space="preserve">, </w:t>
      </w:r>
      <w:r w:rsidR="00226C32" w:rsidRPr="002C16AB">
        <w:rPr>
          <w:rFonts w:ascii="Arial" w:hAnsi="Arial" w:cs="Arial"/>
          <w:i/>
          <w:iCs/>
          <w:sz w:val="16"/>
          <w:szCs w:val="16"/>
        </w:rPr>
        <w:t>Philosophical Studies</w:t>
      </w:r>
      <w:r w:rsidR="00226C32" w:rsidRPr="002C16AB">
        <w:rPr>
          <w:rFonts w:ascii="Arial" w:hAnsi="Arial" w:cs="Arial"/>
          <w:sz w:val="16"/>
          <w:szCs w:val="16"/>
        </w:rPr>
        <w:t xml:space="preserve"> (2002) 109 (3): 197 – 222; </w:t>
      </w:r>
      <w:r w:rsidR="00086155" w:rsidRPr="002C16AB">
        <w:rPr>
          <w:rFonts w:ascii="Arial" w:hAnsi="Arial" w:cs="Arial"/>
          <w:sz w:val="16"/>
          <w:szCs w:val="16"/>
        </w:rPr>
        <w:t xml:space="preserve">D. Doviak ‘A New Form of Agent-Based Virtue Ethics’, </w:t>
      </w:r>
      <w:r w:rsidR="00086155" w:rsidRPr="002C16AB">
        <w:rPr>
          <w:rFonts w:ascii="Arial" w:hAnsi="Arial" w:cs="Arial"/>
          <w:i/>
          <w:iCs/>
          <w:sz w:val="16"/>
          <w:szCs w:val="16"/>
        </w:rPr>
        <w:t>Ethical Theory and Moral Practice</w:t>
      </w:r>
      <w:r w:rsidR="00086155" w:rsidRPr="002C16AB">
        <w:rPr>
          <w:rFonts w:ascii="Arial" w:hAnsi="Arial" w:cs="Arial"/>
          <w:sz w:val="16"/>
          <w:szCs w:val="16"/>
        </w:rPr>
        <w:t xml:space="preserve"> (2011) 14 (3): 259 – 272; V. Tiberius ‘How to Think About Virtue and Right” </w:t>
      </w:r>
      <w:r w:rsidR="00086155" w:rsidRPr="002C16AB">
        <w:rPr>
          <w:rFonts w:ascii="Arial" w:hAnsi="Arial" w:cs="Arial"/>
          <w:i/>
          <w:iCs/>
          <w:sz w:val="16"/>
          <w:szCs w:val="16"/>
        </w:rPr>
        <w:t xml:space="preserve">Philosophical Papers </w:t>
      </w:r>
      <w:r w:rsidR="00086155" w:rsidRPr="002C16AB">
        <w:rPr>
          <w:rFonts w:ascii="Arial" w:hAnsi="Arial" w:cs="Arial"/>
          <w:sz w:val="16"/>
          <w:szCs w:val="16"/>
        </w:rPr>
        <w:t xml:space="preserve">35(2): 247 – 265. </w:t>
      </w:r>
    </w:p>
  </w:footnote>
  <w:footnote w:id="8">
    <w:p w14:paraId="02FFBF44" w14:textId="5F232FC8" w:rsidR="00586DEE" w:rsidRPr="002C16AB" w:rsidRDefault="00586DEE" w:rsidP="002C16AB">
      <w:pPr>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For differing definitions of ‘Strong Codifiability’ see </w:t>
      </w:r>
      <w:r w:rsidRPr="002C16AB">
        <w:rPr>
          <w:rFonts w:ascii="Arial" w:hAnsi="Arial" w:cs="Arial"/>
          <w:i/>
          <w:iCs/>
          <w:sz w:val="16"/>
          <w:szCs w:val="16"/>
        </w:rPr>
        <w:t xml:space="preserve">R. Hursthouse and G. Pettigrew </w:t>
      </w:r>
      <w:r w:rsidRPr="002C16AB">
        <w:rPr>
          <w:rFonts w:ascii="Arial" w:hAnsi="Arial" w:cs="Arial"/>
          <w:sz w:val="16"/>
          <w:szCs w:val="16"/>
        </w:rPr>
        <w:t xml:space="preserve">(2023) 21; L. van Zyl </w:t>
      </w:r>
      <w:r w:rsidRPr="002C16AB">
        <w:rPr>
          <w:rFonts w:ascii="Arial" w:hAnsi="Arial" w:cs="Arial"/>
          <w:i/>
          <w:iCs/>
          <w:color w:val="222222"/>
          <w:sz w:val="16"/>
          <w:szCs w:val="16"/>
          <w:shd w:val="clear" w:color="auto" w:fill="FFFFFF"/>
        </w:rPr>
        <w:t>Virtue Ethics: A</w:t>
      </w:r>
      <w:r w:rsidR="002C16AB">
        <w:rPr>
          <w:rFonts w:ascii="Arial" w:hAnsi="Arial" w:cs="Arial"/>
          <w:i/>
          <w:iCs/>
          <w:color w:val="222222"/>
          <w:sz w:val="16"/>
          <w:szCs w:val="16"/>
          <w:shd w:val="clear" w:color="auto" w:fill="FFFFFF"/>
        </w:rPr>
        <w:t xml:space="preserve"> </w:t>
      </w:r>
      <w:r w:rsidRPr="002C16AB">
        <w:rPr>
          <w:rFonts w:ascii="Arial" w:hAnsi="Arial" w:cs="Arial"/>
          <w:i/>
          <w:iCs/>
          <w:color w:val="222222"/>
          <w:sz w:val="16"/>
          <w:szCs w:val="16"/>
          <w:shd w:val="clear" w:color="auto" w:fill="FFFFFF"/>
        </w:rPr>
        <w:t xml:space="preserve">Contemporary Introduction </w:t>
      </w:r>
      <w:r w:rsidRPr="002C16AB">
        <w:rPr>
          <w:rFonts w:ascii="Arial" w:hAnsi="Arial" w:cs="Arial"/>
          <w:color w:val="222222"/>
          <w:sz w:val="16"/>
          <w:szCs w:val="16"/>
          <w:shd w:val="clear" w:color="auto" w:fill="FFFFFF"/>
        </w:rPr>
        <w:t>(New York: Routledge, 2019)</w:t>
      </w:r>
      <w:r w:rsidRPr="002C16AB">
        <w:rPr>
          <w:rFonts w:ascii="Arial" w:hAnsi="Arial" w:cs="Arial"/>
          <w:color w:val="222222"/>
          <w:sz w:val="16"/>
          <w:szCs w:val="16"/>
          <w:shd w:val="clear" w:color="auto" w:fill="FFFFFF"/>
        </w:rPr>
        <w:t xml:space="preserve"> 127.  </w:t>
      </w:r>
    </w:p>
  </w:footnote>
  <w:footnote w:id="9">
    <w:p w14:paraId="134C6A63" w14:textId="6850F2B8" w:rsidR="00DE2872" w:rsidRPr="002C16AB" w:rsidRDefault="00DE2872"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w:t>
      </w:r>
      <w:r w:rsidR="00133EFA" w:rsidRPr="002C16AB">
        <w:rPr>
          <w:rFonts w:ascii="Arial" w:hAnsi="Arial" w:cs="Arial"/>
          <w:sz w:val="16"/>
          <w:szCs w:val="16"/>
        </w:rPr>
        <w:t>e</w:t>
      </w:r>
      <w:r w:rsidR="007E6949" w:rsidRPr="002C16AB">
        <w:rPr>
          <w:rFonts w:ascii="Arial" w:hAnsi="Arial" w:cs="Arial"/>
          <w:sz w:val="16"/>
          <w:szCs w:val="16"/>
        </w:rPr>
        <w:t>.g</w:t>
      </w:r>
      <w:r w:rsidR="00133EFA" w:rsidRPr="002C16AB">
        <w:rPr>
          <w:rFonts w:ascii="Arial" w:hAnsi="Arial" w:cs="Arial"/>
          <w:sz w:val="16"/>
          <w:szCs w:val="16"/>
        </w:rPr>
        <w:t xml:space="preserve">. </w:t>
      </w:r>
      <w:r w:rsidR="005C06B9" w:rsidRPr="002C16AB">
        <w:rPr>
          <w:rFonts w:ascii="Arial" w:hAnsi="Arial" w:cs="Arial"/>
          <w:sz w:val="16"/>
          <w:szCs w:val="16"/>
        </w:rPr>
        <w:t xml:space="preserve">R.M. Hare in </w:t>
      </w:r>
      <w:r w:rsidR="00B86D49" w:rsidRPr="002C16AB">
        <w:rPr>
          <w:rFonts w:ascii="Arial" w:hAnsi="Arial" w:cs="Arial"/>
          <w:sz w:val="16"/>
          <w:szCs w:val="16"/>
        </w:rPr>
        <w:t>The Language</w:t>
      </w:r>
      <w:r w:rsidRPr="002C16AB">
        <w:rPr>
          <w:rFonts w:ascii="Arial" w:hAnsi="Arial" w:cs="Arial"/>
          <w:i/>
          <w:iCs/>
          <w:sz w:val="16"/>
          <w:szCs w:val="16"/>
        </w:rPr>
        <w:t xml:space="preserve"> of Morals</w:t>
      </w:r>
      <w:r w:rsidR="00133EFA" w:rsidRPr="002C16AB">
        <w:rPr>
          <w:rFonts w:ascii="Arial" w:hAnsi="Arial" w:cs="Arial"/>
          <w:sz w:val="16"/>
          <w:szCs w:val="16"/>
        </w:rPr>
        <w:t xml:space="preserve"> (Oxford: Clarendon, 1952). See </w:t>
      </w:r>
      <w:r w:rsidR="00133EFA" w:rsidRPr="002C16AB">
        <w:rPr>
          <w:rFonts w:ascii="Arial" w:hAnsi="Arial" w:cs="Arial"/>
          <w:color w:val="1A1A1A"/>
          <w:sz w:val="16"/>
          <w:szCs w:val="16"/>
        </w:rPr>
        <w:t>Blum, Lawrence, "Iris Murdoch", </w:t>
      </w:r>
      <w:r w:rsidR="00133EFA" w:rsidRPr="002C16AB">
        <w:rPr>
          <w:rStyle w:val="Emphasis"/>
          <w:rFonts w:ascii="Arial" w:hAnsi="Arial" w:cs="Arial"/>
          <w:color w:val="1A1A1A"/>
          <w:sz w:val="16"/>
          <w:szCs w:val="16"/>
        </w:rPr>
        <w:t>The Stanford Encyclopedia of Philosophy </w:t>
      </w:r>
      <w:r w:rsidR="00133EFA" w:rsidRPr="002C16AB">
        <w:rPr>
          <w:rFonts w:ascii="Arial" w:hAnsi="Arial" w:cs="Arial"/>
          <w:color w:val="1A1A1A"/>
          <w:sz w:val="16"/>
          <w:szCs w:val="16"/>
        </w:rPr>
        <w:t>(Fall 2023 Edition), Edward N. Zalta &amp; Uri Nodelman (eds.), URL = https://plato.stanford.edu/archives/fall2023/entries/murdoch/</w:t>
      </w:r>
      <w:r w:rsidR="00133EFA" w:rsidRPr="002C16AB">
        <w:rPr>
          <w:rFonts w:ascii="Arial" w:hAnsi="Arial" w:cs="Arial"/>
          <w:color w:val="1A1A1A"/>
          <w:sz w:val="16"/>
          <w:szCs w:val="16"/>
        </w:rPr>
        <w:t xml:space="preserve"> 8. </w:t>
      </w:r>
    </w:p>
  </w:footnote>
  <w:footnote w:id="10">
    <w:p w14:paraId="759A1926" w14:textId="6D2CB0D6" w:rsidR="00DE2872" w:rsidRPr="002C16AB" w:rsidRDefault="00DE2872"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w:t>
      </w:r>
      <w:r w:rsidR="00133EFA" w:rsidRPr="002C16AB">
        <w:rPr>
          <w:rFonts w:ascii="Arial" w:hAnsi="Arial" w:cs="Arial"/>
          <w:color w:val="222222"/>
          <w:sz w:val="16"/>
          <w:szCs w:val="16"/>
          <w:shd w:val="clear" w:color="auto" w:fill="FFFFFF"/>
        </w:rPr>
        <w:t xml:space="preserve">C. Swanton, </w:t>
      </w:r>
      <w:r w:rsidR="00133EFA" w:rsidRPr="002C16AB">
        <w:rPr>
          <w:rFonts w:ascii="Arial" w:hAnsi="Arial" w:cs="Arial"/>
          <w:i/>
          <w:iCs/>
          <w:color w:val="222222"/>
          <w:sz w:val="16"/>
          <w:szCs w:val="16"/>
          <w:shd w:val="clear" w:color="auto" w:fill="FFFFFF"/>
        </w:rPr>
        <w:t xml:space="preserve">Virtue Ethics: A Pluralistic View </w:t>
      </w:r>
      <w:r w:rsidR="00133EFA" w:rsidRPr="002C16AB">
        <w:rPr>
          <w:rFonts w:ascii="Arial" w:hAnsi="Arial" w:cs="Arial"/>
          <w:color w:val="222222"/>
          <w:sz w:val="16"/>
          <w:szCs w:val="16"/>
          <w:shd w:val="clear" w:color="auto" w:fill="FFFFFF"/>
        </w:rPr>
        <w:t xml:space="preserve">(Oxford: OUP, 2003) Chapter 12 </w:t>
      </w:r>
      <w:r w:rsidR="002633B2" w:rsidRPr="002C16AB">
        <w:rPr>
          <w:rFonts w:ascii="Arial" w:hAnsi="Arial" w:cs="Arial"/>
          <w:color w:val="222222"/>
          <w:sz w:val="16"/>
          <w:szCs w:val="16"/>
          <w:shd w:val="clear" w:color="auto" w:fill="FFFFFF"/>
        </w:rPr>
        <w:t>–</w:t>
      </w:r>
      <w:r w:rsidR="00133EFA" w:rsidRPr="002C16AB">
        <w:rPr>
          <w:rFonts w:ascii="Arial" w:hAnsi="Arial" w:cs="Arial"/>
          <w:color w:val="222222"/>
          <w:sz w:val="16"/>
          <w:szCs w:val="16"/>
          <w:shd w:val="clear" w:color="auto" w:fill="FFFFFF"/>
        </w:rPr>
        <w:t xml:space="preserve"> 13</w:t>
      </w:r>
      <w:r w:rsidR="002633B2" w:rsidRPr="002C16AB">
        <w:rPr>
          <w:rFonts w:ascii="Arial" w:hAnsi="Arial" w:cs="Arial"/>
          <w:sz w:val="16"/>
          <w:szCs w:val="16"/>
        </w:rPr>
        <w:t xml:space="preserve"> and</w:t>
      </w:r>
      <w:r w:rsidR="00586DEE" w:rsidRPr="002C16AB">
        <w:rPr>
          <w:rFonts w:ascii="Arial" w:hAnsi="Arial" w:cs="Arial"/>
          <w:sz w:val="16"/>
          <w:szCs w:val="16"/>
        </w:rPr>
        <w:t xml:space="preserve"> C. Swanton, </w:t>
      </w:r>
      <w:r w:rsidR="00586DEE" w:rsidRPr="002C16AB">
        <w:rPr>
          <w:rFonts w:ascii="Arial" w:hAnsi="Arial" w:cs="Arial"/>
          <w:i/>
          <w:iCs/>
          <w:sz w:val="16"/>
          <w:szCs w:val="16"/>
        </w:rPr>
        <w:t xml:space="preserve">Target-Centred Virtue Ethics </w:t>
      </w:r>
      <w:r w:rsidR="00586DEE" w:rsidRPr="002C16AB">
        <w:rPr>
          <w:rFonts w:ascii="Arial" w:hAnsi="Arial" w:cs="Arial"/>
          <w:sz w:val="16"/>
          <w:szCs w:val="16"/>
        </w:rPr>
        <w:t>(Oxford: OUP, 2021) Chapters 10 – 12.</w:t>
      </w:r>
    </w:p>
  </w:footnote>
  <w:footnote w:id="11">
    <w:p w14:paraId="2D252CAD" w14:textId="6A2D61E0" w:rsidR="000C3EF3" w:rsidRPr="002C16AB" w:rsidRDefault="000C3EF3"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w:t>
      </w:r>
      <w:r w:rsidR="00586DEE" w:rsidRPr="002C16AB">
        <w:rPr>
          <w:rFonts w:ascii="Arial" w:hAnsi="Arial" w:cs="Arial"/>
          <w:sz w:val="16"/>
          <w:szCs w:val="16"/>
        </w:rPr>
        <w:t xml:space="preserve">C. Swanton (2003) 249. </w:t>
      </w:r>
      <w:r w:rsidRPr="002C16AB">
        <w:rPr>
          <w:rFonts w:ascii="Arial" w:hAnsi="Arial" w:cs="Arial"/>
          <w:sz w:val="16"/>
          <w:szCs w:val="16"/>
        </w:rPr>
        <w:t xml:space="preserve">By Virtuous Person (“VP”), I am referring to what some call the Virtuous </w:t>
      </w:r>
      <w:r w:rsidR="00586DEE" w:rsidRPr="002C16AB">
        <w:rPr>
          <w:rFonts w:ascii="Arial" w:hAnsi="Arial" w:cs="Arial"/>
          <w:sz w:val="16"/>
          <w:szCs w:val="16"/>
        </w:rPr>
        <w:t>Agent</w:t>
      </w:r>
      <w:r w:rsidR="002633B2" w:rsidRPr="002C16AB">
        <w:rPr>
          <w:rFonts w:ascii="Arial" w:hAnsi="Arial" w:cs="Arial"/>
          <w:sz w:val="16"/>
          <w:szCs w:val="16"/>
        </w:rPr>
        <w:t>.</w:t>
      </w:r>
      <w:r w:rsidRPr="002C16AB">
        <w:rPr>
          <w:rFonts w:ascii="Arial" w:hAnsi="Arial" w:cs="Arial"/>
          <w:sz w:val="16"/>
          <w:szCs w:val="16"/>
        </w:rPr>
        <w:t xml:space="preserve"> </w:t>
      </w:r>
    </w:p>
  </w:footnote>
  <w:footnote w:id="12">
    <w:p w14:paraId="601A5DB9" w14:textId="08FF524E" w:rsidR="000C3EF3" w:rsidRPr="005523ED" w:rsidRDefault="000C3EF3" w:rsidP="002C16AB">
      <w:pPr>
        <w:pStyle w:val="FootnoteText"/>
        <w:jc w:val="both"/>
      </w:pPr>
      <w:r w:rsidRPr="002C16AB">
        <w:rPr>
          <w:rStyle w:val="FootnoteReference"/>
          <w:rFonts w:ascii="Arial" w:hAnsi="Arial" w:cs="Arial"/>
          <w:sz w:val="16"/>
          <w:szCs w:val="16"/>
        </w:rPr>
        <w:footnoteRef/>
      </w:r>
      <w:r w:rsidRPr="002C16AB">
        <w:rPr>
          <w:rFonts w:ascii="Arial" w:hAnsi="Arial" w:cs="Arial"/>
          <w:sz w:val="16"/>
          <w:szCs w:val="16"/>
        </w:rPr>
        <w:t xml:space="preserve"> I </w:t>
      </w:r>
      <w:r w:rsidR="005523ED" w:rsidRPr="002C16AB">
        <w:rPr>
          <w:rFonts w:ascii="Arial" w:hAnsi="Arial" w:cs="Arial"/>
          <w:sz w:val="16"/>
          <w:szCs w:val="16"/>
        </w:rPr>
        <w:t xml:space="preserve">use </w:t>
      </w:r>
      <w:r w:rsidR="005523ED" w:rsidRPr="002C16AB">
        <w:rPr>
          <w:rFonts w:ascii="Arial" w:hAnsi="Arial" w:cs="Arial"/>
          <w:i/>
          <w:iCs/>
          <w:sz w:val="16"/>
          <w:szCs w:val="16"/>
        </w:rPr>
        <w:t xml:space="preserve">phronesis </w:t>
      </w:r>
      <w:r w:rsidR="005523ED" w:rsidRPr="002C16AB">
        <w:rPr>
          <w:rFonts w:ascii="Arial" w:hAnsi="Arial" w:cs="Arial"/>
          <w:sz w:val="16"/>
          <w:szCs w:val="16"/>
        </w:rPr>
        <w:t xml:space="preserve">when referring to EVE and Practical Wisdom where </w:t>
      </w:r>
      <w:r w:rsidR="00586DEE" w:rsidRPr="002C16AB">
        <w:rPr>
          <w:rFonts w:ascii="Arial" w:hAnsi="Arial" w:cs="Arial"/>
          <w:sz w:val="16"/>
          <w:szCs w:val="16"/>
        </w:rPr>
        <w:t>TVCE</w:t>
      </w:r>
      <w:r w:rsidR="005523ED" w:rsidRPr="002C16AB">
        <w:rPr>
          <w:rFonts w:ascii="Arial" w:hAnsi="Arial" w:cs="Arial"/>
          <w:sz w:val="16"/>
          <w:szCs w:val="16"/>
        </w:rPr>
        <w:t xml:space="preserve"> is concerned. I </w:t>
      </w:r>
      <w:r w:rsidRPr="002C16AB">
        <w:rPr>
          <w:rFonts w:ascii="Arial" w:hAnsi="Arial" w:cs="Arial"/>
          <w:sz w:val="16"/>
          <w:szCs w:val="16"/>
        </w:rPr>
        <w:t xml:space="preserve">take </w:t>
      </w:r>
      <w:r w:rsidR="005523ED" w:rsidRPr="002C16AB">
        <w:rPr>
          <w:rFonts w:ascii="Arial" w:hAnsi="Arial" w:cs="Arial"/>
          <w:i/>
          <w:iCs/>
          <w:sz w:val="16"/>
          <w:szCs w:val="16"/>
        </w:rPr>
        <w:t>p</w:t>
      </w:r>
      <w:r w:rsidRPr="002C16AB">
        <w:rPr>
          <w:rFonts w:ascii="Arial" w:hAnsi="Arial" w:cs="Arial"/>
          <w:i/>
          <w:iCs/>
          <w:sz w:val="16"/>
          <w:szCs w:val="16"/>
        </w:rPr>
        <w:t>hronesis</w:t>
      </w:r>
      <w:r w:rsidR="005523ED" w:rsidRPr="002C16AB">
        <w:rPr>
          <w:rFonts w:ascii="Arial" w:hAnsi="Arial" w:cs="Arial"/>
          <w:sz w:val="16"/>
          <w:szCs w:val="16"/>
        </w:rPr>
        <w:t xml:space="preserve"> </w:t>
      </w:r>
      <w:r w:rsidR="004D1C2E" w:rsidRPr="002C16AB">
        <w:rPr>
          <w:rFonts w:ascii="Arial" w:hAnsi="Arial" w:cs="Arial"/>
          <w:sz w:val="16"/>
          <w:szCs w:val="16"/>
        </w:rPr>
        <w:t xml:space="preserve">and </w:t>
      </w:r>
      <w:r w:rsidR="005523ED" w:rsidRPr="002C16AB">
        <w:rPr>
          <w:rFonts w:ascii="Arial" w:hAnsi="Arial" w:cs="Arial"/>
          <w:sz w:val="16"/>
          <w:szCs w:val="16"/>
        </w:rPr>
        <w:t xml:space="preserve">Practical Wisdom </w:t>
      </w:r>
      <w:r w:rsidR="004D1C2E" w:rsidRPr="002C16AB">
        <w:rPr>
          <w:rFonts w:ascii="Arial" w:hAnsi="Arial" w:cs="Arial"/>
          <w:sz w:val="16"/>
          <w:szCs w:val="16"/>
        </w:rPr>
        <w:t xml:space="preserve">to be Aristotelian but </w:t>
      </w:r>
      <w:r w:rsidR="005523ED" w:rsidRPr="002C16AB">
        <w:rPr>
          <w:rFonts w:ascii="Arial" w:hAnsi="Arial" w:cs="Arial"/>
          <w:i/>
          <w:iCs/>
          <w:sz w:val="16"/>
          <w:szCs w:val="16"/>
        </w:rPr>
        <w:t>phronesis</w:t>
      </w:r>
      <w:r w:rsidR="005523ED" w:rsidRPr="002C16AB">
        <w:rPr>
          <w:rFonts w:ascii="Arial" w:hAnsi="Arial" w:cs="Arial"/>
          <w:sz w:val="16"/>
          <w:szCs w:val="16"/>
        </w:rPr>
        <w:t xml:space="preserve">, as practised by the </w:t>
      </w:r>
      <w:r w:rsidR="005523ED" w:rsidRPr="002C16AB">
        <w:rPr>
          <w:rFonts w:ascii="Arial" w:hAnsi="Arial" w:cs="Arial"/>
          <w:i/>
          <w:iCs/>
          <w:sz w:val="16"/>
          <w:szCs w:val="16"/>
        </w:rPr>
        <w:t>phronimos</w:t>
      </w:r>
      <w:r w:rsidR="005523ED" w:rsidRPr="002C16AB">
        <w:rPr>
          <w:rFonts w:ascii="Arial" w:hAnsi="Arial" w:cs="Arial"/>
          <w:sz w:val="16"/>
          <w:szCs w:val="16"/>
        </w:rPr>
        <w:t xml:space="preserve">, entails some commitment to the unity of virtue thesis. </w:t>
      </w:r>
    </w:p>
  </w:footnote>
  <w:footnote w:id="13">
    <w:p w14:paraId="33C3C80F" w14:textId="281FE1FD" w:rsidR="00DE2872" w:rsidRPr="0059687C" w:rsidRDefault="00DE2872" w:rsidP="00825DDF">
      <w:pPr>
        <w:pStyle w:val="FootnoteText"/>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002633B2" w:rsidRPr="0059687C">
        <w:rPr>
          <w:rFonts w:ascii="Arial" w:hAnsi="Arial" w:cs="Arial"/>
          <w:sz w:val="16"/>
          <w:szCs w:val="16"/>
        </w:rPr>
        <w:t xml:space="preserve">Swanton (2021) Chapter 11. </w:t>
      </w:r>
      <w:r w:rsidR="00C63896" w:rsidRPr="0059687C">
        <w:rPr>
          <w:rFonts w:ascii="Arial" w:hAnsi="Arial" w:cs="Arial"/>
          <w:sz w:val="16"/>
          <w:szCs w:val="16"/>
        </w:rPr>
        <w:t>By Target-Centred, I refer exclusively to the work of C. Swanton. I take it to be an extension of her Target-Based approach. Other T</w:t>
      </w:r>
      <w:r w:rsidRPr="0059687C">
        <w:rPr>
          <w:rFonts w:ascii="Arial" w:hAnsi="Arial" w:cs="Arial"/>
          <w:sz w:val="16"/>
          <w:szCs w:val="16"/>
        </w:rPr>
        <w:t>arget</w:t>
      </w:r>
      <w:r w:rsidR="00C63896" w:rsidRPr="0059687C">
        <w:rPr>
          <w:rFonts w:ascii="Arial" w:hAnsi="Arial" w:cs="Arial"/>
          <w:sz w:val="16"/>
          <w:szCs w:val="16"/>
        </w:rPr>
        <w:t>-</w:t>
      </w:r>
      <w:r w:rsidRPr="0059687C">
        <w:rPr>
          <w:rFonts w:ascii="Arial" w:hAnsi="Arial" w:cs="Arial"/>
          <w:sz w:val="16"/>
          <w:szCs w:val="16"/>
        </w:rPr>
        <w:t xml:space="preserve">Based </w:t>
      </w:r>
      <w:r w:rsidR="002633B2" w:rsidRPr="0059687C">
        <w:rPr>
          <w:rFonts w:ascii="Arial" w:hAnsi="Arial" w:cs="Arial"/>
          <w:sz w:val="16"/>
          <w:szCs w:val="16"/>
        </w:rPr>
        <w:t xml:space="preserve">accounts (e.g. N.R. Smith, ‘Right-Makers and the Targets of Virtue’, </w:t>
      </w:r>
      <w:r w:rsidR="002633B2" w:rsidRPr="0059687C">
        <w:rPr>
          <w:rFonts w:ascii="Arial" w:hAnsi="Arial" w:cs="Arial"/>
          <w:i/>
          <w:iCs/>
          <w:sz w:val="16"/>
          <w:szCs w:val="16"/>
        </w:rPr>
        <w:t xml:space="preserve">The Journal of Value Inquiry </w:t>
      </w:r>
      <w:r w:rsidR="002633B2" w:rsidRPr="0059687C">
        <w:rPr>
          <w:rFonts w:ascii="Arial" w:hAnsi="Arial" w:cs="Arial"/>
          <w:sz w:val="16"/>
          <w:szCs w:val="16"/>
        </w:rPr>
        <w:t>51(2): 311-326) are beyond us here.</w:t>
      </w:r>
    </w:p>
  </w:footnote>
  <w:footnote w:id="14">
    <w:p w14:paraId="78DEA7A9" w14:textId="3953A259" w:rsidR="00DE2872" w:rsidRPr="0059687C" w:rsidRDefault="00DE2872" w:rsidP="00825DDF">
      <w:pPr>
        <w:pStyle w:val="FootnoteText"/>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006C2ED1" w:rsidRPr="0059687C">
        <w:rPr>
          <w:rFonts w:ascii="Arial" w:hAnsi="Arial" w:cs="Arial"/>
          <w:sz w:val="16"/>
          <w:szCs w:val="16"/>
        </w:rPr>
        <w:t xml:space="preserve">Swanton (2003) Chapter 13. </w:t>
      </w:r>
    </w:p>
  </w:footnote>
  <w:footnote w:id="15">
    <w:p w14:paraId="012AD2C9" w14:textId="1F79E670" w:rsidR="00BE79FC" w:rsidRPr="0059687C" w:rsidRDefault="00BE79FC">
      <w:pPr>
        <w:pStyle w:val="FootnoteText"/>
        <w:rPr>
          <w:b/>
          <w:bCs/>
        </w:rPr>
      </w:pPr>
      <w:r w:rsidRPr="0059687C">
        <w:rPr>
          <w:rStyle w:val="FootnoteReference"/>
          <w:rFonts w:ascii="Arial" w:hAnsi="Arial" w:cs="Arial"/>
          <w:sz w:val="16"/>
          <w:szCs w:val="16"/>
        </w:rPr>
        <w:footnoteRef/>
      </w:r>
      <w:r w:rsidRPr="0059687C">
        <w:rPr>
          <w:rFonts w:ascii="Arial" w:hAnsi="Arial" w:cs="Arial"/>
          <w:sz w:val="16"/>
          <w:szCs w:val="16"/>
        </w:rPr>
        <w:t xml:space="preserve"> By EVE, I refer to all EVE but, foremost, Hursthouse.</w:t>
      </w:r>
      <w:r w:rsidRPr="0059687C">
        <w:rPr>
          <w:b/>
          <w:bCs/>
        </w:rPr>
        <w:t xml:space="preserve"> </w:t>
      </w:r>
    </w:p>
  </w:footnote>
  <w:footnote w:id="16">
    <w:p w14:paraId="43C612EA" w14:textId="2057DC59" w:rsidR="003C7C70" w:rsidRPr="0059687C" w:rsidRDefault="003C7C70" w:rsidP="0059687C">
      <w:pPr>
        <w:pStyle w:val="FootnoteText"/>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For eliminativist reading</w:t>
      </w:r>
      <w:r w:rsidR="008A19D3" w:rsidRPr="0059687C">
        <w:rPr>
          <w:rFonts w:ascii="Arial" w:hAnsi="Arial" w:cs="Arial"/>
          <w:sz w:val="16"/>
          <w:szCs w:val="16"/>
        </w:rPr>
        <w:t>s</w:t>
      </w:r>
      <w:r w:rsidRPr="0059687C">
        <w:rPr>
          <w:rFonts w:ascii="Arial" w:hAnsi="Arial" w:cs="Arial"/>
          <w:sz w:val="16"/>
          <w:szCs w:val="16"/>
        </w:rPr>
        <w:t xml:space="preserve"> of </w:t>
      </w:r>
      <w:r w:rsidR="008A19D3" w:rsidRPr="0059687C">
        <w:rPr>
          <w:rFonts w:ascii="Arial" w:hAnsi="Arial" w:cs="Arial"/>
          <w:sz w:val="16"/>
          <w:szCs w:val="16"/>
        </w:rPr>
        <w:t xml:space="preserve">Anscombe see J. Hacker-Wright ‘Virtue Ethics without Right Action: Anscombe, Foot and Contemporary Virtue Ethics’ </w:t>
      </w:r>
      <w:r w:rsidR="008A19D3" w:rsidRPr="0059687C">
        <w:rPr>
          <w:rFonts w:ascii="Arial" w:hAnsi="Arial" w:cs="Arial"/>
          <w:i/>
          <w:iCs/>
          <w:sz w:val="16"/>
          <w:szCs w:val="16"/>
        </w:rPr>
        <w:t xml:space="preserve">Journal of Value Inquiry </w:t>
      </w:r>
      <w:r w:rsidR="008A19D3" w:rsidRPr="0059687C">
        <w:rPr>
          <w:rFonts w:ascii="Arial" w:hAnsi="Arial" w:cs="Arial"/>
          <w:sz w:val="16"/>
          <w:szCs w:val="16"/>
        </w:rPr>
        <w:t xml:space="preserve">44(2): 209 – 224; T. Chappell, ‘Virtue Ethics in the Twentieth Century’ in D.C. Russell (ed.) </w:t>
      </w:r>
      <w:r w:rsidR="008A19D3" w:rsidRPr="0059687C">
        <w:rPr>
          <w:rFonts w:ascii="Arial" w:hAnsi="Arial" w:cs="Arial"/>
          <w:i/>
          <w:iCs/>
          <w:sz w:val="16"/>
          <w:szCs w:val="16"/>
        </w:rPr>
        <w:t xml:space="preserve">The Cambridge Companion to Virtue Ethics </w:t>
      </w:r>
      <w:r w:rsidR="008A19D3" w:rsidRPr="0059687C">
        <w:rPr>
          <w:rFonts w:ascii="Arial" w:hAnsi="Arial" w:cs="Arial"/>
          <w:sz w:val="16"/>
          <w:szCs w:val="16"/>
        </w:rPr>
        <w:t>(Cambridge: Cambridge UP, 2013) 149 – 171</w:t>
      </w:r>
      <w:r w:rsidR="006C2ED1" w:rsidRPr="0059687C">
        <w:rPr>
          <w:rFonts w:ascii="Arial" w:hAnsi="Arial" w:cs="Arial"/>
          <w:sz w:val="16"/>
          <w:szCs w:val="16"/>
        </w:rPr>
        <w:t xml:space="preserve">; T. Brewer </w:t>
      </w:r>
      <w:r w:rsidR="006C2ED1" w:rsidRPr="0059687C">
        <w:rPr>
          <w:rFonts w:ascii="Arial" w:hAnsi="Arial" w:cs="Arial"/>
          <w:i/>
          <w:iCs/>
          <w:sz w:val="16"/>
          <w:szCs w:val="16"/>
        </w:rPr>
        <w:t xml:space="preserve">The Retrieval of Ethics </w:t>
      </w:r>
      <w:r w:rsidR="006C2ED1" w:rsidRPr="0059687C">
        <w:rPr>
          <w:rFonts w:ascii="Arial" w:hAnsi="Arial" w:cs="Arial"/>
          <w:sz w:val="16"/>
          <w:szCs w:val="16"/>
        </w:rPr>
        <w:t>(Oxford: OUP, 2009)</w:t>
      </w:r>
      <w:r w:rsidR="008A19D3" w:rsidRPr="0059687C">
        <w:rPr>
          <w:rFonts w:ascii="Arial" w:hAnsi="Arial" w:cs="Arial"/>
          <w:sz w:val="16"/>
          <w:szCs w:val="16"/>
        </w:rPr>
        <w:t xml:space="preserve"> </w:t>
      </w:r>
      <w:r w:rsidR="006C2ED1" w:rsidRPr="0059687C">
        <w:rPr>
          <w:rFonts w:ascii="Arial" w:hAnsi="Arial" w:cs="Arial"/>
          <w:sz w:val="16"/>
          <w:szCs w:val="16"/>
        </w:rPr>
        <w:t xml:space="preserve">‘Introduction’. </w:t>
      </w:r>
      <w:r w:rsidR="008A19D3" w:rsidRPr="0059687C">
        <w:rPr>
          <w:rFonts w:ascii="Arial" w:hAnsi="Arial" w:cs="Arial"/>
          <w:sz w:val="16"/>
          <w:szCs w:val="16"/>
        </w:rPr>
        <w:t>For criticism, Swanton (2021) Chapter 10. G.</w:t>
      </w:r>
      <w:r w:rsidRPr="0059687C">
        <w:rPr>
          <w:rFonts w:ascii="Arial" w:hAnsi="Arial" w:cs="Arial"/>
          <w:sz w:val="16"/>
          <w:szCs w:val="16"/>
        </w:rPr>
        <w:t>E.</w:t>
      </w:r>
      <w:r w:rsidR="008A19D3" w:rsidRPr="0059687C">
        <w:rPr>
          <w:rFonts w:ascii="Arial" w:hAnsi="Arial" w:cs="Arial"/>
          <w:sz w:val="16"/>
          <w:szCs w:val="16"/>
        </w:rPr>
        <w:t>M.</w:t>
      </w:r>
      <w:r w:rsidRPr="0059687C">
        <w:rPr>
          <w:rFonts w:ascii="Arial" w:hAnsi="Arial" w:cs="Arial"/>
          <w:sz w:val="16"/>
          <w:szCs w:val="16"/>
        </w:rPr>
        <w:t xml:space="preserve"> Anscombe</w:t>
      </w:r>
      <w:r w:rsidR="008A19D3" w:rsidRPr="0059687C">
        <w:rPr>
          <w:rFonts w:ascii="Arial" w:hAnsi="Arial" w:cs="Arial"/>
          <w:sz w:val="16"/>
          <w:szCs w:val="16"/>
        </w:rPr>
        <w:t xml:space="preserve">, ‘Modern Moral Philosophy’, </w:t>
      </w:r>
      <w:r w:rsidR="008A19D3" w:rsidRPr="0059687C">
        <w:rPr>
          <w:rFonts w:ascii="Arial" w:hAnsi="Arial" w:cs="Arial"/>
          <w:i/>
          <w:iCs/>
          <w:sz w:val="16"/>
          <w:szCs w:val="16"/>
        </w:rPr>
        <w:t xml:space="preserve">Philosophy </w:t>
      </w:r>
      <w:r w:rsidR="008A19D3" w:rsidRPr="0059687C">
        <w:rPr>
          <w:rFonts w:ascii="Arial" w:hAnsi="Arial" w:cs="Arial"/>
          <w:sz w:val="16"/>
          <w:szCs w:val="16"/>
        </w:rPr>
        <w:t>(1958) 33 (124): 1 – 19.</w:t>
      </w:r>
      <w:r w:rsidRPr="0059687C">
        <w:rPr>
          <w:rFonts w:ascii="Arial" w:hAnsi="Arial" w:cs="Arial"/>
          <w:sz w:val="16"/>
          <w:szCs w:val="16"/>
        </w:rPr>
        <w:t xml:space="preserve"> </w:t>
      </w:r>
    </w:p>
  </w:footnote>
  <w:footnote w:id="17">
    <w:p w14:paraId="0F385AA1" w14:textId="788E78FA" w:rsidR="00CC40CF" w:rsidRPr="0059687C" w:rsidRDefault="00CC40CF" w:rsidP="0059687C">
      <w:pPr>
        <w:jc w:val="both"/>
        <w:rPr>
          <w:rFonts w:ascii="Arial" w:hAnsi="Arial" w:cs="Arial"/>
          <w:color w:val="222222"/>
          <w:sz w:val="16"/>
          <w:szCs w:val="16"/>
          <w:shd w:val="clear" w:color="auto" w:fill="FFFFFF"/>
        </w:rPr>
      </w:pPr>
      <w:r w:rsidRPr="0059687C">
        <w:rPr>
          <w:rStyle w:val="FootnoteReference"/>
          <w:rFonts w:ascii="Arial" w:hAnsi="Arial" w:cs="Arial"/>
          <w:sz w:val="16"/>
          <w:szCs w:val="16"/>
        </w:rPr>
        <w:footnoteRef/>
      </w:r>
      <w:r w:rsidRPr="0059687C">
        <w:rPr>
          <w:rFonts w:ascii="Arial" w:hAnsi="Arial" w:cs="Arial"/>
          <w:sz w:val="16"/>
          <w:szCs w:val="16"/>
        </w:rPr>
        <w:t xml:space="preserve"> L. </w:t>
      </w:r>
      <w:r w:rsidRPr="0059687C">
        <w:rPr>
          <w:rFonts w:ascii="Arial" w:hAnsi="Arial" w:cs="Arial"/>
          <w:sz w:val="16"/>
          <w:szCs w:val="16"/>
        </w:rPr>
        <w:t xml:space="preserve">Van Zyl, Liezl ‘Virtuous And Right Action: A Relaxed View 2021 </w:t>
      </w:r>
      <w:r w:rsidRPr="0059687C">
        <w:rPr>
          <w:rFonts w:ascii="Arial" w:hAnsi="Arial" w:cs="Arial"/>
          <w:i/>
          <w:iCs/>
          <w:sz w:val="16"/>
          <w:szCs w:val="16"/>
        </w:rPr>
        <w:t xml:space="preserve">Handbuch Tugend und Tugendethik  </w:t>
      </w:r>
      <w:r w:rsidRPr="0059687C">
        <w:rPr>
          <w:rFonts w:ascii="Arial" w:hAnsi="Arial" w:cs="Arial"/>
          <w:sz w:val="16"/>
          <w:szCs w:val="16"/>
          <w:shd w:val="clear" w:color="auto" w:fill="FFFFFF"/>
        </w:rPr>
        <w:t>https://doi.org/10.1007/978-3-658-24466-8</w:t>
      </w:r>
      <w:r w:rsidRPr="0059687C">
        <w:rPr>
          <w:rFonts w:ascii="Arial" w:hAnsi="Arial" w:cs="Arial"/>
          <w:color w:val="222222"/>
          <w:sz w:val="16"/>
          <w:szCs w:val="16"/>
          <w:shd w:val="clear" w:color="auto" w:fill="FFFFFF"/>
        </w:rPr>
        <w:t xml:space="preserve"> Springer 2021 49 – 63</w:t>
      </w:r>
      <w:r w:rsidRPr="0059687C">
        <w:rPr>
          <w:rFonts w:ascii="Arial" w:hAnsi="Arial" w:cs="Arial"/>
          <w:color w:val="222222"/>
          <w:sz w:val="16"/>
          <w:szCs w:val="16"/>
          <w:shd w:val="clear" w:color="auto" w:fill="FFFFFF"/>
        </w:rPr>
        <w:t>; For</w:t>
      </w:r>
      <w:r w:rsidR="00182C8E" w:rsidRPr="0059687C">
        <w:rPr>
          <w:rFonts w:ascii="Arial" w:hAnsi="Arial" w:cs="Arial"/>
          <w:color w:val="222222"/>
          <w:sz w:val="16"/>
          <w:szCs w:val="16"/>
          <w:shd w:val="clear" w:color="auto" w:fill="FFFFFF"/>
        </w:rPr>
        <w:t xml:space="preserve"> </w:t>
      </w:r>
      <w:r w:rsidRPr="0059687C">
        <w:rPr>
          <w:rFonts w:ascii="Arial" w:hAnsi="Arial" w:cs="Arial"/>
          <w:color w:val="222222"/>
          <w:sz w:val="16"/>
          <w:szCs w:val="16"/>
          <w:shd w:val="clear" w:color="auto" w:fill="FFFFFF"/>
        </w:rPr>
        <w:t>less relaxed view</w:t>
      </w:r>
      <w:r w:rsidR="00182C8E" w:rsidRPr="0059687C">
        <w:rPr>
          <w:rFonts w:ascii="Arial" w:hAnsi="Arial" w:cs="Arial"/>
          <w:color w:val="222222"/>
          <w:sz w:val="16"/>
          <w:szCs w:val="16"/>
          <w:shd w:val="clear" w:color="auto" w:fill="FFFFFF"/>
        </w:rPr>
        <w:t>s</w:t>
      </w:r>
      <w:r w:rsidRPr="0059687C">
        <w:rPr>
          <w:rFonts w:ascii="Arial" w:hAnsi="Arial" w:cs="Arial"/>
          <w:color w:val="222222"/>
          <w:sz w:val="16"/>
          <w:szCs w:val="16"/>
          <w:shd w:val="clear" w:color="auto" w:fill="FFFFFF"/>
        </w:rPr>
        <w:t xml:space="preserve">, L. Van Zyl, ‘Agent-Based Virtue Ethics and the Problem of Action Guidance’, </w:t>
      </w:r>
      <w:r w:rsidRPr="0059687C">
        <w:rPr>
          <w:rFonts w:ascii="Arial" w:hAnsi="Arial" w:cs="Arial"/>
          <w:i/>
          <w:iCs/>
          <w:color w:val="222222"/>
          <w:sz w:val="16"/>
          <w:szCs w:val="16"/>
          <w:shd w:val="clear" w:color="auto" w:fill="FFFFFF"/>
        </w:rPr>
        <w:t xml:space="preserve">Journal of Moral Philosophy </w:t>
      </w:r>
      <w:r w:rsidR="00182C8E" w:rsidRPr="0059687C">
        <w:rPr>
          <w:rFonts w:ascii="Arial" w:hAnsi="Arial" w:cs="Arial"/>
          <w:color w:val="222222"/>
          <w:sz w:val="16"/>
          <w:szCs w:val="16"/>
          <w:shd w:val="clear" w:color="auto" w:fill="FFFFFF"/>
        </w:rPr>
        <w:t xml:space="preserve">(2009) </w:t>
      </w:r>
      <w:r w:rsidRPr="0059687C">
        <w:rPr>
          <w:rFonts w:ascii="Arial" w:hAnsi="Arial" w:cs="Arial"/>
          <w:color w:val="222222"/>
          <w:sz w:val="16"/>
          <w:szCs w:val="16"/>
          <w:shd w:val="clear" w:color="auto" w:fill="FFFFFF"/>
        </w:rPr>
        <w:t>6</w:t>
      </w:r>
      <w:r w:rsidR="00182C8E" w:rsidRPr="0059687C">
        <w:rPr>
          <w:rFonts w:ascii="Arial" w:hAnsi="Arial" w:cs="Arial"/>
          <w:color w:val="222222"/>
          <w:sz w:val="16"/>
          <w:szCs w:val="16"/>
          <w:shd w:val="clear" w:color="auto" w:fill="FFFFFF"/>
        </w:rPr>
        <w:t>(</w:t>
      </w:r>
      <w:r w:rsidRPr="0059687C">
        <w:rPr>
          <w:rFonts w:ascii="Arial" w:hAnsi="Arial" w:cs="Arial"/>
          <w:color w:val="222222"/>
          <w:sz w:val="16"/>
          <w:szCs w:val="16"/>
          <w:shd w:val="clear" w:color="auto" w:fill="FFFFFF"/>
        </w:rPr>
        <w:t>1)</w:t>
      </w:r>
      <w:r w:rsidR="00182C8E" w:rsidRPr="0059687C">
        <w:rPr>
          <w:rFonts w:ascii="Arial" w:hAnsi="Arial" w:cs="Arial"/>
          <w:color w:val="222222"/>
          <w:sz w:val="16"/>
          <w:szCs w:val="16"/>
          <w:shd w:val="clear" w:color="auto" w:fill="FFFFFF"/>
        </w:rPr>
        <w:t xml:space="preserve"> </w:t>
      </w:r>
      <w:r w:rsidRPr="0059687C">
        <w:rPr>
          <w:rFonts w:ascii="Arial" w:hAnsi="Arial" w:cs="Arial"/>
          <w:color w:val="222222"/>
          <w:sz w:val="16"/>
          <w:szCs w:val="16"/>
          <w:shd w:val="clear" w:color="auto" w:fill="FFFFFF"/>
        </w:rPr>
        <w:t>50 – 69</w:t>
      </w:r>
      <w:r w:rsidR="00182C8E" w:rsidRPr="0059687C">
        <w:rPr>
          <w:rFonts w:ascii="Arial" w:hAnsi="Arial" w:cs="Arial"/>
          <w:color w:val="222222"/>
          <w:sz w:val="16"/>
          <w:szCs w:val="16"/>
          <w:shd w:val="clear" w:color="auto" w:fill="FFFFFF"/>
        </w:rPr>
        <w:t xml:space="preserve">; L. Van Zyl, ‘Right Action and the Non-Virtuous Agent’ </w:t>
      </w:r>
      <w:r w:rsidR="00182C8E" w:rsidRPr="0059687C">
        <w:rPr>
          <w:rFonts w:ascii="Arial" w:hAnsi="Arial" w:cs="Arial"/>
          <w:i/>
          <w:iCs/>
          <w:color w:val="222222"/>
          <w:sz w:val="16"/>
          <w:szCs w:val="16"/>
          <w:shd w:val="clear" w:color="auto" w:fill="FFFFFF"/>
        </w:rPr>
        <w:t xml:space="preserve">Journal of Applied Philosophy </w:t>
      </w:r>
      <w:r w:rsidR="00182C8E" w:rsidRPr="0059687C">
        <w:rPr>
          <w:rFonts w:ascii="Arial" w:hAnsi="Arial" w:cs="Arial"/>
          <w:color w:val="222222"/>
          <w:sz w:val="16"/>
          <w:szCs w:val="16"/>
          <w:shd w:val="clear" w:color="auto" w:fill="FFFFFF"/>
        </w:rPr>
        <w:t>(2011) 28(1) 80 – 92.</w:t>
      </w:r>
    </w:p>
  </w:footnote>
  <w:footnote w:id="18">
    <w:p w14:paraId="1D2CAA04" w14:textId="4DBE6AB3" w:rsidR="00572327" w:rsidRPr="0059687C" w:rsidRDefault="00572327">
      <w:pPr>
        <w:pStyle w:val="FootnoteText"/>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e.g. Kawall (2002) 198. </w:t>
      </w:r>
    </w:p>
  </w:footnote>
  <w:footnote w:id="19">
    <w:p w14:paraId="5867AB9F" w14:textId="1DEB8E64" w:rsidR="00572327" w:rsidRPr="0059687C" w:rsidRDefault="00572327">
      <w:pPr>
        <w:pStyle w:val="FootnoteText"/>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Pr="0059687C">
        <w:rPr>
          <w:rFonts w:ascii="Arial" w:hAnsi="Arial" w:cs="Arial"/>
          <w:sz w:val="16"/>
          <w:szCs w:val="16"/>
        </w:rPr>
        <w:t xml:space="preserve">D.C Russell, </w:t>
      </w:r>
      <w:r w:rsidRPr="0059687C">
        <w:rPr>
          <w:rFonts w:ascii="Arial" w:hAnsi="Arial" w:cs="Arial"/>
          <w:i/>
          <w:iCs/>
          <w:color w:val="000000" w:themeColor="text1"/>
          <w:sz w:val="16"/>
          <w:szCs w:val="16"/>
        </w:rPr>
        <w:t xml:space="preserve">Practical Intelligence and the Virtues </w:t>
      </w:r>
      <w:r w:rsidRPr="0059687C">
        <w:rPr>
          <w:rFonts w:ascii="Arial" w:hAnsi="Arial" w:cs="Arial"/>
          <w:color w:val="000000" w:themeColor="text1"/>
          <w:sz w:val="16"/>
          <w:szCs w:val="16"/>
        </w:rPr>
        <w:t>(Oxford: OUP, 20</w:t>
      </w:r>
      <w:r w:rsidR="00C174DB" w:rsidRPr="0059687C">
        <w:rPr>
          <w:rFonts w:ascii="Arial" w:hAnsi="Arial" w:cs="Arial"/>
          <w:color w:val="000000" w:themeColor="text1"/>
          <w:sz w:val="16"/>
          <w:szCs w:val="16"/>
        </w:rPr>
        <w:t>09</w:t>
      </w:r>
      <w:r w:rsidRPr="0059687C">
        <w:rPr>
          <w:rFonts w:ascii="Arial" w:hAnsi="Arial" w:cs="Arial"/>
          <w:color w:val="000000" w:themeColor="text1"/>
          <w:sz w:val="16"/>
          <w:szCs w:val="16"/>
        </w:rPr>
        <w:t>) Chapter 2.</w:t>
      </w:r>
      <w:r w:rsidRPr="0059687C">
        <w:rPr>
          <w:rFonts w:ascii="Arial" w:hAnsi="Arial" w:cs="Arial"/>
          <w:sz w:val="16"/>
          <w:szCs w:val="16"/>
        </w:rPr>
        <w:t xml:space="preserve"> </w:t>
      </w:r>
    </w:p>
  </w:footnote>
  <w:footnote w:id="20">
    <w:p w14:paraId="4D8AD021" w14:textId="214AE171" w:rsidR="00576CA5" w:rsidRPr="0059687C" w:rsidRDefault="00576CA5">
      <w:pPr>
        <w:pStyle w:val="FootnoteText"/>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Pr="0059687C">
        <w:rPr>
          <w:rFonts w:ascii="Arial" w:hAnsi="Arial" w:cs="Arial"/>
          <w:sz w:val="16"/>
          <w:szCs w:val="16"/>
        </w:rPr>
        <w:t xml:space="preserve">J. Annas, ‘Applying Virtue Ethics (Society of Applied Philosophy Annual Lecture 2014)’ </w:t>
      </w:r>
      <w:r w:rsidRPr="0059687C">
        <w:rPr>
          <w:rFonts w:ascii="Arial" w:hAnsi="Arial" w:cs="Arial"/>
          <w:i/>
          <w:iCs/>
          <w:sz w:val="16"/>
          <w:szCs w:val="16"/>
        </w:rPr>
        <w:t xml:space="preserve">Journal of Applied Philosophy  </w:t>
      </w:r>
      <w:r w:rsidRPr="0059687C">
        <w:rPr>
          <w:rFonts w:ascii="Arial" w:hAnsi="Arial" w:cs="Arial"/>
          <w:sz w:val="16"/>
          <w:szCs w:val="16"/>
        </w:rPr>
        <w:t xml:space="preserve">32(1): </w:t>
      </w:r>
      <w:r w:rsidRPr="0059687C">
        <w:rPr>
          <w:rFonts w:ascii="Arial" w:hAnsi="Arial" w:cs="Arial"/>
          <w:sz w:val="16"/>
          <w:szCs w:val="16"/>
        </w:rPr>
        <w:t>8 – 9.</w:t>
      </w:r>
    </w:p>
  </w:footnote>
  <w:footnote w:id="21">
    <w:p w14:paraId="754DEF59" w14:textId="3DB93843" w:rsidR="00182C8E" w:rsidRPr="0059687C" w:rsidRDefault="00182C8E">
      <w:pPr>
        <w:pStyle w:val="FootnoteText"/>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J. Annas, ‘Applying Virtue </w:t>
      </w:r>
      <w:r w:rsidR="006760EE" w:rsidRPr="0059687C">
        <w:rPr>
          <w:rFonts w:ascii="Arial" w:hAnsi="Arial" w:cs="Arial"/>
          <w:sz w:val="16"/>
          <w:szCs w:val="16"/>
        </w:rPr>
        <w:t xml:space="preserve">Ethics (Society of Applied Philosophy Annual Lecture 2014)’ </w:t>
      </w:r>
      <w:r w:rsidR="006760EE" w:rsidRPr="0059687C">
        <w:rPr>
          <w:rFonts w:ascii="Arial" w:hAnsi="Arial" w:cs="Arial"/>
          <w:i/>
          <w:iCs/>
          <w:sz w:val="16"/>
          <w:szCs w:val="16"/>
        </w:rPr>
        <w:t xml:space="preserve">Journal of Applied Philosophy  </w:t>
      </w:r>
      <w:r w:rsidR="006760EE" w:rsidRPr="0059687C">
        <w:rPr>
          <w:rFonts w:ascii="Arial" w:hAnsi="Arial" w:cs="Arial"/>
          <w:sz w:val="16"/>
          <w:szCs w:val="16"/>
        </w:rPr>
        <w:t xml:space="preserve">32(1): 1 – 14; R. Hursthouse </w:t>
      </w:r>
      <w:r w:rsidR="006760EE" w:rsidRPr="0059687C">
        <w:rPr>
          <w:rFonts w:ascii="Arial" w:hAnsi="Arial" w:cs="Arial"/>
          <w:i/>
          <w:iCs/>
          <w:sz w:val="16"/>
          <w:szCs w:val="16"/>
        </w:rPr>
        <w:t xml:space="preserve">On Virtue Ethics </w:t>
      </w:r>
      <w:r w:rsidR="006760EE" w:rsidRPr="0059687C">
        <w:rPr>
          <w:rFonts w:ascii="Arial" w:hAnsi="Arial" w:cs="Arial"/>
          <w:sz w:val="16"/>
          <w:szCs w:val="16"/>
        </w:rPr>
        <w:t>(Oxford: OUP, 1999) Chapter 1</w:t>
      </w:r>
      <w:r w:rsidR="006760EE" w:rsidRPr="0059687C">
        <w:rPr>
          <w:rFonts w:ascii="Arial" w:hAnsi="Arial" w:cs="Arial"/>
          <w:sz w:val="16"/>
          <w:szCs w:val="16"/>
        </w:rPr>
        <w:t>.</w:t>
      </w:r>
    </w:p>
  </w:footnote>
  <w:footnote w:id="22">
    <w:p w14:paraId="542CFEFA" w14:textId="1A345EF7" w:rsidR="004B723B" w:rsidRPr="00825DDF" w:rsidRDefault="004B723B" w:rsidP="004B723B">
      <w:pPr>
        <w:pStyle w:val="FootnoteText"/>
        <w:jc w:val="both"/>
        <w:rPr>
          <w:rFonts w:ascii="Calibri" w:hAnsi="Calibri" w:cs="Calibri"/>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00B30C61" w:rsidRPr="0059687C">
        <w:rPr>
          <w:rFonts w:ascii="Arial" w:hAnsi="Arial" w:cs="Arial"/>
          <w:sz w:val="16"/>
          <w:szCs w:val="16"/>
        </w:rPr>
        <w:t xml:space="preserve">J. Annas </w:t>
      </w:r>
      <w:r w:rsidR="00B30C61" w:rsidRPr="0059687C">
        <w:rPr>
          <w:rFonts w:ascii="Arial" w:hAnsi="Arial" w:cs="Arial"/>
          <w:i/>
          <w:iCs/>
          <w:sz w:val="16"/>
          <w:szCs w:val="16"/>
        </w:rPr>
        <w:t xml:space="preserve">Intelligent Virtue </w:t>
      </w:r>
      <w:r w:rsidR="00B30C61" w:rsidRPr="0059687C">
        <w:rPr>
          <w:rFonts w:ascii="Arial" w:hAnsi="Arial" w:cs="Arial"/>
          <w:sz w:val="16"/>
          <w:szCs w:val="16"/>
        </w:rPr>
        <w:t xml:space="preserve">(Oxford: OUP, </w:t>
      </w:r>
      <w:r w:rsidRPr="0059687C">
        <w:rPr>
          <w:rFonts w:ascii="Arial" w:hAnsi="Arial" w:cs="Arial"/>
          <w:sz w:val="16"/>
          <w:szCs w:val="16"/>
        </w:rPr>
        <w:t>2011</w:t>
      </w:r>
      <w:r w:rsidR="00B30C61" w:rsidRPr="0059687C">
        <w:rPr>
          <w:rFonts w:ascii="Arial" w:hAnsi="Arial" w:cs="Arial"/>
          <w:sz w:val="16"/>
          <w:szCs w:val="16"/>
        </w:rPr>
        <w:t>)</w:t>
      </w:r>
      <w:r w:rsidRPr="0059687C">
        <w:rPr>
          <w:rFonts w:ascii="Arial" w:hAnsi="Arial" w:cs="Arial"/>
          <w:sz w:val="16"/>
          <w:szCs w:val="16"/>
        </w:rPr>
        <w:t xml:space="preserve"> 42. </w:t>
      </w:r>
    </w:p>
  </w:footnote>
  <w:footnote w:id="23">
    <w:p w14:paraId="1D68C91F" w14:textId="091F1643" w:rsidR="00701CF8" w:rsidRPr="0059687C" w:rsidRDefault="00854D4A" w:rsidP="00946CB2">
      <w:pPr>
        <w:pStyle w:val="FootnoteText"/>
        <w:jc w:val="both"/>
        <w:rPr>
          <w:rFonts w:ascii="Arial" w:hAnsi="Arial" w:cs="Arial"/>
          <w:i/>
          <w:iCs/>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009C4BFB" w:rsidRPr="0059687C">
        <w:rPr>
          <w:rFonts w:ascii="Arial" w:hAnsi="Arial" w:cs="Arial"/>
          <w:sz w:val="16"/>
          <w:szCs w:val="16"/>
        </w:rPr>
        <w:t xml:space="preserve">i.e. </w:t>
      </w:r>
      <w:r w:rsidR="00701CF8" w:rsidRPr="0059687C">
        <w:rPr>
          <w:rFonts w:ascii="Arial" w:hAnsi="Arial" w:cs="Arial"/>
          <w:sz w:val="16"/>
          <w:szCs w:val="16"/>
        </w:rPr>
        <w:t xml:space="preserve">Virtue as Perception: </w:t>
      </w:r>
      <w:r w:rsidR="00C174DB" w:rsidRPr="0059687C">
        <w:rPr>
          <w:rFonts w:ascii="Arial" w:hAnsi="Arial" w:cs="Arial"/>
          <w:sz w:val="16"/>
          <w:szCs w:val="16"/>
        </w:rPr>
        <w:t xml:space="preserve">J. </w:t>
      </w:r>
      <w:r w:rsidR="00701CF8" w:rsidRPr="0059687C">
        <w:rPr>
          <w:rFonts w:ascii="Arial" w:hAnsi="Arial" w:cs="Arial"/>
          <w:color w:val="000000" w:themeColor="text1"/>
          <w:sz w:val="16"/>
          <w:szCs w:val="16"/>
        </w:rPr>
        <w:t>McDowell, ‘Virtue and Reason’ (1979) in R.</w:t>
      </w:r>
      <w:r w:rsidR="0059687C">
        <w:rPr>
          <w:rFonts w:ascii="Arial" w:hAnsi="Arial" w:cs="Arial"/>
          <w:color w:val="000000" w:themeColor="text1"/>
          <w:sz w:val="16"/>
          <w:szCs w:val="16"/>
        </w:rPr>
        <w:t xml:space="preserve"> </w:t>
      </w:r>
      <w:r w:rsidR="00701CF8" w:rsidRPr="0059687C">
        <w:rPr>
          <w:rFonts w:ascii="Arial" w:hAnsi="Arial" w:cs="Arial"/>
          <w:color w:val="000000" w:themeColor="text1"/>
          <w:sz w:val="16"/>
          <w:szCs w:val="16"/>
        </w:rPr>
        <w:t xml:space="preserve">Crisp and M. Slote (eds.) </w:t>
      </w:r>
      <w:r w:rsidR="00701CF8" w:rsidRPr="0059687C">
        <w:rPr>
          <w:rFonts w:ascii="Arial" w:hAnsi="Arial" w:cs="Arial"/>
          <w:i/>
          <w:iCs/>
          <w:color w:val="000000" w:themeColor="text1"/>
          <w:sz w:val="16"/>
          <w:szCs w:val="16"/>
        </w:rPr>
        <w:t xml:space="preserve">Virtue </w:t>
      </w:r>
      <w:r w:rsidR="00701CF8" w:rsidRPr="0059687C">
        <w:rPr>
          <w:rFonts w:ascii="Arial" w:hAnsi="Arial" w:cs="Arial"/>
          <w:color w:val="000000" w:themeColor="text1"/>
          <w:sz w:val="16"/>
          <w:szCs w:val="16"/>
        </w:rPr>
        <w:t>Ethics: Oxford Readings in Philosophy (Oxford: OUP, 1997) 163 – 177</w:t>
      </w:r>
      <w:r w:rsidR="00701CF8" w:rsidRPr="0059687C">
        <w:rPr>
          <w:rFonts w:ascii="Arial" w:hAnsi="Arial" w:cs="Arial"/>
          <w:sz w:val="16"/>
          <w:szCs w:val="16"/>
        </w:rPr>
        <w:t xml:space="preserve">;   </w:t>
      </w:r>
      <w:r w:rsidR="00C174DB" w:rsidRPr="0059687C">
        <w:rPr>
          <w:rFonts w:ascii="Arial" w:hAnsi="Arial" w:cs="Arial"/>
          <w:sz w:val="16"/>
          <w:szCs w:val="16"/>
        </w:rPr>
        <w:t>I. Murdoch, ‘The Sovereignty of Good over Other Concepts’ in Crisp and Slote (1997) 99 – 117. S</w:t>
      </w:r>
      <w:r w:rsidR="00701CF8" w:rsidRPr="0059687C">
        <w:rPr>
          <w:rFonts w:ascii="Arial" w:hAnsi="Arial" w:cs="Arial"/>
          <w:sz w:val="16"/>
          <w:szCs w:val="16"/>
        </w:rPr>
        <w:t xml:space="preserve">ee </w:t>
      </w:r>
      <w:r w:rsidR="00C174DB" w:rsidRPr="0059687C">
        <w:rPr>
          <w:rFonts w:ascii="Arial" w:hAnsi="Arial" w:cs="Arial"/>
          <w:sz w:val="16"/>
          <w:szCs w:val="16"/>
        </w:rPr>
        <w:t xml:space="preserve">also </w:t>
      </w:r>
      <w:r w:rsidR="00701CF8" w:rsidRPr="0059687C">
        <w:rPr>
          <w:rFonts w:ascii="Arial" w:hAnsi="Arial" w:cs="Arial"/>
          <w:sz w:val="16"/>
          <w:szCs w:val="16"/>
        </w:rPr>
        <w:t xml:space="preserve">B. Clarke, ‘Virtue as Sensitivity’ in N. Snow (ed.) </w:t>
      </w:r>
      <w:r w:rsidR="00701CF8" w:rsidRPr="0059687C">
        <w:rPr>
          <w:rFonts w:ascii="Arial" w:hAnsi="Arial" w:cs="Arial"/>
          <w:i/>
          <w:iCs/>
          <w:sz w:val="16"/>
          <w:szCs w:val="16"/>
        </w:rPr>
        <w:t>The Oxford Handbook of Virtue</w:t>
      </w:r>
      <w:r w:rsidR="00701CF8" w:rsidRPr="0059687C">
        <w:rPr>
          <w:rFonts w:ascii="Arial" w:hAnsi="Arial" w:cs="Arial"/>
          <w:color w:val="2A2A2A"/>
          <w:kern w:val="0"/>
          <w:sz w:val="16"/>
          <w:szCs w:val="16"/>
        </w:rPr>
        <w:t xml:space="preserve"> (</w:t>
      </w:r>
      <w:r w:rsidR="00701CF8" w:rsidRPr="0059687C">
        <w:rPr>
          <w:rFonts w:ascii="Arial" w:hAnsi="Arial" w:cs="Arial"/>
          <w:color w:val="2A2A2A"/>
          <w:kern w:val="0"/>
          <w:sz w:val="16"/>
          <w:szCs w:val="16"/>
        </w:rPr>
        <w:t>Oxford: 0UP, 2007; Online Edition: 22.2.18</w:t>
      </w:r>
      <w:r w:rsidR="00BA40A5" w:rsidRPr="0059687C">
        <w:rPr>
          <w:rFonts w:ascii="Arial" w:hAnsi="Arial" w:cs="Arial"/>
          <w:color w:val="2A2A2A"/>
          <w:kern w:val="0"/>
          <w:sz w:val="16"/>
          <w:szCs w:val="16"/>
        </w:rPr>
        <w:t>) 35 – 56.</w:t>
      </w:r>
      <w:r w:rsidR="00C174DB" w:rsidRPr="0059687C">
        <w:rPr>
          <w:rFonts w:ascii="Arial" w:hAnsi="Arial" w:cs="Arial"/>
          <w:color w:val="2A2A2A"/>
          <w:kern w:val="0"/>
          <w:sz w:val="16"/>
          <w:szCs w:val="16"/>
        </w:rPr>
        <w:t xml:space="preserve"> </w:t>
      </w:r>
      <w:r w:rsidR="00701CF8" w:rsidRPr="0059687C">
        <w:rPr>
          <w:rFonts w:ascii="Arial" w:hAnsi="Arial" w:cs="Arial"/>
          <w:color w:val="000000" w:themeColor="text1"/>
          <w:kern w:val="0"/>
          <w:sz w:val="16"/>
          <w:szCs w:val="16"/>
        </w:rPr>
        <w:t>https://doi.org/10.1093/oxfordhb/9780199385195.001.0001</w:t>
      </w:r>
      <w:r w:rsidR="00701CF8" w:rsidRPr="0059687C">
        <w:rPr>
          <w:rFonts w:ascii="Arial" w:hAnsi="Arial" w:cs="Arial"/>
          <w:color w:val="000000" w:themeColor="text1"/>
          <w:kern w:val="0"/>
          <w:sz w:val="16"/>
          <w:szCs w:val="16"/>
        </w:rPr>
        <w:t xml:space="preserve">. </w:t>
      </w:r>
      <w:r w:rsidR="00C174DB" w:rsidRPr="0059687C">
        <w:rPr>
          <w:rFonts w:ascii="Arial" w:hAnsi="Arial" w:cs="Arial"/>
          <w:color w:val="000000" w:themeColor="text1"/>
          <w:kern w:val="0"/>
          <w:sz w:val="16"/>
          <w:szCs w:val="16"/>
        </w:rPr>
        <w:t xml:space="preserve"> For VE as not practical: </w:t>
      </w:r>
      <w:r w:rsidR="009C4BFB" w:rsidRPr="0059687C">
        <w:rPr>
          <w:rFonts w:ascii="Arial" w:hAnsi="Arial" w:cs="Arial"/>
          <w:sz w:val="16"/>
          <w:szCs w:val="16"/>
        </w:rPr>
        <w:t xml:space="preserve">E. Pincoffs </w:t>
      </w:r>
      <w:r w:rsidR="009C4BFB" w:rsidRPr="0059687C">
        <w:rPr>
          <w:rFonts w:ascii="Arial" w:hAnsi="Arial" w:cs="Arial"/>
          <w:i/>
          <w:iCs/>
          <w:sz w:val="16"/>
          <w:szCs w:val="16"/>
        </w:rPr>
        <w:t xml:space="preserve">Quandaries and Virtues </w:t>
      </w:r>
      <w:r w:rsidR="009C4BFB" w:rsidRPr="0059687C">
        <w:rPr>
          <w:rFonts w:ascii="Arial" w:hAnsi="Arial" w:cs="Arial"/>
          <w:sz w:val="16"/>
          <w:szCs w:val="16"/>
        </w:rPr>
        <w:t>(Lawrence, Kansas: University of Kansas Press, 1986)</w:t>
      </w:r>
      <w:r w:rsidR="00C174DB" w:rsidRPr="0059687C">
        <w:rPr>
          <w:rFonts w:ascii="Arial" w:hAnsi="Arial" w:cs="Arial"/>
          <w:color w:val="000000" w:themeColor="text1"/>
          <w:sz w:val="16"/>
          <w:szCs w:val="16"/>
        </w:rPr>
        <w:t xml:space="preserve">. Current anti-theorists: see Brewer, Chappell et al. </w:t>
      </w:r>
    </w:p>
    <w:p w14:paraId="1E175EE8" w14:textId="57F86049" w:rsidR="00854D4A" w:rsidRPr="0059687C" w:rsidRDefault="009C4BFB" w:rsidP="00946CB2">
      <w:pPr>
        <w:pStyle w:val="FootnoteText"/>
        <w:jc w:val="both"/>
        <w:rPr>
          <w:rFonts w:ascii="Arial" w:hAnsi="Arial" w:cs="Arial"/>
          <w:sz w:val="16"/>
          <w:szCs w:val="16"/>
        </w:rPr>
      </w:pPr>
      <w:r w:rsidRPr="0059687C">
        <w:rPr>
          <w:rFonts w:ascii="Arial" w:hAnsi="Arial" w:cs="Arial"/>
          <w:sz w:val="16"/>
          <w:szCs w:val="16"/>
        </w:rPr>
        <w:t xml:space="preserve">e.g. </w:t>
      </w:r>
      <w:r w:rsidRPr="0059687C">
        <w:rPr>
          <w:rFonts w:ascii="Arial" w:hAnsi="Arial" w:cs="Arial"/>
          <w:sz w:val="16"/>
          <w:szCs w:val="16"/>
        </w:rPr>
        <w:t xml:space="preserve">J. Hacker-Wright </w:t>
      </w:r>
      <w:r w:rsidRPr="0059687C">
        <w:rPr>
          <w:rFonts w:ascii="Arial" w:hAnsi="Arial" w:cs="Arial"/>
          <w:sz w:val="16"/>
          <w:szCs w:val="16"/>
        </w:rPr>
        <w:t>(2010)</w:t>
      </w:r>
      <w:r w:rsidRPr="0059687C">
        <w:rPr>
          <w:rFonts w:ascii="Arial" w:hAnsi="Arial" w:cs="Arial"/>
          <w:sz w:val="16"/>
          <w:szCs w:val="16"/>
        </w:rPr>
        <w:t xml:space="preserve">; T. Chappell, ‘Virtue Ethics in the Twentieth Century’ in D.C. Russell (ed.) </w:t>
      </w:r>
      <w:r w:rsidRPr="0059687C">
        <w:rPr>
          <w:rFonts w:ascii="Arial" w:hAnsi="Arial" w:cs="Arial"/>
          <w:i/>
          <w:iCs/>
          <w:sz w:val="16"/>
          <w:szCs w:val="16"/>
        </w:rPr>
        <w:t xml:space="preserve">The Cambridge Companion to Virtue Ethics </w:t>
      </w:r>
      <w:r w:rsidRPr="0059687C">
        <w:rPr>
          <w:rFonts w:ascii="Arial" w:hAnsi="Arial" w:cs="Arial"/>
          <w:sz w:val="16"/>
          <w:szCs w:val="16"/>
        </w:rPr>
        <w:t xml:space="preserve">(Cambridge: Cambridge UP, 2013) 149 – 171; T. Brewer </w:t>
      </w:r>
      <w:r w:rsidRPr="0059687C">
        <w:rPr>
          <w:rFonts w:ascii="Arial" w:hAnsi="Arial" w:cs="Arial"/>
          <w:i/>
          <w:iCs/>
          <w:sz w:val="16"/>
          <w:szCs w:val="16"/>
        </w:rPr>
        <w:t xml:space="preserve">The Retrieval of Ethics </w:t>
      </w:r>
      <w:r w:rsidRPr="0059687C">
        <w:rPr>
          <w:rFonts w:ascii="Arial" w:hAnsi="Arial" w:cs="Arial"/>
          <w:sz w:val="16"/>
          <w:szCs w:val="16"/>
        </w:rPr>
        <w:t>(Oxford: OUP, 2009) ‘Introduction’.</w:t>
      </w:r>
    </w:p>
  </w:footnote>
  <w:footnote w:id="24">
    <w:p w14:paraId="665A6F82" w14:textId="2513EA80" w:rsidR="00C174DB" w:rsidRPr="0059687C" w:rsidRDefault="00C174DB" w:rsidP="00946CB2">
      <w:pPr>
        <w:pStyle w:val="FootnoteText"/>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D.</w:t>
      </w:r>
      <w:r w:rsidRPr="0059687C">
        <w:rPr>
          <w:rFonts w:ascii="Arial" w:hAnsi="Arial" w:cs="Arial"/>
          <w:sz w:val="16"/>
          <w:szCs w:val="16"/>
        </w:rPr>
        <w:t>C Russell</w:t>
      </w:r>
      <w:r w:rsidRPr="0059687C">
        <w:rPr>
          <w:rFonts w:ascii="Arial" w:hAnsi="Arial" w:cs="Arial"/>
          <w:sz w:val="16"/>
          <w:szCs w:val="16"/>
        </w:rPr>
        <w:t xml:space="preserve"> (</w:t>
      </w:r>
      <w:r w:rsidRPr="0059687C">
        <w:rPr>
          <w:rFonts w:ascii="Arial" w:hAnsi="Arial" w:cs="Arial"/>
          <w:color w:val="000000" w:themeColor="text1"/>
          <w:sz w:val="16"/>
          <w:szCs w:val="16"/>
        </w:rPr>
        <w:t>20</w:t>
      </w:r>
      <w:r w:rsidRPr="0059687C">
        <w:rPr>
          <w:rFonts w:ascii="Arial" w:hAnsi="Arial" w:cs="Arial"/>
          <w:color w:val="000000" w:themeColor="text1"/>
          <w:sz w:val="16"/>
          <w:szCs w:val="16"/>
        </w:rPr>
        <w:t>09) 38.</w:t>
      </w:r>
      <w:r w:rsidRPr="0059687C">
        <w:rPr>
          <w:rFonts w:ascii="Arial" w:hAnsi="Arial" w:cs="Arial"/>
          <w:color w:val="000000" w:themeColor="text1"/>
          <w:sz w:val="16"/>
          <w:szCs w:val="16"/>
        </w:rPr>
        <w:t xml:space="preserve"> </w:t>
      </w:r>
    </w:p>
  </w:footnote>
  <w:footnote w:id="25">
    <w:p w14:paraId="1FD62BD6" w14:textId="5E2FB476" w:rsidR="00C174DB" w:rsidRPr="0059687C" w:rsidRDefault="00C174DB" w:rsidP="00946CB2">
      <w:pPr>
        <w:pStyle w:val="FootnoteText"/>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Russell </w:t>
      </w:r>
      <w:r w:rsidR="00BA40A5" w:rsidRPr="0059687C">
        <w:rPr>
          <w:rFonts w:ascii="Arial" w:hAnsi="Arial" w:cs="Arial"/>
          <w:sz w:val="16"/>
          <w:szCs w:val="16"/>
        </w:rPr>
        <w:t>applies such a test in Russell (2009) 37 – 71.</w:t>
      </w:r>
    </w:p>
  </w:footnote>
  <w:footnote w:id="26">
    <w:p w14:paraId="74A663BC" w14:textId="2716E9D2" w:rsidR="00BA40A5" w:rsidRPr="0059687C" w:rsidRDefault="00BA40A5" w:rsidP="0059687C">
      <w:pPr>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Pr="0059687C">
        <w:rPr>
          <w:rFonts w:ascii="Arial" w:eastAsiaTheme="minorHAnsi" w:hAnsi="Arial" w:cs="Arial"/>
          <w:color w:val="2A2A2A"/>
          <w:sz w:val="16"/>
          <w:szCs w:val="16"/>
          <w:lang w:eastAsia="en-US"/>
          <w14:ligatures w14:val="standardContextual"/>
        </w:rPr>
        <w:t>F. Svensson and J. Johansson</w:t>
      </w:r>
      <w:r w:rsidRPr="0059687C">
        <w:rPr>
          <w:rFonts w:ascii="Arial" w:hAnsi="Arial" w:cs="Arial"/>
          <w:color w:val="2A2A2A"/>
          <w:sz w:val="16"/>
          <w:szCs w:val="16"/>
        </w:rPr>
        <w:t xml:space="preserve"> </w:t>
      </w:r>
      <w:r w:rsidRPr="0059687C">
        <w:rPr>
          <w:rFonts w:ascii="Arial" w:hAnsi="Arial" w:cs="Arial"/>
          <w:i/>
          <w:iCs/>
          <w:color w:val="2A2A2A"/>
          <w:sz w:val="16"/>
          <w:szCs w:val="16"/>
        </w:rPr>
        <w:t xml:space="preserve">‘Objections to Virtue Ethics’ </w:t>
      </w:r>
      <w:r w:rsidRPr="0059687C">
        <w:rPr>
          <w:rFonts w:ascii="Arial" w:hAnsi="Arial" w:cs="Arial"/>
          <w:color w:val="2A2A2A"/>
          <w:sz w:val="16"/>
          <w:szCs w:val="16"/>
        </w:rPr>
        <w:t>in</w:t>
      </w:r>
      <w:r w:rsidRPr="0059687C">
        <w:rPr>
          <w:rFonts w:ascii="Arial" w:hAnsi="Arial" w:cs="Arial"/>
          <w:i/>
          <w:iCs/>
          <w:color w:val="2A2A2A"/>
          <w:sz w:val="16"/>
          <w:szCs w:val="16"/>
        </w:rPr>
        <w:t xml:space="preserve"> </w:t>
      </w:r>
      <w:r w:rsidRPr="0059687C">
        <w:rPr>
          <w:rFonts w:ascii="Arial" w:hAnsi="Arial" w:cs="Arial"/>
          <w:sz w:val="16"/>
          <w:szCs w:val="16"/>
        </w:rPr>
        <w:t xml:space="preserve">N. Snow (ed.) </w:t>
      </w:r>
      <w:r w:rsidRPr="0059687C">
        <w:rPr>
          <w:rFonts w:ascii="Arial" w:hAnsi="Arial" w:cs="Arial"/>
          <w:i/>
          <w:iCs/>
          <w:sz w:val="16"/>
          <w:szCs w:val="16"/>
        </w:rPr>
        <w:t>The Oxford Handbook of Virtue</w:t>
      </w:r>
      <w:r w:rsidRPr="0059687C">
        <w:rPr>
          <w:rFonts w:ascii="Arial" w:hAnsi="Arial" w:cs="Arial"/>
          <w:color w:val="2A2A2A"/>
          <w:sz w:val="16"/>
          <w:szCs w:val="16"/>
        </w:rPr>
        <w:t xml:space="preserve"> (Oxford: 0UP, 2007; Online Edition: 22.2.18) </w:t>
      </w:r>
      <w:r w:rsidRPr="0059687C">
        <w:rPr>
          <w:rFonts w:ascii="Arial" w:hAnsi="Arial" w:cs="Arial"/>
          <w:color w:val="2A2A2A"/>
          <w:sz w:val="16"/>
          <w:szCs w:val="16"/>
          <w:bdr w:val="none" w:sz="0" w:space="0" w:color="auto" w:frame="1"/>
        </w:rPr>
        <w:t>https://doi.org/10.1093/oxfordhb/9780199385195.013.39</w:t>
      </w:r>
      <w:r w:rsidRPr="0059687C">
        <w:rPr>
          <w:rFonts w:ascii="Arial" w:hAnsi="Arial" w:cs="Arial"/>
          <w:color w:val="2A2A2A"/>
          <w:sz w:val="16"/>
          <w:szCs w:val="16"/>
        </w:rPr>
        <w:t xml:space="preserve"> 491</w:t>
      </w:r>
      <w:r w:rsidRPr="0059687C">
        <w:rPr>
          <w:rFonts w:ascii="Arial" w:hAnsi="Arial" w:cs="Arial"/>
          <w:color w:val="2A2A2A"/>
          <w:sz w:val="16"/>
          <w:szCs w:val="16"/>
        </w:rPr>
        <w:t>; J. Driver, ‘Moral Theory’</w:t>
      </w:r>
      <w:r w:rsidRPr="0059687C">
        <w:rPr>
          <w:rFonts w:ascii="Arial" w:hAnsi="Arial" w:cs="Arial"/>
          <w:color w:val="1A1A1A"/>
          <w:sz w:val="16"/>
          <w:szCs w:val="16"/>
        </w:rPr>
        <w:t xml:space="preserve"> </w:t>
      </w:r>
      <w:r w:rsidRPr="0059687C">
        <w:rPr>
          <w:rStyle w:val="Emphasis"/>
          <w:rFonts w:ascii="Arial" w:hAnsi="Arial" w:cs="Arial"/>
          <w:color w:val="1A1A1A"/>
          <w:sz w:val="16"/>
          <w:szCs w:val="16"/>
        </w:rPr>
        <w:t>The Stanford Encyclopedia of Philosophy</w:t>
      </w:r>
      <w:r w:rsidRPr="0059687C">
        <w:rPr>
          <w:rStyle w:val="apple-converted-space"/>
          <w:rFonts w:ascii="Arial" w:hAnsi="Arial" w:cs="Arial"/>
          <w:i/>
          <w:iCs/>
          <w:color w:val="1A1A1A"/>
          <w:sz w:val="16"/>
          <w:szCs w:val="16"/>
        </w:rPr>
        <w:t> </w:t>
      </w:r>
      <w:r w:rsidRPr="0059687C">
        <w:rPr>
          <w:rFonts w:ascii="Arial" w:hAnsi="Arial" w:cs="Arial"/>
          <w:color w:val="1A1A1A"/>
          <w:sz w:val="16"/>
          <w:szCs w:val="16"/>
        </w:rPr>
        <w:t>(Fall 2022 Edition), Edward N. Zalta &amp; Uri Nodelman (eds.), URL = &lt;https://plato.stanford.edu/archives/fall2022/entries/moral-theory/&gt;</w:t>
      </w:r>
      <w:r w:rsidRPr="0059687C">
        <w:rPr>
          <w:rFonts w:ascii="Arial" w:hAnsi="Arial" w:cs="Arial"/>
          <w:color w:val="1A1A1A"/>
          <w:sz w:val="16"/>
          <w:szCs w:val="16"/>
        </w:rPr>
        <w:t xml:space="preserve"> 17 - 27</w:t>
      </w:r>
      <w:r w:rsidRPr="0059687C">
        <w:rPr>
          <w:rFonts w:ascii="Arial" w:hAnsi="Arial" w:cs="Arial"/>
          <w:color w:val="1A1A1A"/>
          <w:sz w:val="16"/>
          <w:szCs w:val="16"/>
        </w:rPr>
        <w:t>.</w:t>
      </w:r>
      <w:r w:rsidR="00946CB2" w:rsidRPr="0059687C">
        <w:rPr>
          <w:rFonts w:ascii="Arial" w:hAnsi="Arial" w:cs="Arial"/>
          <w:color w:val="1A1A1A"/>
          <w:sz w:val="16"/>
          <w:szCs w:val="16"/>
        </w:rPr>
        <w:t xml:space="preserve"> P. </w:t>
      </w:r>
      <w:r w:rsidR="00946CB2" w:rsidRPr="0059687C">
        <w:rPr>
          <w:rFonts w:ascii="Arial" w:hAnsi="Arial" w:cs="Arial"/>
          <w:sz w:val="16"/>
          <w:szCs w:val="16"/>
        </w:rPr>
        <w:t xml:space="preserve">Vayrynen </w:t>
      </w:r>
      <w:r w:rsidR="00946CB2" w:rsidRPr="0059687C">
        <w:rPr>
          <w:rFonts w:ascii="Arial" w:hAnsi="Arial" w:cs="Arial"/>
          <w:i/>
          <w:iCs/>
          <w:sz w:val="16"/>
          <w:szCs w:val="16"/>
        </w:rPr>
        <w:t>‘</w:t>
      </w:r>
      <w:r w:rsidR="00946CB2" w:rsidRPr="0059687C">
        <w:rPr>
          <w:rFonts w:ascii="Arial" w:hAnsi="Arial" w:cs="Arial"/>
          <w:sz w:val="16"/>
          <w:szCs w:val="16"/>
        </w:rPr>
        <w:t>Ethical Theories and Moral Guidance’</w:t>
      </w:r>
      <w:r w:rsidR="00946CB2" w:rsidRPr="0059687C">
        <w:rPr>
          <w:rFonts w:ascii="Arial" w:hAnsi="Arial" w:cs="Arial"/>
          <w:i/>
          <w:iCs/>
          <w:sz w:val="16"/>
          <w:szCs w:val="16"/>
        </w:rPr>
        <w:t xml:space="preserve"> Utilitas </w:t>
      </w:r>
      <w:r w:rsidR="00946CB2" w:rsidRPr="0059687C">
        <w:rPr>
          <w:rFonts w:ascii="Arial" w:hAnsi="Arial" w:cs="Arial"/>
          <w:sz w:val="16"/>
          <w:szCs w:val="16"/>
        </w:rPr>
        <w:t xml:space="preserve">(2006) 18(3) 291 – </w:t>
      </w:r>
      <w:r w:rsidR="00946CB2" w:rsidRPr="0059687C">
        <w:rPr>
          <w:rFonts w:ascii="Arial" w:hAnsi="Arial" w:cs="Arial"/>
          <w:sz w:val="16"/>
          <w:szCs w:val="16"/>
        </w:rPr>
        <w:t xml:space="preserve">292; U. Leibowitz ‘Moral Advice and Moral Theory’ </w:t>
      </w:r>
      <w:hyperlink r:id="rId1" w:history="1">
        <w:r w:rsidR="00946CB2" w:rsidRPr="0059687C">
          <w:rPr>
            <w:rStyle w:val="Hyperlink"/>
            <w:rFonts w:ascii="Arial" w:hAnsi="Arial" w:cs="Arial"/>
            <w:i/>
            <w:iCs/>
            <w:color w:val="363636"/>
            <w:sz w:val="16"/>
            <w:szCs w:val="16"/>
            <w:u w:val="none"/>
          </w:rPr>
          <w:t>Philosophical Studies</w:t>
        </w:r>
      </w:hyperlink>
      <w:r w:rsidR="00946CB2" w:rsidRPr="0059687C">
        <w:rPr>
          <w:rFonts w:ascii="Arial" w:hAnsi="Arial" w:cs="Arial"/>
          <w:i/>
          <w:iCs/>
          <w:color w:val="333333"/>
          <w:sz w:val="16"/>
          <w:szCs w:val="16"/>
          <w:shd w:val="clear" w:color="auto" w:fill="FFFFFF"/>
        </w:rPr>
        <w:t> </w:t>
      </w:r>
      <w:r w:rsidR="00946CB2" w:rsidRPr="0059687C">
        <w:rPr>
          <w:rFonts w:ascii="Arial" w:hAnsi="Arial" w:cs="Arial"/>
          <w:color w:val="333333"/>
          <w:sz w:val="16"/>
          <w:szCs w:val="16"/>
          <w:shd w:val="clear" w:color="auto" w:fill="FFFFFF"/>
        </w:rPr>
        <w:t>(2009)</w:t>
      </w:r>
      <w:r w:rsidR="00946CB2" w:rsidRPr="0059687C">
        <w:rPr>
          <w:rFonts w:ascii="Arial" w:hAnsi="Arial" w:cs="Arial"/>
          <w:color w:val="333333"/>
          <w:sz w:val="16"/>
          <w:szCs w:val="16"/>
          <w:shd w:val="clear" w:color="auto" w:fill="FFFFFF"/>
        </w:rPr>
        <w:t>146 (3)</w:t>
      </w:r>
      <w:r w:rsidR="00946CB2" w:rsidRPr="0059687C">
        <w:rPr>
          <w:rFonts w:ascii="Arial" w:hAnsi="Arial" w:cs="Arial"/>
          <w:color w:val="333333"/>
          <w:sz w:val="16"/>
          <w:szCs w:val="16"/>
          <w:shd w:val="clear" w:color="auto" w:fill="FFFFFF"/>
        </w:rPr>
        <w:t xml:space="preserve"> </w:t>
      </w:r>
      <w:r w:rsidR="00946CB2" w:rsidRPr="0059687C">
        <w:rPr>
          <w:rFonts w:ascii="Arial" w:hAnsi="Arial" w:cs="Arial"/>
          <w:color w:val="333333"/>
          <w:sz w:val="16"/>
          <w:szCs w:val="16"/>
          <w:shd w:val="clear" w:color="auto" w:fill="FFFFFF"/>
        </w:rPr>
        <w:t>349</w:t>
      </w:r>
      <w:r w:rsidR="00946CB2" w:rsidRPr="0059687C">
        <w:rPr>
          <w:rFonts w:ascii="Arial" w:hAnsi="Arial" w:cs="Arial"/>
          <w:color w:val="333333"/>
          <w:sz w:val="16"/>
          <w:szCs w:val="16"/>
          <w:shd w:val="clear" w:color="auto" w:fill="FFFFFF"/>
        </w:rPr>
        <w:t>.</w:t>
      </w:r>
    </w:p>
  </w:footnote>
  <w:footnote w:id="27">
    <w:p w14:paraId="785A8F26" w14:textId="5275B7F5" w:rsidR="000F1828" w:rsidRPr="0059687C" w:rsidRDefault="000F1828" w:rsidP="0059687C">
      <w:pPr>
        <w:jc w:val="both"/>
        <w:rPr>
          <w:rFonts w:ascii="Arial" w:hAnsi="Arial" w:cs="Arial"/>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Svensson and Johansson</w:t>
      </w:r>
      <w:r w:rsidR="00946CB2" w:rsidRPr="0059687C">
        <w:rPr>
          <w:rFonts w:ascii="Arial" w:hAnsi="Arial" w:cs="Arial"/>
          <w:sz w:val="16"/>
          <w:szCs w:val="16"/>
        </w:rPr>
        <w:t xml:space="preserve"> </w:t>
      </w:r>
      <w:r w:rsidR="00CC201B" w:rsidRPr="0059687C">
        <w:rPr>
          <w:rFonts w:ascii="Arial" w:hAnsi="Arial" w:cs="Arial"/>
          <w:sz w:val="16"/>
          <w:szCs w:val="16"/>
        </w:rPr>
        <w:t xml:space="preserve">(2017) </w:t>
      </w:r>
      <w:r w:rsidR="00946CB2" w:rsidRPr="0059687C">
        <w:rPr>
          <w:rFonts w:ascii="Arial" w:hAnsi="Arial" w:cs="Arial"/>
          <w:sz w:val="16"/>
          <w:szCs w:val="16"/>
        </w:rPr>
        <w:t>502</w:t>
      </w:r>
      <w:r w:rsidRPr="0059687C">
        <w:rPr>
          <w:rFonts w:ascii="Arial" w:hAnsi="Arial" w:cs="Arial"/>
          <w:sz w:val="16"/>
          <w:szCs w:val="16"/>
        </w:rPr>
        <w:t xml:space="preserve">. </w:t>
      </w:r>
    </w:p>
  </w:footnote>
  <w:footnote w:id="28">
    <w:p w14:paraId="36FA7C5D" w14:textId="4CB4C27E" w:rsidR="008D00EA" w:rsidRPr="00825DDF" w:rsidRDefault="008D00EA" w:rsidP="00825DDF">
      <w:pPr>
        <w:pStyle w:val="FootnoteText"/>
        <w:jc w:val="both"/>
        <w:rPr>
          <w:rFonts w:ascii="Calibri" w:hAnsi="Calibri" w:cs="Calibri"/>
          <w:sz w:val="16"/>
          <w:szCs w:val="16"/>
        </w:rPr>
      </w:pPr>
      <w:r w:rsidRPr="0059687C">
        <w:rPr>
          <w:rStyle w:val="FootnoteReference"/>
          <w:rFonts w:ascii="Arial" w:hAnsi="Arial" w:cs="Arial"/>
          <w:sz w:val="16"/>
          <w:szCs w:val="16"/>
        </w:rPr>
        <w:footnoteRef/>
      </w:r>
      <w:r w:rsidRPr="0059687C">
        <w:rPr>
          <w:rFonts w:ascii="Arial" w:hAnsi="Arial" w:cs="Arial"/>
          <w:sz w:val="16"/>
          <w:szCs w:val="16"/>
        </w:rPr>
        <w:t xml:space="preserve"> </w:t>
      </w:r>
      <w:r w:rsidR="00443BC4" w:rsidRPr="0059687C">
        <w:rPr>
          <w:rFonts w:ascii="Arial" w:hAnsi="Arial" w:cs="Arial"/>
          <w:sz w:val="16"/>
          <w:szCs w:val="16"/>
        </w:rPr>
        <w:t>For ‘</w:t>
      </w:r>
      <w:r w:rsidRPr="0059687C">
        <w:rPr>
          <w:rFonts w:ascii="Arial" w:hAnsi="Arial" w:cs="Arial"/>
          <w:sz w:val="16"/>
          <w:szCs w:val="16"/>
        </w:rPr>
        <w:t>Right</w:t>
      </w:r>
      <w:r w:rsidR="00443BC4" w:rsidRPr="0059687C">
        <w:rPr>
          <w:rFonts w:ascii="Arial" w:hAnsi="Arial" w:cs="Arial"/>
          <w:sz w:val="16"/>
          <w:szCs w:val="16"/>
        </w:rPr>
        <w:t xml:space="preserve"> Action’ objections see</w:t>
      </w:r>
      <w:r w:rsidR="00A73D3D" w:rsidRPr="0059687C">
        <w:rPr>
          <w:rFonts w:ascii="Arial" w:hAnsi="Arial" w:cs="Arial"/>
          <w:sz w:val="16"/>
          <w:szCs w:val="16"/>
        </w:rPr>
        <w:t xml:space="preserve">, for example, </w:t>
      </w:r>
      <w:r w:rsidR="00A73D3D" w:rsidRPr="0059687C">
        <w:rPr>
          <w:rFonts w:ascii="Arial" w:hAnsi="Arial" w:cs="Arial"/>
          <w:sz w:val="16"/>
          <w:szCs w:val="16"/>
        </w:rPr>
        <w:t xml:space="preserve">R. Das, ‘Virtue Ethics and Right Action’ </w:t>
      </w:r>
      <w:r w:rsidR="00A73D3D" w:rsidRPr="0059687C">
        <w:rPr>
          <w:rFonts w:ascii="Arial" w:hAnsi="Arial" w:cs="Arial"/>
          <w:i/>
          <w:iCs/>
          <w:sz w:val="16"/>
          <w:szCs w:val="16"/>
        </w:rPr>
        <w:t xml:space="preserve">Australasian Journal of Philosophy </w:t>
      </w:r>
      <w:r w:rsidR="00A73D3D" w:rsidRPr="0059687C">
        <w:rPr>
          <w:rFonts w:ascii="Arial" w:hAnsi="Arial" w:cs="Arial"/>
          <w:sz w:val="16"/>
          <w:szCs w:val="16"/>
        </w:rPr>
        <w:t>81)3): 324 – 339</w:t>
      </w:r>
      <w:r w:rsidR="00A73D3D" w:rsidRPr="0059687C">
        <w:rPr>
          <w:rFonts w:ascii="Arial" w:hAnsi="Arial" w:cs="Arial"/>
          <w:sz w:val="16"/>
          <w:szCs w:val="16"/>
        </w:rPr>
        <w:t xml:space="preserve">. For VE’s (TT) inadequacy see </w:t>
      </w:r>
      <w:r w:rsidRPr="0059687C">
        <w:rPr>
          <w:rFonts w:ascii="Arial" w:hAnsi="Arial" w:cs="Arial"/>
          <w:sz w:val="16"/>
          <w:szCs w:val="16"/>
        </w:rPr>
        <w:t xml:space="preserve">Travis Timmerman and Yishai Cohen, </w:t>
      </w:r>
      <w:r w:rsidR="00A73D3D" w:rsidRPr="0059687C">
        <w:rPr>
          <w:rFonts w:ascii="Arial" w:hAnsi="Arial" w:cs="Arial"/>
          <w:sz w:val="16"/>
          <w:szCs w:val="16"/>
        </w:rPr>
        <w:t>‘</w:t>
      </w:r>
      <w:r w:rsidRPr="0059687C">
        <w:rPr>
          <w:rFonts w:ascii="Arial" w:hAnsi="Arial" w:cs="Arial"/>
          <w:sz w:val="16"/>
          <w:szCs w:val="16"/>
        </w:rPr>
        <w:t>The Limits of Virtue Ethics</w:t>
      </w:r>
      <w:r w:rsidR="00A73D3D" w:rsidRPr="0059687C">
        <w:rPr>
          <w:rFonts w:ascii="Arial" w:hAnsi="Arial" w:cs="Arial"/>
          <w:sz w:val="16"/>
          <w:szCs w:val="16"/>
        </w:rPr>
        <w:t>’</w:t>
      </w:r>
      <w:r w:rsidRPr="0059687C">
        <w:rPr>
          <w:rFonts w:ascii="Arial" w:hAnsi="Arial" w:cs="Arial"/>
          <w:sz w:val="16"/>
          <w:szCs w:val="16"/>
        </w:rPr>
        <w:t xml:space="preserve"> </w:t>
      </w:r>
      <w:r w:rsidRPr="0059687C">
        <w:rPr>
          <w:rFonts w:ascii="Arial" w:hAnsi="Arial" w:cs="Arial"/>
          <w:i/>
          <w:iCs/>
          <w:sz w:val="16"/>
          <w:szCs w:val="16"/>
        </w:rPr>
        <w:t>Normative Ethics</w:t>
      </w:r>
      <w:r w:rsidRPr="0059687C">
        <w:rPr>
          <w:rFonts w:ascii="Arial" w:hAnsi="Arial" w:cs="Arial"/>
          <w:sz w:val="16"/>
          <w:szCs w:val="16"/>
        </w:rPr>
        <w:t xml:space="preserve"> </w:t>
      </w:r>
      <w:r w:rsidR="00A73D3D" w:rsidRPr="0059687C">
        <w:rPr>
          <w:rFonts w:ascii="Arial" w:hAnsi="Arial" w:cs="Arial"/>
          <w:sz w:val="16"/>
          <w:szCs w:val="16"/>
        </w:rPr>
        <w:t xml:space="preserve">(2020) </w:t>
      </w:r>
      <w:r w:rsidRPr="0059687C">
        <w:rPr>
          <w:rFonts w:ascii="Arial" w:hAnsi="Arial" w:cs="Arial"/>
          <w:sz w:val="16"/>
          <w:szCs w:val="16"/>
        </w:rPr>
        <w:t xml:space="preserve">Volume 10 (255 -282). </w:t>
      </w:r>
    </w:p>
  </w:footnote>
  <w:footnote w:id="29">
    <w:p w14:paraId="292A1C04" w14:textId="38EF1B9D" w:rsidR="008D00EA" w:rsidRPr="0059687C" w:rsidRDefault="008D00EA"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CC201B" w:rsidRPr="0059687C">
        <w:rPr>
          <w:rFonts w:ascii="Arial" w:hAnsi="Arial" w:cs="Arial"/>
          <w:color w:val="000000" w:themeColor="text1"/>
          <w:kern w:val="0"/>
          <w:sz w:val="16"/>
          <w:szCs w:val="16"/>
        </w:rPr>
        <w:t xml:space="preserve">See </w:t>
      </w:r>
      <w:r w:rsidR="00A73D3D" w:rsidRPr="0059687C">
        <w:rPr>
          <w:rFonts w:ascii="Arial" w:hAnsi="Arial" w:cs="Arial"/>
          <w:color w:val="000000" w:themeColor="text1"/>
          <w:kern w:val="0"/>
          <w:sz w:val="16"/>
          <w:szCs w:val="16"/>
        </w:rPr>
        <w:t xml:space="preserve">U. </w:t>
      </w:r>
      <w:r w:rsidR="00CC201B" w:rsidRPr="0059687C">
        <w:rPr>
          <w:rFonts w:ascii="Arial" w:hAnsi="Arial" w:cs="Arial"/>
          <w:color w:val="000000" w:themeColor="text1"/>
          <w:kern w:val="0"/>
          <w:sz w:val="16"/>
          <w:szCs w:val="16"/>
        </w:rPr>
        <w:t>Leibowitz (2009) 349 – 352; Svensson and Johan</w:t>
      </w:r>
      <w:r w:rsidR="00443BC4" w:rsidRPr="0059687C">
        <w:rPr>
          <w:rFonts w:ascii="Arial" w:hAnsi="Arial" w:cs="Arial"/>
          <w:color w:val="000000" w:themeColor="text1"/>
          <w:kern w:val="0"/>
          <w:sz w:val="16"/>
          <w:szCs w:val="16"/>
        </w:rPr>
        <w:t>sson</w:t>
      </w:r>
      <w:r w:rsidR="00CC201B" w:rsidRPr="0059687C">
        <w:rPr>
          <w:rFonts w:ascii="Arial" w:hAnsi="Arial" w:cs="Arial"/>
          <w:color w:val="000000" w:themeColor="text1"/>
          <w:kern w:val="0"/>
          <w:sz w:val="16"/>
          <w:szCs w:val="16"/>
        </w:rPr>
        <w:t xml:space="preserve"> (2017) 492</w:t>
      </w:r>
      <w:r w:rsidR="00443BC4" w:rsidRPr="0059687C">
        <w:rPr>
          <w:rFonts w:ascii="Arial" w:hAnsi="Arial" w:cs="Arial"/>
          <w:color w:val="000000" w:themeColor="text1"/>
          <w:kern w:val="0"/>
          <w:sz w:val="16"/>
          <w:szCs w:val="16"/>
        </w:rPr>
        <w:t>.</w:t>
      </w:r>
      <w:r w:rsidRPr="0059687C">
        <w:rPr>
          <w:rFonts w:ascii="Arial" w:hAnsi="Arial" w:cs="Arial"/>
          <w:color w:val="000000" w:themeColor="text1"/>
          <w:kern w:val="0"/>
          <w:sz w:val="16"/>
          <w:szCs w:val="16"/>
        </w:rPr>
        <w:t xml:space="preserve"> </w:t>
      </w:r>
    </w:p>
  </w:footnote>
  <w:footnote w:id="30">
    <w:p w14:paraId="02E209A4" w14:textId="4D124578" w:rsidR="00CC201B" w:rsidRPr="0059687C" w:rsidRDefault="00CC201B"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A73D3D" w:rsidRPr="0059687C">
        <w:rPr>
          <w:rFonts w:ascii="Arial" w:hAnsi="Arial" w:cs="Arial"/>
          <w:color w:val="000000" w:themeColor="text1"/>
          <w:sz w:val="16"/>
          <w:szCs w:val="16"/>
        </w:rPr>
        <w:t xml:space="preserve">U. </w:t>
      </w:r>
      <w:r w:rsidRPr="0059687C">
        <w:rPr>
          <w:rFonts w:ascii="Arial" w:hAnsi="Arial" w:cs="Arial"/>
          <w:color w:val="000000" w:themeColor="text1"/>
          <w:sz w:val="16"/>
          <w:szCs w:val="16"/>
        </w:rPr>
        <w:t>Leibowitz (2009) 349 – 352.</w:t>
      </w:r>
    </w:p>
  </w:footnote>
  <w:footnote w:id="31">
    <w:p w14:paraId="114967F5" w14:textId="4E44BE69" w:rsidR="00443BC4" w:rsidRPr="0059687C" w:rsidRDefault="00443BC4"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e.g. Act-Utilitarianism.</w:t>
      </w:r>
    </w:p>
  </w:footnote>
  <w:footnote w:id="32">
    <w:p w14:paraId="1FC19ED3" w14:textId="286CC064" w:rsidR="00443BC4" w:rsidRPr="0059687C" w:rsidRDefault="00443BC4"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As in the case of Applied Ethics: Leibowitz (2009) 351. </w:t>
      </w:r>
    </w:p>
  </w:footnote>
  <w:footnote w:id="33">
    <w:p w14:paraId="5BFA2E18" w14:textId="35132EB1" w:rsidR="00443BC4" w:rsidRPr="0059687C" w:rsidRDefault="00443BC4"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A73D3D" w:rsidRPr="0059687C">
        <w:rPr>
          <w:rFonts w:ascii="Arial" w:hAnsi="Arial" w:cs="Arial"/>
          <w:color w:val="000000" w:themeColor="text1"/>
          <w:sz w:val="16"/>
          <w:szCs w:val="16"/>
        </w:rPr>
        <w:t xml:space="preserve">S. </w:t>
      </w:r>
      <w:r w:rsidRPr="0059687C">
        <w:rPr>
          <w:rFonts w:ascii="Arial" w:hAnsi="Arial" w:cs="Arial"/>
          <w:color w:val="000000" w:themeColor="text1"/>
          <w:sz w:val="16"/>
          <w:szCs w:val="16"/>
        </w:rPr>
        <w:t>Svensson and Johansson (2017) 505.</w:t>
      </w:r>
    </w:p>
  </w:footnote>
  <w:footnote w:id="34">
    <w:p w14:paraId="272DDD52" w14:textId="1290E64A" w:rsidR="00443BC4" w:rsidRPr="0059687C" w:rsidRDefault="00443BC4"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Driver (2022) 25.</w:t>
      </w:r>
    </w:p>
  </w:footnote>
  <w:footnote w:id="35">
    <w:p w14:paraId="56A9DBA9" w14:textId="275DD0A2" w:rsidR="005243B3" w:rsidRPr="0059687C" w:rsidRDefault="005243B3" w:rsidP="0059687C">
      <w:pPr>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A73D3D" w:rsidRPr="0059687C">
        <w:rPr>
          <w:rFonts w:ascii="Arial" w:hAnsi="Arial" w:cs="Arial"/>
          <w:color w:val="000000" w:themeColor="text1"/>
          <w:sz w:val="16"/>
          <w:szCs w:val="16"/>
        </w:rPr>
        <w:t>R</w:t>
      </w:r>
      <w:r w:rsidR="002A38A6" w:rsidRPr="0059687C">
        <w:rPr>
          <w:rFonts w:ascii="Arial" w:hAnsi="Arial" w:cs="Arial"/>
          <w:color w:val="000000" w:themeColor="text1"/>
          <w:sz w:val="16"/>
          <w:szCs w:val="16"/>
        </w:rPr>
        <w:t xml:space="preserve">. Louden, </w:t>
      </w:r>
      <w:r w:rsidR="002A38A6" w:rsidRPr="0059687C">
        <w:rPr>
          <w:rFonts w:ascii="Arial" w:hAnsi="Arial" w:cs="Arial"/>
          <w:i/>
          <w:iCs/>
          <w:color w:val="000000" w:themeColor="text1"/>
          <w:sz w:val="16"/>
          <w:szCs w:val="16"/>
        </w:rPr>
        <w:t>Morality and Moral Theory: A Reappraisal and Reaffirmation</w:t>
      </w:r>
      <w:r w:rsidR="002A38A6" w:rsidRPr="0059687C">
        <w:rPr>
          <w:rFonts w:ascii="Arial" w:hAnsi="Arial" w:cs="Arial"/>
          <w:color w:val="000000" w:themeColor="text1"/>
          <w:sz w:val="16"/>
          <w:szCs w:val="16"/>
        </w:rPr>
        <w:t xml:space="preserve"> (</w:t>
      </w:r>
      <w:r w:rsidR="002C2582" w:rsidRPr="0059687C">
        <w:rPr>
          <w:rFonts w:ascii="Arial" w:hAnsi="Arial" w:cs="Arial"/>
          <w:color w:val="000000" w:themeColor="text1"/>
          <w:sz w:val="16"/>
          <w:szCs w:val="16"/>
        </w:rPr>
        <w:t xml:space="preserve">Oxford: OUP, </w:t>
      </w:r>
      <w:r w:rsidR="002A38A6" w:rsidRPr="0059687C">
        <w:rPr>
          <w:rFonts w:ascii="Arial" w:hAnsi="Arial" w:cs="Arial"/>
          <w:color w:val="000000" w:themeColor="text1"/>
          <w:sz w:val="16"/>
          <w:szCs w:val="16"/>
        </w:rPr>
        <w:t>1992) Introduction, Chapters 5 and 7.</w:t>
      </w:r>
      <w:r w:rsidR="00A73D3D" w:rsidRPr="0059687C">
        <w:rPr>
          <w:rFonts w:ascii="Arial" w:hAnsi="Arial" w:cs="Arial"/>
          <w:color w:val="000000" w:themeColor="text1"/>
          <w:sz w:val="16"/>
          <w:szCs w:val="16"/>
        </w:rPr>
        <w:t xml:space="preserve"> </w:t>
      </w:r>
    </w:p>
  </w:footnote>
  <w:footnote w:id="36">
    <w:p w14:paraId="34EABB4C" w14:textId="647742AD" w:rsidR="00DF5937" w:rsidRPr="0059687C" w:rsidRDefault="00DF5937"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7D134E" w:rsidRPr="0059687C">
        <w:rPr>
          <w:rFonts w:ascii="Arial" w:hAnsi="Arial" w:cs="Arial"/>
          <w:color w:val="000000" w:themeColor="text1"/>
          <w:sz w:val="16"/>
          <w:szCs w:val="16"/>
        </w:rPr>
        <w:t xml:space="preserve">T.E. </w:t>
      </w:r>
      <w:r w:rsidR="007D134E" w:rsidRPr="0059687C">
        <w:rPr>
          <w:rFonts w:ascii="Arial" w:hAnsi="Arial" w:cs="Arial"/>
          <w:color w:val="000000" w:themeColor="text1"/>
          <w:sz w:val="16"/>
          <w:szCs w:val="16"/>
        </w:rPr>
        <w:t xml:space="preserve">Hill., T.E.‘Kantian Normative Ethics’, David Copp (ed.) </w:t>
      </w:r>
      <w:r w:rsidR="007D134E" w:rsidRPr="0059687C">
        <w:rPr>
          <w:rFonts w:ascii="Arial" w:hAnsi="Arial" w:cs="Arial"/>
          <w:i/>
          <w:iCs/>
          <w:color w:val="000000" w:themeColor="text1"/>
          <w:sz w:val="16"/>
          <w:szCs w:val="16"/>
        </w:rPr>
        <w:t xml:space="preserve">The Oxford Handbook of Ethical Theory, Oxford Handbooks </w:t>
      </w:r>
      <w:r w:rsidR="007D134E" w:rsidRPr="0059687C">
        <w:rPr>
          <w:rFonts w:ascii="Arial" w:hAnsi="Arial" w:cs="Arial"/>
          <w:color w:val="000000" w:themeColor="text1"/>
          <w:sz w:val="16"/>
          <w:szCs w:val="16"/>
        </w:rPr>
        <w:t>(</w:t>
      </w:r>
      <w:r w:rsidR="002A38A6" w:rsidRPr="0059687C">
        <w:rPr>
          <w:rFonts w:ascii="Arial" w:hAnsi="Arial" w:cs="Arial"/>
          <w:color w:val="000000" w:themeColor="text1"/>
          <w:sz w:val="16"/>
          <w:szCs w:val="16"/>
        </w:rPr>
        <w:t xml:space="preserve">Oxford: OUP, </w:t>
      </w:r>
      <w:r w:rsidR="007D134E" w:rsidRPr="0059687C">
        <w:rPr>
          <w:rFonts w:ascii="Arial" w:hAnsi="Arial" w:cs="Arial"/>
          <w:color w:val="000000" w:themeColor="text1"/>
          <w:sz w:val="16"/>
          <w:szCs w:val="16"/>
        </w:rPr>
        <w:t>2007; online edition Oxford Academic 2 Sept 2009).</w:t>
      </w:r>
    </w:p>
  </w:footnote>
  <w:footnote w:id="37">
    <w:p w14:paraId="507F1BD6" w14:textId="5792E9F6" w:rsidR="00B30C61" w:rsidRPr="0059687C" w:rsidRDefault="00B30C61"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M. </w:t>
      </w:r>
      <w:r w:rsidRPr="0059687C">
        <w:rPr>
          <w:rFonts w:ascii="Arial" w:hAnsi="Arial" w:cs="Arial"/>
          <w:color w:val="000000" w:themeColor="text1"/>
          <w:sz w:val="16"/>
          <w:szCs w:val="16"/>
          <w:shd w:val="clear" w:color="auto" w:fill="FFFFFF"/>
        </w:rPr>
        <w:t xml:space="preserve">Timmons </w:t>
      </w:r>
      <w:r w:rsidRPr="0059687C">
        <w:rPr>
          <w:rFonts w:ascii="Arial" w:hAnsi="Arial" w:cs="Arial"/>
          <w:i/>
          <w:iCs/>
          <w:color w:val="000000" w:themeColor="text1"/>
          <w:sz w:val="16"/>
          <w:szCs w:val="16"/>
          <w:shd w:val="clear" w:color="auto" w:fill="FFFFFF"/>
        </w:rPr>
        <w:t>Moral Theory: An Introduction</w:t>
      </w:r>
      <w:r w:rsidRPr="0059687C">
        <w:rPr>
          <w:rFonts w:ascii="Arial" w:hAnsi="Arial" w:cs="Arial"/>
          <w:color w:val="000000" w:themeColor="text1"/>
          <w:sz w:val="16"/>
          <w:szCs w:val="16"/>
          <w:shd w:val="clear" w:color="auto" w:fill="FFFFFF"/>
        </w:rPr>
        <w:t xml:space="preserve"> (</w:t>
      </w:r>
      <w:r w:rsidRPr="0059687C">
        <w:rPr>
          <w:rFonts w:ascii="Arial" w:hAnsi="Arial" w:cs="Arial"/>
          <w:color w:val="000000" w:themeColor="text1"/>
          <w:sz w:val="16"/>
          <w:szCs w:val="16"/>
          <w:shd w:val="clear" w:color="auto" w:fill="FFFFFF"/>
        </w:rPr>
        <w:t>Lanham, MD: Rowman &amp; Littlefield Publishers</w:t>
      </w:r>
      <w:r w:rsidRPr="0059687C">
        <w:rPr>
          <w:rFonts w:ascii="Arial" w:hAnsi="Arial" w:cs="Arial"/>
          <w:color w:val="000000" w:themeColor="text1"/>
          <w:sz w:val="16"/>
          <w:szCs w:val="16"/>
          <w:shd w:val="clear" w:color="auto" w:fill="FFFFFF"/>
        </w:rPr>
        <w:t>, 2002)</w:t>
      </w:r>
      <w:r w:rsidR="00810863" w:rsidRPr="0059687C">
        <w:rPr>
          <w:rFonts w:ascii="Arial" w:hAnsi="Arial" w:cs="Arial"/>
          <w:color w:val="000000" w:themeColor="text1"/>
          <w:sz w:val="16"/>
          <w:szCs w:val="16"/>
          <w:shd w:val="clear" w:color="auto" w:fill="FFFFFF"/>
        </w:rPr>
        <w:t xml:space="preserve"> 122; Svensson (2017) 492.</w:t>
      </w:r>
    </w:p>
  </w:footnote>
  <w:footnote w:id="38">
    <w:p w14:paraId="003D5047" w14:textId="5B093AF3" w:rsidR="00185CF8" w:rsidRPr="0059687C" w:rsidRDefault="00185CF8"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From indifference to disputed formulations of expected utility, consequentialist rules, revised normative principles etc.</w:t>
      </w:r>
      <w:r w:rsidRPr="0059687C">
        <w:rPr>
          <w:rFonts w:ascii="Arial" w:hAnsi="Arial" w:cs="Arial"/>
          <w:color w:val="000000" w:themeColor="text1"/>
          <w:w w:val="105"/>
          <w:kern w:val="0"/>
          <w:sz w:val="16"/>
          <w:szCs w:val="16"/>
        </w:rPr>
        <w:t xml:space="preserve"> Jackson,</w:t>
      </w:r>
      <w:r w:rsidRPr="0059687C">
        <w:rPr>
          <w:rFonts w:ascii="Arial" w:hAnsi="Arial" w:cs="Arial"/>
          <w:color w:val="000000" w:themeColor="text1"/>
          <w:spacing w:val="40"/>
          <w:w w:val="105"/>
          <w:kern w:val="0"/>
          <w:sz w:val="16"/>
          <w:szCs w:val="16"/>
        </w:rPr>
        <w:t xml:space="preserve"> </w:t>
      </w:r>
      <w:r w:rsidRPr="0059687C">
        <w:rPr>
          <w:rFonts w:ascii="Arial" w:hAnsi="Arial" w:cs="Arial"/>
          <w:color w:val="000000" w:themeColor="text1"/>
          <w:w w:val="105"/>
          <w:kern w:val="0"/>
          <w:sz w:val="16"/>
          <w:szCs w:val="16"/>
        </w:rPr>
        <w:t>F.</w:t>
      </w:r>
      <w:r w:rsidRPr="0059687C">
        <w:rPr>
          <w:rFonts w:ascii="Arial" w:hAnsi="Arial" w:cs="Arial"/>
          <w:color w:val="000000" w:themeColor="text1"/>
          <w:spacing w:val="40"/>
          <w:w w:val="105"/>
          <w:kern w:val="0"/>
          <w:sz w:val="16"/>
          <w:szCs w:val="16"/>
        </w:rPr>
        <w:t xml:space="preserve"> </w:t>
      </w:r>
      <w:r w:rsidRPr="0059687C">
        <w:rPr>
          <w:rFonts w:ascii="Arial" w:hAnsi="Arial" w:cs="Arial"/>
          <w:color w:val="000000" w:themeColor="text1"/>
          <w:w w:val="105"/>
          <w:kern w:val="0"/>
          <w:sz w:val="16"/>
          <w:szCs w:val="16"/>
        </w:rPr>
        <w:t>'Decision-theoretic Consequentialism</w:t>
      </w:r>
      <w:r w:rsidRPr="0059687C">
        <w:rPr>
          <w:rFonts w:ascii="Arial" w:hAnsi="Arial" w:cs="Arial"/>
          <w:color w:val="000000" w:themeColor="text1"/>
          <w:spacing w:val="40"/>
          <w:w w:val="105"/>
          <w:kern w:val="0"/>
          <w:sz w:val="16"/>
          <w:szCs w:val="16"/>
        </w:rPr>
        <w:t xml:space="preserve"> </w:t>
      </w:r>
      <w:r w:rsidRPr="0059687C">
        <w:rPr>
          <w:rFonts w:ascii="Arial" w:hAnsi="Arial" w:cs="Arial"/>
          <w:color w:val="000000" w:themeColor="text1"/>
          <w:w w:val="105"/>
          <w:kern w:val="0"/>
          <w:sz w:val="16"/>
          <w:szCs w:val="16"/>
        </w:rPr>
        <w:t>and</w:t>
      </w:r>
      <w:r w:rsidRPr="0059687C">
        <w:rPr>
          <w:rFonts w:ascii="Arial" w:hAnsi="Arial" w:cs="Arial"/>
          <w:color w:val="000000" w:themeColor="text1"/>
          <w:spacing w:val="40"/>
          <w:w w:val="105"/>
          <w:kern w:val="0"/>
          <w:sz w:val="16"/>
          <w:szCs w:val="16"/>
        </w:rPr>
        <w:t xml:space="preserve"> </w:t>
      </w:r>
      <w:r w:rsidRPr="0059687C">
        <w:rPr>
          <w:rFonts w:ascii="Arial" w:hAnsi="Arial" w:cs="Arial"/>
          <w:color w:val="000000" w:themeColor="text1"/>
          <w:w w:val="105"/>
          <w:kern w:val="0"/>
          <w:sz w:val="16"/>
          <w:szCs w:val="16"/>
        </w:rPr>
        <w:t>the</w:t>
      </w:r>
      <w:r w:rsidRPr="0059687C">
        <w:rPr>
          <w:rFonts w:ascii="Arial" w:hAnsi="Arial" w:cs="Arial"/>
          <w:color w:val="000000" w:themeColor="text1"/>
          <w:spacing w:val="40"/>
          <w:w w:val="105"/>
          <w:kern w:val="0"/>
          <w:sz w:val="16"/>
          <w:szCs w:val="16"/>
        </w:rPr>
        <w:t xml:space="preserve"> </w:t>
      </w:r>
      <w:r w:rsidRPr="0059687C">
        <w:rPr>
          <w:rFonts w:ascii="Arial" w:hAnsi="Arial" w:cs="Arial"/>
          <w:color w:val="000000" w:themeColor="text1"/>
          <w:w w:val="105"/>
          <w:kern w:val="0"/>
          <w:sz w:val="16"/>
          <w:szCs w:val="16"/>
        </w:rPr>
        <w:t>Nearest</w:t>
      </w:r>
      <w:r w:rsidRPr="0059687C">
        <w:rPr>
          <w:rFonts w:ascii="Arial" w:hAnsi="Arial" w:cs="Arial"/>
          <w:color w:val="000000" w:themeColor="text1"/>
          <w:sz w:val="16"/>
          <w:szCs w:val="16"/>
        </w:rPr>
        <w:t xml:space="preserve"> </w:t>
      </w:r>
      <w:r w:rsidRPr="0059687C">
        <w:rPr>
          <w:rFonts w:ascii="Arial" w:hAnsi="Arial" w:cs="Arial"/>
          <w:color w:val="000000" w:themeColor="text1"/>
          <w:w w:val="105"/>
          <w:kern w:val="0"/>
          <w:sz w:val="16"/>
          <w:szCs w:val="16"/>
        </w:rPr>
        <w:t xml:space="preserve">and Dearest Objection', </w:t>
      </w:r>
      <w:r w:rsidRPr="0059687C">
        <w:rPr>
          <w:rFonts w:ascii="Arial" w:hAnsi="Arial" w:cs="Arial"/>
          <w:i/>
          <w:iCs/>
          <w:color w:val="000000" w:themeColor="text1"/>
          <w:w w:val="105"/>
          <w:kern w:val="0"/>
          <w:sz w:val="16"/>
          <w:szCs w:val="16"/>
        </w:rPr>
        <w:t xml:space="preserve">Ethics </w:t>
      </w:r>
      <w:r w:rsidR="002C2582" w:rsidRPr="0059687C">
        <w:rPr>
          <w:rFonts w:ascii="Arial" w:hAnsi="Arial" w:cs="Arial"/>
          <w:color w:val="000000" w:themeColor="text1"/>
          <w:w w:val="105"/>
          <w:kern w:val="0"/>
          <w:sz w:val="16"/>
          <w:szCs w:val="16"/>
        </w:rPr>
        <w:t xml:space="preserve">(1991) </w:t>
      </w:r>
      <w:r w:rsidRPr="0059687C">
        <w:rPr>
          <w:rFonts w:ascii="Arial" w:hAnsi="Arial" w:cs="Arial"/>
          <w:color w:val="000000" w:themeColor="text1"/>
          <w:w w:val="105"/>
          <w:kern w:val="0"/>
          <w:sz w:val="16"/>
          <w:szCs w:val="16"/>
        </w:rPr>
        <w:t xml:space="preserve">101, 461–482; </w:t>
      </w:r>
      <w:r w:rsidR="00BC49B5" w:rsidRPr="0059687C">
        <w:rPr>
          <w:rFonts w:ascii="Arial" w:hAnsi="Arial" w:cs="Arial"/>
          <w:color w:val="000000" w:themeColor="text1"/>
          <w:w w:val="105"/>
          <w:kern w:val="0"/>
          <w:sz w:val="16"/>
          <w:szCs w:val="16"/>
        </w:rPr>
        <w:t xml:space="preserve">R. </w:t>
      </w:r>
      <w:r w:rsidRPr="0059687C">
        <w:rPr>
          <w:rFonts w:ascii="Arial" w:hAnsi="Arial" w:cs="Arial"/>
          <w:color w:val="000000" w:themeColor="text1"/>
          <w:sz w:val="16"/>
          <w:szCs w:val="16"/>
        </w:rPr>
        <w:t>Brandt,</w:t>
      </w:r>
      <w:r w:rsidRPr="0059687C">
        <w:rPr>
          <w:rFonts w:ascii="Arial" w:hAnsi="Arial" w:cs="Arial"/>
          <w:color w:val="000000" w:themeColor="text1"/>
          <w:spacing w:val="40"/>
          <w:sz w:val="16"/>
          <w:szCs w:val="16"/>
        </w:rPr>
        <w:t xml:space="preserve"> </w:t>
      </w:r>
      <w:r w:rsidRPr="0059687C">
        <w:rPr>
          <w:rFonts w:ascii="Arial" w:hAnsi="Arial" w:cs="Arial"/>
          <w:i/>
          <w:iCs/>
          <w:color w:val="000000" w:themeColor="text1"/>
          <w:sz w:val="16"/>
          <w:szCs w:val="16"/>
        </w:rPr>
        <w:t>Ethical</w:t>
      </w:r>
      <w:r w:rsidRPr="0059687C">
        <w:rPr>
          <w:rFonts w:ascii="Arial" w:hAnsi="Arial" w:cs="Arial"/>
          <w:i/>
          <w:iCs/>
          <w:color w:val="000000" w:themeColor="text1"/>
          <w:spacing w:val="39"/>
          <w:sz w:val="16"/>
          <w:szCs w:val="16"/>
        </w:rPr>
        <w:t xml:space="preserve"> </w:t>
      </w:r>
      <w:r w:rsidRPr="0059687C">
        <w:rPr>
          <w:rFonts w:ascii="Arial" w:hAnsi="Arial" w:cs="Arial"/>
          <w:i/>
          <w:iCs/>
          <w:color w:val="000000" w:themeColor="text1"/>
          <w:sz w:val="16"/>
          <w:szCs w:val="16"/>
        </w:rPr>
        <w:t>Theory:</w:t>
      </w:r>
      <w:r w:rsidRPr="0059687C">
        <w:rPr>
          <w:rFonts w:ascii="Arial" w:hAnsi="Arial" w:cs="Arial"/>
          <w:i/>
          <w:iCs/>
          <w:color w:val="000000" w:themeColor="text1"/>
          <w:spacing w:val="40"/>
          <w:sz w:val="16"/>
          <w:szCs w:val="16"/>
        </w:rPr>
        <w:t xml:space="preserve"> </w:t>
      </w:r>
      <w:r w:rsidRPr="0059687C">
        <w:rPr>
          <w:rFonts w:ascii="Arial" w:hAnsi="Arial" w:cs="Arial"/>
          <w:i/>
          <w:iCs/>
          <w:color w:val="000000" w:themeColor="text1"/>
          <w:sz w:val="16"/>
          <w:szCs w:val="16"/>
        </w:rPr>
        <w:t>The</w:t>
      </w:r>
      <w:r w:rsidRPr="0059687C">
        <w:rPr>
          <w:rFonts w:ascii="Arial" w:hAnsi="Arial" w:cs="Arial"/>
          <w:i/>
          <w:iCs/>
          <w:color w:val="000000" w:themeColor="text1"/>
          <w:spacing w:val="40"/>
          <w:sz w:val="16"/>
          <w:szCs w:val="16"/>
        </w:rPr>
        <w:t xml:space="preserve"> </w:t>
      </w:r>
      <w:r w:rsidRPr="0059687C">
        <w:rPr>
          <w:rFonts w:ascii="Arial" w:hAnsi="Arial" w:cs="Arial"/>
          <w:i/>
          <w:iCs/>
          <w:color w:val="000000" w:themeColor="text1"/>
          <w:sz w:val="16"/>
          <w:szCs w:val="16"/>
        </w:rPr>
        <w:t>Problems</w:t>
      </w:r>
      <w:r w:rsidRPr="0059687C">
        <w:rPr>
          <w:rFonts w:ascii="Arial" w:hAnsi="Arial" w:cs="Arial"/>
          <w:i/>
          <w:iCs/>
          <w:color w:val="000000" w:themeColor="text1"/>
          <w:spacing w:val="40"/>
          <w:sz w:val="16"/>
          <w:szCs w:val="16"/>
        </w:rPr>
        <w:t xml:space="preserve"> </w:t>
      </w:r>
      <w:r w:rsidRPr="0059687C">
        <w:rPr>
          <w:rFonts w:ascii="Arial" w:hAnsi="Arial" w:cs="Arial"/>
          <w:i/>
          <w:iCs/>
          <w:color w:val="000000" w:themeColor="text1"/>
          <w:sz w:val="16"/>
          <w:szCs w:val="16"/>
        </w:rPr>
        <w:t>of</w:t>
      </w:r>
      <w:r w:rsidRPr="0059687C">
        <w:rPr>
          <w:rFonts w:ascii="Arial" w:hAnsi="Arial" w:cs="Arial"/>
          <w:i/>
          <w:iCs/>
          <w:color w:val="000000" w:themeColor="text1"/>
          <w:spacing w:val="40"/>
          <w:sz w:val="16"/>
          <w:szCs w:val="16"/>
        </w:rPr>
        <w:t xml:space="preserve"> </w:t>
      </w:r>
      <w:r w:rsidRPr="0059687C">
        <w:rPr>
          <w:rFonts w:ascii="Arial" w:hAnsi="Arial" w:cs="Arial"/>
          <w:i/>
          <w:iCs/>
          <w:color w:val="000000" w:themeColor="text1"/>
          <w:sz w:val="16"/>
          <w:szCs w:val="16"/>
        </w:rPr>
        <w:t>Normative</w:t>
      </w:r>
      <w:r w:rsidRPr="0059687C">
        <w:rPr>
          <w:rFonts w:ascii="Arial" w:hAnsi="Arial" w:cs="Arial"/>
          <w:i/>
          <w:iCs/>
          <w:color w:val="000000" w:themeColor="text1"/>
          <w:spacing w:val="40"/>
          <w:sz w:val="16"/>
          <w:szCs w:val="16"/>
        </w:rPr>
        <w:t xml:space="preserve"> </w:t>
      </w:r>
      <w:r w:rsidRPr="0059687C">
        <w:rPr>
          <w:rFonts w:ascii="Arial" w:hAnsi="Arial" w:cs="Arial"/>
          <w:i/>
          <w:iCs/>
          <w:color w:val="000000" w:themeColor="text1"/>
          <w:sz w:val="16"/>
          <w:szCs w:val="16"/>
        </w:rPr>
        <w:t>and</w:t>
      </w:r>
      <w:r w:rsidRPr="0059687C">
        <w:rPr>
          <w:rFonts w:ascii="Arial" w:hAnsi="Arial" w:cs="Arial"/>
          <w:i/>
          <w:iCs/>
          <w:color w:val="000000" w:themeColor="text1"/>
          <w:spacing w:val="40"/>
          <w:sz w:val="16"/>
          <w:szCs w:val="16"/>
        </w:rPr>
        <w:t xml:space="preserve"> </w:t>
      </w:r>
      <w:r w:rsidRPr="0059687C">
        <w:rPr>
          <w:rFonts w:ascii="Arial" w:hAnsi="Arial" w:cs="Arial"/>
          <w:i/>
          <w:iCs/>
          <w:color w:val="000000" w:themeColor="text1"/>
          <w:sz w:val="16"/>
          <w:szCs w:val="16"/>
        </w:rPr>
        <w:t>Critical Ethics</w:t>
      </w:r>
      <w:r w:rsidR="002C2582" w:rsidRPr="0059687C">
        <w:rPr>
          <w:rFonts w:ascii="Arial" w:hAnsi="Arial" w:cs="Arial"/>
          <w:color w:val="000000" w:themeColor="text1"/>
          <w:sz w:val="16"/>
          <w:szCs w:val="16"/>
        </w:rPr>
        <w:t xml:space="preserve"> (</w:t>
      </w:r>
      <w:r w:rsidRPr="0059687C">
        <w:rPr>
          <w:rFonts w:ascii="Arial" w:hAnsi="Arial" w:cs="Arial"/>
          <w:color w:val="000000" w:themeColor="text1"/>
          <w:sz w:val="16"/>
          <w:szCs w:val="16"/>
        </w:rPr>
        <w:t>Englewood Cli</w:t>
      </w:r>
      <w:r w:rsidRPr="0059687C">
        <w:rPr>
          <w:rFonts w:ascii="Cambria Math" w:hAnsi="Cambria Math" w:cs="Cambria Math"/>
          <w:color w:val="000000" w:themeColor="text1"/>
          <w:sz w:val="16"/>
          <w:szCs w:val="16"/>
        </w:rPr>
        <w:t>ﬀ</w:t>
      </w:r>
      <w:r w:rsidRPr="0059687C">
        <w:rPr>
          <w:rFonts w:ascii="Arial" w:hAnsi="Arial" w:cs="Arial"/>
          <w:color w:val="000000" w:themeColor="text1"/>
          <w:sz w:val="16"/>
          <w:szCs w:val="16"/>
        </w:rPr>
        <w:t>s: Prentice-Hall;</w:t>
      </w:r>
      <w:r w:rsidR="002C2582" w:rsidRPr="0059687C">
        <w:rPr>
          <w:rFonts w:ascii="Arial" w:hAnsi="Arial" w:cs="Arial"/>
          <w:color w:val="000000" w:themeColor="text1"/>
          <w:sz w:val="16"/>
          <w:szCs w:val="16"/>
        </w:rPr>
        <w:t>, 1959)</w:t>
      </w:r>
      <w:r w:rsidR="00BC49B5" w:rsidRPr="0059687C">
        <w:rPr>
          <w:rFonts w:ascii="Arial" w:hAnsi="Arial" w:cs="Arial"/>
          <w:color w:val="000000" w:themeColor="text1"/>
          <w:sz w:val="16"/>
          <w:szCs w:val="16"/>
        </w:rPr>
        <w:t xml:space="preserve"> J.J.C.</w:t>
      </w:r>
      <w:r w:rsidRPr="0059687C">
        <w:rPr>
          <w:rFonts w:ascii="Arial" w:hAnsi="Arial" w:cs="Arial"/>
          <w:color w:val="000000" w:themeColor="text1"/>
          <w:sz w:val="16"/>
          <w:szCs w:val="16"/>
        </w:rPr>
        <w:t xml:space="preserve"> </w:t>
      </w:r>
      <w:r w:rsidRPr="0059687C">
        <w:rPr>
          <w:rFonts w:ascii="Arial" w:hAnsi="Arial" w:cs="Arial"/>
          <w:color w:val="000000" w:themeColor="text1"/>
          <w:w w:val="105"/>
          <w:sz w:val="16"/>
          <w:szCs w:val="16"/>
        </w:rPr>
        <w:t>Smart ‘An Outline of a System of Utilitarian Ethics’, in J.J.C</w:t>
      </w:r>
      <w:r w:rsidR="002C2582" w:rsidRPr="0059687C">
        <w:rPr>
          <w:rFonts w:ascii="Arial" w:hAnsi="Arial" w:cs="Arial"/>
          <w:color w:val="000000" w:themeColor="text1"/>
          <w:w w:val="105"/>
          <w:sz w:val="16"/>
          <w:szCs w:val="16"/>
        </w:rPr>
        <w:t xml:space="preserve">. </w:t>
      </w:r>
      <w:r w:rsidRPr="0059687C">
        <w:rPr>
          <w:rFonts w:ascii="Arial" w:hAnsi="Arial" w:cs="Arial"/>
          <w:color w:val="000000" w:themeColor="text1"/>
          <w:w w:val="105"/>
          <w:sz w:val="16"/>
          <w:szCs w:val="16"/>
        </w:rPr>
        <w:t xml:space="preserve">Smart and B. Williams (eds.), </w:t>
      </w:r>
      <w:r w:rsidRPr="0059687C">
        <w:rPr>
          <w:rFonts w:ascii="Arial" w:hAnsi="Arial" w:cs="Arial"/>
          <w:i/>
          <w:iCs/>
          <w:color w:val="000000" w:themeColor="text1"/>
          <w:w w:val="105"/>
          <w:sz w:val="16"/>
          <w:szCs w:val="16"/>
        </w:rPr>
        <w:t xml:space="preserve">Utilitarianism: For and </w:t>
      </w:r>
      <w:r w:rsidR="002C2582" w:rsidRPr="0059687C">
        <w:rPr>
          <w:rFonts w:ascii="Arial" w:hAnsi="Arial" w:cs="Arial"/>
          <w:i/>
          <w:iCs/>
          <w:color w:val="000000" w:themeColor="text1"/>
          <w:w w:val="105"/>
          <w:sz w:val="16"/>
          <w:szCs w:val="16"/>
        </w:rPr>
        <w:t>Against</w:t>
      </w:r>
      <w:r w:rsidR="002C2582" w:rsidRPr="0059687C">
        <w:rPr>
          <w:rFonts w:ascii="Arial" w:hAnsi="Arial" w:cs="Arial"/>
          <w:color w:val="000000" w:themeColor="text1"/>
          <w:w w:val="105"/>
          <w:sz w:val="16"/>
          <w:szCs w:val="16"/>
        </w:rPr>
        <w:t xml:space="preserve"> (</w:t>
      </w:r>
      <w:r w:rsidRPr="0059687C">
        <w:rPr>
          <w:rFonts w:ascii="Arial" w:hAnsi="Arial" w:cs="Arial"/>
          <w:color w:val="000000" w:themeColor="text1"/>
          <w:w w:val="105"/>
          <w:sz w:val="16"/>
          <w:szCs w:val="16"/>
        </w:rPr>
        <w:t>Cambridge: Cambridge University Press</w:t>
      </w:r>
      <w:r w:rsidR="002C2582" w:rsidRPr="0059687C">
        <w:rPr>
          <w:rFonts w:ascii="Arial" w:hAnsi="Arial" w:cs="Arial"/>
          <w:color w:val="000000" w:themeColor="text1"/>
          <w:w w:val="105"/>
          <w:sz w:val="16"/>
          <w:szCs w:val="16"/>
        </w:rPr>
        <w:t>, 1973</w:t>
      </w:r>
      <w:r w:rsidRPr="0059687C">
        <w:rPr>
          <w:rFonts w:ascii="Arial" w:hAnsi="Arial" w:cs="Arial"/>
          <w:color w:val="000000" w:themeColor="text1"/>
          <w:w w:val="105"/>
          <w:sz w:val="16"/>
          <w:szCs w:val="16"/>
        </w:rPr>
        <w:t>).</w:t>
      </w:r>
    </w:p>
  </w:footnote>
  <w:footnote w:id="39">
    <w:p w14:paraId="2D310E9F" w14:textId="77777777" w:rsidR="00B30C61" w:rsidRPr="0059687C" w:rsidRDefault="00B30C61" w:rsidP="0059687C">
      <w:pPr>
        <w:pStyle w:val="FootnoteText"/>
        <w:jc w:val="both"/>
        <w:rPr>
          <w:rFonts w:ascii="Arial" w:hAnsi="Arial" w:cs="Arial"/>
          <w:color w:val="000000" w:themeColor="text1"/>
          <w:sz w:val="16"/>
          <w:szCs w:val="16"/>
        </w:rPr>
      </w:pPr>
    </w:p>
    <w:p w14:paraId="4E0AA8C7" w14:textId="474163E9" w:rsidR="00B30C61" w:rsidRPr="0059687C" w:rsidRDefault="00B30C61" w:rsidP="0059687C">
      <w:pPr>
        <w:autoSpaceDE w:val="0"/>
        <w:autoSpaceDN w:val="0"/>
        <w:adjustRightInd w:val="0"/>
        <w:jc w:val="both"/>
        <w:rPr>
          <w:rFonts w:ascii="Arial" w:eastAsiaTheme="minorHAnsi" w:hAnsi="Arial" w:cs="Arial"/>
          <w:i/>
          <w:iCs/>
          <w:color w:val="000000" w:themeColor="text1"/>
          <w:sz w:val="16"/>
          <w:szCs w:val="16"/>
          <w:lang w:eastAsia="en-US"/>
          <w14:ligatures w14:val="standardContextual"/>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Pr="0059687C">
        <w:rPr>
          <w:rFonts w:ascii="Arial" w:hAnsi="Arial" w:cs="Arial"/>
          <w:color w:val="000000" w:themeColor="text1"/>
          <w:sz w:val="16"/>
          <w:szCs w:val="16"/>
        </w:rPr>
        <w:t xml:space="preserve">H. </w:t>
      </w:r>
      <w:r w:rsidRPr="0059687C">
        <w:rPr>
          <w:rFonts w:ascii="Arial" w:hAnsi="Arial" w:cs="Arial"/>
          <w:color w:val="000000" w:themeColor="text1"/>
          <w:sz w:val="16"/>
          <w:szCs w:val="16"/>
        </w:rPr>
        <w:t xml:space="preserve">Smith (1988) </w:t>
      </w:r>
      <w:r w:rsidRPr="0059687C">
        <w:rPr>
          <w:rFonts w:ascii="Arial" w:hAnsi="Arial" w:cs="Arial"/>
          <w:color w:val="000000" w:themeColor="text1"/>
          <w:sz w:val="16"/>
          <w:szCs w:val="16"/>
        </w:rPr>
        <w:t>‘</w:t>
      </w:r>
      <w:r w:rsidRPr="0059687C">
        <w:rPr>
          <w:rFonts w:ascii="Arial" w:hAnsi="Arial" w:cs="Arial"/>
          <w:color w:val="000000" w:themeColor="text1"/>
          <w:sz w:val="16"/>
          <w:szCs w:val="16"/>
        </w:rPr>
        <w:t>Making moral decision</w:t>
      </w:r>
      <w:r w:rsidRPr="0059687C">
        <w:rPr>
          <w:rFonts w:ascii="Arial" w:hAnsi="Arial" w:cs="Arial"/>
          <w:color w:val="000000" w:themeColor="text1"/>
          <w:sz w:val="16"/>
          <w:szCs w:val="16"/>
        </w:rPr>
        <w:t>s’</w:t>
      </w:r>
      <w:r w:rsidRPr="0059687C">
        <w:rPr>
          <w:rFonts w:ascii="Arial" w:hAnsi="Arial" w:cs="Arial"/>
          <w:color w:val="000000" w:themeColor="text1"/>
          <w:sz w:val="16"/>
          <w:szCs w:val="16"/>
        </w:rPr>
        <w:t xml:space="preserve"> </w:t>
      </w:r>
      <w:r w:rsidRPr="0059687C">
        <w:rPr>
          <w:rFonts w:ascii="Arial" w:hAnsi="Arial" w:cs="Arial"/>
          <w:i/>
          <w:iCs/>
          <w:color w:val="000000" w:themeColor="text1"/>
          <w:sz w:val="16"/>
          <w:szCs w:val="16"/>
        </w:rPr>
        <w:t>Nous</w:t>
      </w:r>
      <w:r w:rsidRPr="0059687C">
        <w:rPr>
          <w:rFonts w:ascii="Arial" w:hAnsi="Arial" w:cs="Arial"/>
          <w:color w:val="000000" w:themeColor="text1"/>
          <w:sz w:val="16"/>
          <w:szCs w:val="16"/>
        </w:rPr>
        <w:t xml:space="preserve"> (1988)</w:t>
      </w:r>
      <w:r w:rsidRPr="0059687C">
        <w:rPr>
          <w:rFonts w:ascii="Arial" w:hAnsi="Arial" w:cs="Arial"/>
          <w:color w:val="000000" w:themeColor="text1"/>
          <w:sz w:val="16"/>
          <w:szCs w:val="16"/>
        </w:rPr>
        <w:t xml:space="preserve"> 22 89 -108 </w:t>
      </w:r>
      <w:r w:rsidRPr="0059687C">
        <w:rPr>
          <w:rFonts w:ascii="Arial" w:hAnsi="Arial" w:cs="Arial"/>
          <w:i/>
          <w:iCs/>
          <w:color w:val="000000" w:themeColor="text1"/>
          <w:sz w:val="16"/>
          <w:szCs w:val="16"/>
        </w:rPr>
        <w:t>(“</w:t>
      </w:r>
      <w:r w:rsidRPr="0059687C">
        <w:rPr>
          <w:rFonts w:ascii="Arial" w:hAnsi="Arial" w:cs="Arial"/>
          <w:color w:val="000000" w:themeColor="text1"/>
          <w:sz w:val="16"/>
          <w:szCs w:val="16"/>
        </w:rPr>
        <w:t>A standard by reference to which a person can guide his or her own behaviour: a standard to help the person choose which acts to perform and which not</w:t>
      </w:r>
      <w:r w:rsidR="00BC49B5" w:rsidRPr="0059687C">
        <w:rPr>
          <w:rFonts w:ascii="Arial" w:hAnsi="Arial" w:cs="Arial"/>
          <w:color w:val="000000" w:themeColor="text1"/>
          <w:sz w:val="16"/>
          <w:szCs w:val="16"/>
        </w:rPr>
        <w:t>”</w:t>
      </w:r>
      <w:r w:rsidRPr="0059687C">
        <w:rPr>
          <w:rFonts w:ascii="Arial" w:hAnsi="Arial" w:cs="Arial"/>
          <w:i/>
          <w:iCs/>
          <w:color w:val="000000" w:themeColor="text1"/>
          <w:sz w:val="16"/>
          <w:szCs w:val="16"/>
        </w:rPr>
        <w:t xml:space="preserve"> (89  - 90)</w:t>
      </w:r>
      <w:r w:rsidR="00BC49B5" w:rsidRPr="0059687C">
        <w:rPr>
          <w:rFonts w:ascii="Arial" w:hAnsi="Arial" w:cs="Arial"/>
          <w:i/>
          <w:iCs/>
          <w:color w:val="000000" w:themeColor="text1"/>
          <w:sz w:val="16"/>
          <w:szCs w:val="16"/>
        </w:rPr>
        <w:t xml:space="preserve">, </w:t>
      </w:r>
      <w:r w:rsidRPr="0059687C">
        <w:rPr>
          <w:rFonts w:ascii="Arial" w:hAnsi="Arial" w:cs="Arial"/>
          <w:color w:val="000000" w:themeColor="text1"/>
          <w:sz w:val="16"/>
          <w:szCs w:val="16"/>
        </w:rPr>
        <w:t xml:space="preserve"> </w:t>
      </w:r>
      <w:r w:rsidR="00BC49B5" w:rsidRPr="0059687C">
        <w:rPr>
          <w:rFonts w:ascii="Arial" w:hAnsi="Arial" w:cs="Arial"/>
          <w:color w:val="000000" w:themeColor="text1"/>
          <w:sz w:val="16"/>
          <w:szCs w:val="16"/>
        </w:rPr>
        <w:t xml:space="preserve">R. </w:t>
      </w:r>
      <w:r w:rsidRPr="0059687C">
        <w:rPr>
          <w:rFonts w:ascii="Arial" w:hAnsi="Arial" w:cs="Arial"/>
          <w:color w:val="000000" w:themeColor="text1"/>
          <w:sz w:val="16"/>
          <w:szCs w:val="16"/>
        </w:rPr>
        <w:t xml:space="preserve">Bales </w:t>
      </w:r>
      <w:r w:rsidRPr="0059687C">
        <w:rPr>
          <w:rFonts w:ascii="Arial" w:hAnsi="Arial" w:cs="Arial"/>
          <w:color w:val="000000" w:themeColor="text1"/>
          <w:sz w:val="16"/>
          <w:szCs w:val="16"/>
        </w:rPr>
        <w:t>‘</w:t>
      </w:r>
      <w:r w:rsidRPr="0059687C">
        <w:rPr>
          <w:rFonts w:ascii="Arial" w:hAnsi="Arial" w:cs="Arial"/>
          <w:color w:val="000000" w:themeColor="text1"/>
          <w:sz w:val="16"/>
          <w:szCs w:val="16"/>
        </w:rPr>
        <w:t>Act-utilitarianism: Account of right-making characteristics or decision-making procedure?</w:t>
      </w:r>
      <w:r w:rsidRPr="0059687C">
        <w:rPr>
          <w:rFonts w:ascii="Arial" w:hAnsi="Arial" w:cs="Arial"/>
          <w:color w:val="000000" w:themeColor="text1"/>
          <w:sz w:val="16"/>
          <w:szCs w:val="16"/>
        </w:rPr>
        <w:t>’</w:t>
      </w:r>
      <w:r w:rsidRPr="0059687C">
        <w:rPr>
          <w:rFonts w:ascii="Arial" w:hAnsi="Arial" w:cs="Arial"/>
          <w:color w:val="000000" w:themeColor="text1"/>
          <w:sz w:val="16"/>
          <w:szCs w:val="16"/>
        </w:rPr>
        <w:t xml:space="preserve"> </w:t>
      </w:r>
      <w:r w:rsidRPr="0059687C">
        <w:rPr>
          <w:rFonts w:ascii="Arial" w:hAnsi="Arial" w:cs="Arial"/>
          <w:i/>
          <w:iCs/>
          <w:color w:val="000000" w:themeColor="text1"/>
          <w:sz w:val="16"/>
          <w:szCs w:val="16"/>
        </w:rPr>
        <w:t>American Philosophical Quarterly</w:t>
      </w:r>
      <w:r w:rsidRPr="0059687C">
        <w:rPr>
          <w:rFonts w:ascii="Arial" w:hAnsi="Arial" w:cs="Arial"/>
          <w:color w:val="000000" w:themeColor="text1"/>
          <w:sz w:val="16"/>
          <w:szCs w:val="16"/>
        </w:rPr>
        <w:t xml:space="preserve"> </w:t>
      </w:r>
      <w:r w:rsidRPr="0059687C">
        <w:rPr>
          <w:rFonts w:ascii="Arial" w:hAnsi="Arial" w:cs="Arial"/>
          <w:color w:val="000000" w:themeColor="text1"/>
          <w:sz w:val="16"/>
          <w:szCs w:val="16"/>
        </w:rPr>
        <w:t xml:space="preserve">(1971) </w:t>
      </w:r>
      <w:r w:rsidRPr="0059687C">
        <w:rPr>
          <w:rFonts w:ascii="Arial" w:hAnsi="Arial" w:cs="Arial"/>
          <w:color w:val="000000" w:themeColor="text1"/>
          <w:sz w:val="16"/>
          <w:szCs w:val="16"/>
        </w:rPr>
        <w:t xml:space="preserve">8 </w:t>
      </w:r>
      <w:r w:rsidR="00810863" w:rsidRPr="0059687C">
        <w:rPr>
          <w:rFonts w:ascii="Arial" w:hAnsi="Arial" w:cs="Arial"/>
          <w:color w:val="000000" w:themeColor="text1"/>
          <w:sz w:val="16"/>
          <w:szCs w:val="16"/>
        </w:rPr>
        <w:t>261</w:t>
      </w:r>
      <w:r w:rsidRPr="0059687C">
        <w:rPr>
          <w:rFonts w:ascii="Arial" w:hAnsi="Arial" w:cs="Arial"/>
          <w:color w:val="000000" w:themeColor="text1"/>
          <w:sz w:val="16"/>
          <w:szCs w:val="16"/>
        </w:rPr>
        <w:t xml:space="preserve"> </w:t>
      </w:r>
      <w:r w:rsidRPr="0059687C">
        <w:rPr>
          <w:rFonts w:ascii="Arial" w:hAnsi="Arial" w:cs="Arial"/>
          <w:color w:val="000000" w:themeColor="text1"/>
          <w:sz w:val="16"/>
          <w:szCs w:val="16"/>
        </w:rPr>
        <w:t>(“</w:t>
      </w:r>
      <w:r w:rsidRPr="0059687C">
        <w:rPr>
          <w:rFonts w:ascii="Arial" w:hAnsi="Arial" w:cs="Arial"/>
          <w:color w:val="000000" w:themeColor="text1"/>
          <w:sz w:val="16"/>
          <w:szCs w:val="16"/>
        </w:rPr>
        <w:t>A procedure which would help us single out, in the particular case and under an immediately helpful description, which alternative would in fact [be morally right] (261)</w:t>
      </w:r>
      <w:r w:rsidRPr="0059687C">
        <w:rPr>
          <w:rFonts w:ascii="Arial" w:hAnsi="Arial" w:cs="Arial"/>
          <w:color w:val="000000" w:themeColor="text1"/>
          <w:sz w:val="16"/>
          <w:szCs w:val="16"/>
        </w:rPr>
        <w:t>”)</w:t>
      </w:r>
      <w:r w:rsidR="00810863" w:rsidRPr="0059687C">
        <w:rPr>
          <w:rFonts w:ascii="Arial" w:hAnsi="Arial" w:cs="Arial"/>
          <w:color w:val="000000" w:themeColor="text1"/>
          <w:sz w:val="16"/>
          <w:szCs w:val="16"/>
        </w:rPr>
        <w:t xml:space="preserve">; S. </w:t>
      </w:r>
      <w:r w:rsidR="00810863" w:rsidRPr="0059687C">
        <w:rPr>
          <w:rFonts w:ascii="Arial" w:hAnsi="Arial" w:cs="Arial"/>
          <w:color w:val="000000" w:themeColor="text1"/>
          <w:sz w:val="16"/>
          <w:szCs w:val="16"/>
        </w:rPr>
        <w:t>McKeever and M</w:t>
      </w:r>
      <w:r w:rsidR="00810863" w:rsidRPr="0059687C">
        <w:rPr>
          <w:rFonts w:ascii="Arial" w:hAnsi="Arial" w:cs="Arial"/>
          <w:color w:val="000000" w:themeColor="text1"/>
          <w:sz w:val="16"/>
          <w:szCs w:val="16"/>
        </w:rPr>
        <w:t xml:space="preserve">. </w:t>
      </w:r>
      <w:r w:rsidR="00810863" w:rsidRPr="0059687C">
        <w:rPr>
          <w:rFonts w:ascii="Arial" w:hAnsi="Arial" w:cs="Arial"/>
          <w:color w:val="000000" w:themeColor="text1"/>
          <w:sz w:val="16"/>
          <w:szCs w:val="16"/>
        </w:rPr>
        <w:t xml:space="preserve">Ridge, ‘The Many Moral Particularisms’ </w:t>
      </w:r>
      <w:r w:rsidR="00810863" w:rsidRPr="0059687C">
        <w:rPr>
          <w:rFonts w:ascii="Arial" w:hAnsi="Arial" w:cs="Arial"/>
          <w:i/>
          <w:iCs/>
          <w:color w:val="000000" w:themeColor="text1"/>
          <w:sz w:val="16"/>
          <w:szCs w:val="16"/>
        </w:rPr>
        <w:t>Canadian Journal of Philosophy</w:t>
      </w:r>
      <w:r w:rsidR="00810863" w:rsidRPr="0059687C">
        <w:rPr>
          <w:rFonts w:ascii="Arial" w:hAnsi="Arial" w:cs="Arial"/>
          <w:color w:val="000000" w:themeColor="text1"/>
          <w:sz w:val="16"/>
          <w:szCs w:val="16"/>
        </w:rPr>
        <w:t xml:space="preserve"> (2005) </w:t>
      </w:r>
      <w:r w:rsidR="00810863" w:rsidRPr="0059687C">
        <w:rPr>
          <w:rFonts w:ascii="Arial" w:hAnsi="Arial" w:cs="Arial"/>
          <w:color w:val="000000" w:themeColor="text1"/>
          <w:sz w:val="16"/>
          <w:szCs w:val="16"/>
        </w:rPr>
        <w:t xml:space="preserve">35 </w:t>
      </w:r>
      <w:r w:rsidR="00810863" w:rsidRPr="0059687C">
        <w:rPr>
          <w:rFonts w:ascii="Arial" w:hAnsi="Arial" w:cs="Arial"/>
          <w:color w:val="000000" w:themeColor="text1"/>
          <w:sz w:val="16"/>
          <w:szCs w:val="16"/>
        </w:rPr>
        <w:t>86.  ‘A reliable strategy for doing the right thing for the right reasons’</w:t>
      </w:r>
      <w:r w:rsidR="00810863" w:rsidRPr="0059687C">
        <w:rPr>
          <w:rFonts w:ascii="Arial" w:hAnsi="Arial" w:cs="Arial"/>
          <w:color w:val="000000" w:themeColor="text1"/>
          <w:sz w:val="16"/>
          <w:szCs w:val="16"/>
        </w:rPr>
        <w:t xml:space="preserve"> 86); R. Hursthouse </w:t>
      </w:r>
      <w:r w:rsidR="00810863" w:rsidRPr="0059687C">
        <w:rPr>
          <w:rFonts w:ascii="Arial" w:hAnsi="Arial" w:cs="Arial"/>
          <w:i/>
          <w:iCs/>
          <w:color w:val="000000" w:themeColor="text1"/>
          <w:sz w:val="16"/>
          <w:szCs w:val="16"/>
        </w:rPr>
        <w:t xml:space="preserve">Virtue and Action </w:t>
      </w:r>
      <w:r w:rsidR="00810863" w:rsidRPr="0059687C">
        <w:rPr>
          <w:rFonts w:ascii="Arial" w:hAnsi="Arial" w:cs="Arial"/>
          <w:color w:val="000000" w:themeColor="text1"/>
          <w:sz w:val="16"/>
          <w:szCs w:val="16"/>
        </w:rPr>
        <w:t>(Oxford: OUP, 2023)   (</w:t>
      </w:r>
      <w:r w:rsidR="00BC49B5" w:rsidRPr="0059687C">
        <w:rPr>
          <w:rFonts w:ascii="Arial" w:hAnsi="Arial" w:cs="Arial"/>
          <w:color w:val="000000" w:themeColor="text1"/>
          <w:sz w:val="16"/>
          <w:szCs w:val="16"/>
        </w:rPr>
        <w:t>“</w:t>
      </w:r>
      <w:r w:rsidR="00810863" w:rsidRPr="0059687C">
        <w:rPr>
          <w:rFonts w:ascii="Arial" w:eastAsiaTheme="minorHAnsi" w:hAnsi="Arial" w:cs="Arial"/>
          <w:color w:val="000000" w:themeColor="text1"/>
          <w:sz w:val="16"/>
          <w:szCs w:val="16"/>
          <w:lang w:eastAsia="en-US"/>
          <w14:ligatures w14:val="standardContextual"/>
        </w:rPr>
        <w:t>provide a</w:t>
      </w:r>
      <w:r w:rsidR="00810863" w:rsidRPr="0059687C">
        <w:rPr>
          <w:rFonts w:ascii="Arial" w:eastAsiaTheme="minorHAnsi" w:hAnsi="Arial" w:cs="Arial"/>
          <w:color w:val="000000" w:themeColor="text1"/>
          <w:sz w:val="16"/>
          <w:szCs w:val="16"/>
          <w:lang w:eastAsia="en-US"/>
          <w14:ligatures w14:val="standardContextual"/>
        </w:rPr>
        <w:t xml:space="preserve"> </w:t>
      </w:r>
      <w:r w:rsidR="00810863" w:rsidRPr="0059687C">
        <w:rPr>
          <w:rFonts w:ascii="Arial" w:eastAsiaTheme="minorHAnsi" w:hAnsi="Arial" w:cs="Arial"/>
          <w:color w:val="000000" w:themeColor="text1"/>
          <w:sz w:val="16"/>
          <w:szCs w:val="16"/>
          <w:lang w:eastAsia="en-US"/>
          <w14:ligatures w14:val="standardContextual"/>
        </w:rPr>
        <w:t>model of excellent practical reasoning</w:t>
      </w:r>
      <w:r w:rsidR="00BC49B5" w:rsidRPr="0059687C">
        <w:rPr>
          <w:rFonts w:ascii="Arial" w:eastAsiaTheme="minorHAnsi" w:hAnsi="Arial" w:cs="Arial"/>
          <w:i/>
          <w:iCs/>
          <w:color w:val="000000" w:themeColor="text1"/>
          <w:sz w:val="16"/>
          <w:szCs w:val="16"/>
          <w:lang w:eastAsia="en-US"/>
          <w14:ligatures w14:val="standardContextual"/>
        </w:rPr>
        <w:t>”</w:t>
      </w:r>
      <w:r w:rsidR="00810863" w:rsidRPr="0059687C">
        <w:rPr>
          <w:rFonts w:ascii="Arial" w:eastAsiaTheme="minorHAnsi" w:hAnsi="Arial" w:cs="Arial"/>
          <w:i/>
          <w:iCs/>
          <w:color w:val="000000" w:themeColor="text1"/>
          <w:sz w:val="16"/>
          <w:szCs w:val="16"/>
          <w:lang w:eastAsia="en-US"/>
          <w14:ligatures w14:val="standardContextual"/>
        </w:rPr>
        <w:t xml:space="preserve">) 66. </w:t>
      </w:r>
      <w:r w:rsidR="00810863" w:rsidRPr="0059687C">
        <w:rPr>
          <w:rFonts w:ascii="Arial" w:eastAsiaTheme="minorHAnsi" w:hAnsi="Arial" w:cs="Arial"/>
          <w:color w:val="000000" w:themeColor="text1"/>
          <w:sz w:val="16"/>
          <w:szCs w:val="16"/>
          <w:lang w:eastAsia="en-US"/>
          <w14:ligatures w14:val="standardContextual"/>
        </w:rPr>
        <w:t>See U. Leibowitz (2009) 349 – 352 and P. Vayrynen (2006) 293 -296</w:t>
      </w:r>
      <w:r w:rsidR="00BC49B5" w:rsidRPr="0059687C">
        <w:rPr>
          <w:rFonts w:ascii="Arial" w:eastAsiaTheme="minorHAnsi" w:hAnsi="Arial" w:cs="Arial"/>
          <w:color w:val="000000" w:themeColor="text1"/>
          <w:sz w:val="16"/>
          <w:szCs w:val="16"/>
          <w:lang w:eastAsia="en-US"/>
          <w14:ligatures w14:val="standardContextual"/>
        </w:rPr>
        <w:t xml:space="preserve"> (esp. ‘frequently inaccessible...mere hindsight’ 291)</w:t>
      </w:r>
      <w:r w:rsidR="00810863" w:rsidRPr="0059687C">
        <w:rPr>
          <w:rFonts w:ascii="Arial" w:eastAsiaTheme="minorHAnsi" w:hAnsi="Arial" w:cs="Arial"/>
          <w:color w:val="000000" w:themeColor="text1"/>
          <w:sz w:val="16"/>
          <w:szCs w:val="16"/>
          <w:lang w:eastAsia="en-US"/>
          <w14:ligatures w14:val="standardContextual"/>
        </w:rPr>
        <w:t>.</w:t>
      </w:r>
    </w:p>
    <w:p w14:paraId="18693505" w14:textId="77777777" w:rsidR="00B30C61" w:rsidRPr="00825DDF" w:rsidRDefault="00B30C61" w:rsidP="00B30C61">
      <w:pPr>
        <w:pStyle w:val="ListParagraph"/>
        <w:spacing w:line="240" w:lineRule="auto"/>
        <w:ind w:left="1440"/>
        <w:jc w:val="both"/>
        <w:rPr>
          <w:rFonts w:ascii="Calibri" w:hAnsi="Calibri" w:cs="Calibri"/>
          <w:sz w:val="16"/>
          <w:szCs w:val="16"/>
        </w:rPr>
      </w:pPr>
    </w:p>
    <w:p w14:paraId="1723C754" w14:textId="77777777" w:rsidR="00B30C61" w:rsidRPr="00825DDF" w:rsidRDefault="00B30C61" w:rsidP="00B30C61">
      <w:pPr>
        <w:pStyle w:val="FootnoteText"/>
        <w:jc w:val="both"/>
        <w:rPr>
          <w:rFonts w:ascii="Calibri" w:hAnsi="Calibri" w:cs="Calibri"/>
          <w:sz w:val="16"/>
          <w:szCs w:val="16"/>
        </w:rPr>
      </w:pPr>
    </w:p>
  </w:footnote>
  <w:footnote w:id="40">
    <w:p w14:paraId="71029CBB" w14:textId="77777777" w:rsidR="009067AC" w:rsidRPr="00F0578A" w:rsidRDefault="009067AC" w:rsidP="00825DDF">
      <w:pPr>
        <w:pStyle w:val="FootnoteText"/>
        <w:jc w:val="both"/>
        <w:rPr>
          <w:rFonts w:ascii="Arial" w:hAnsi="Arial" w:cs="Arial"/>
          <w:sz w:val="16"/>
          <w:szCs w:val="16"/>
        </w:rPr>
      </w:pPr>
      <w:r w:rsidRPr="00F0578A">
        <w:rPr>
          <w:rStyle w:val="FootnoteReference"/>
          <w:rFonts w:ascii="Arial" w:hAnsi="Arial" w:cs="Arial"/>
          <w:sz w:val="16"/>
          <w:szCs w:val="16"/>
        </w:rPr>
        <w:footnoteRef/>
      </w:r>
      <w:r w:rsidRPr="00F0578A">
        <w:rPr>
          <w:rFonts w:ascii="Arial" w:hAnsi="Arial" w:cs="Arial"/>
          <w:sz w:val="16"/>
          <w:szCs w:val="16"/>
        </w:rPr>
        <w:t xml:space="preserve"> 294)Available at the critical level (Varynnen, Hare, Fotion). Normal actual adults (Varynnen 296).</w:t>
      </w:r>
    </w:p>
  </w:footnote>
  <w:footnote w:id="41">
    <w:p w14:paraId="704D445B" w14:textId="7EFBFA49" w:rsidR="00C12F0B" w:rsidRPr="00F0578A" w:rsidRDefault="00C12F0B" w:rsidP="00F0578A">
      <w:pPr>
        <w:jc w:val="both"/>
        <w:rPr>
          <w:rFonts w:ascii="Arial" w:hAnsi="Arial" w:cs="Arial"/>
          <w:sz w:val="16"/>
          <w:szCs w:val="16"/>
        </w:rPr>
      </w:pPr>
      <w:r w:rsidRPr="00F0578A">
        <w:rPr>
          <w:rStyle w:val="FootnoteReference"/>
          <w:rFonts w:ascii="Arial" w:hAnsi="Arial" w:cs="Arial"/>
          <w:sz w:val="16"/>
          <w:szCs w:val="16"/>
        </w:rPr>
        <w:footnoteRef/>
      </w:r>
      <w:r w:rsidRPr="00F0578A">
        <w:rPr>
          <w:rFonts w:ascii="Arial" w:hAnsi="Arial" w:cs="Arial"/>
          <w:sz w:val="16"/>
          <w:szCs w:val="16"/>
        </w:rPr>
        <w:t xml:space="preserve"> </w:t>
      </w:r>
      <w:r w:rsidR="00BC49B5" w:rsidRPr="00F0578A">
        <w:rPr>
          <w:rFonts w:ascii="Arial" w:hAnsi="Arial" w:cs="Arial"/>
          <w:sz w:val="16"/>
          <w:szCs w:val="16"/>
        </w:rPr>
        <w:t xml:space="preserve">e.g. </w:t>
      </w:r>
      <w:r w:rsidR="00BC49B5" w:rsidRPr="00F0578A">
        <w:rPr>
          <w:rFonts w:ascii="Arial" w:hAnsi="Arial" w:cs="Arial"/>
          <w:sz w:val="16"/>
          <w:szCs w:val="16"/>
        </w:rPr>
        <w:t xml:space="preserve">Virtue Theory and Abortion’ </w:t>
      </w:r>
      <w:r w:rsidR="00BC49B5" w:rsidRPr="00F0578A">
        <w:rPr>
          <w:rFonts w:ascii="Arial" w:hAnsi="Arial" w:cs="Arial"/>
          <w:i/>
          <w:iCs/>
          <w:sz w:val="16"/>
          <w:szCs w:val="16"/>
        </w:rPr>
        <w:t>Philosophy and Public Affairs</w:t>
      </w:r>
      <w:r w:rsidR="00BC49B5" w:rsidRPr="00F0578A">
        <w:rPr>
          <w:rFonts w:ascii="Arial" w:hAnsi="Arial" w:cs="Arial"/>
          <w:sz w:val="16"/>
          <w:szCs w:val="16"/>
        </w:rPr>
        <w:t xml:space="preserve"> 20(3): 223 – 246</w:t>
      </w:r>
      <w:r w:rsidR="00BC49B5" w:rsidRPr="00F0578A">
        <w:rPr>
          <w:rFonts w:ascii="Arial" w:hAnsi="Arial" w:cs="Arial"/>
          <w:sz w:val="16"/>
          <w:szCs w:val="16"/>
        </w:rPr>
        <w:t xml:space="preserve">; </w:t>
      </w:r>
      <w:r w:rsidR="00BC49B5" w:rsidRPr="00F0578A">
        <w:rPr>
          <w:rFonts w:ascii="Arial" w:hAnsi="Arial" w:cs="Arial"/>
          <w:sz w:val="16"/>
          <w:szCs w:val="16"/>
        </w:rPr>
        <w:t xml:space="preserve"> </w:t>
      </w:r>
      <w:r w:rsidRPr="00F0578A">
        <w:rPr>
          <w:rFonts w:ascii="Arial" w:hAnsi="Arial" w:cs="Arial"/>
          <w:i/>
          <w:iCs/>
          <w:color w:val="333333"/>
          <w:sz w:val="16"/>
          <w:szCs w:val="16"/>
        </w:rPr>
        <w:t xml:space="preserve">On Virtue Ethics </w:t>
      </w:r>
      <w:r w:rsidR="00BC49B5" w:rsidRPr="00F0578A">
        <w:rPr>
          <w:rFonts w:ascii="Arial" w:hAnsi="Arial" w:cs="Arial"/>
          <w:color w:val="333333"/>
          <w:sz w:val="16"/>
          <w:szCs w:val="16"/>
        </w:rPr>
        <w:t xml:space="preserve">(1999); </w:t>
      </w:r>
      <w:r w:rsidR="00BC49B5" w:rsidRPr="00F0578A">
        <w:rPr>
          <w:rFonts w:ascii="Arial" w:hAnsi="Arial" w:cs="Arial"/>
          <w:i/>
          <w:iCs/>
          <w:color w:val="000000" w:themeColor="text1"/>
          <w:sz w:val="16"/>
          <w:szCs w:val="16"/>
        </w:rPr>
        <w:t xml:space="preserve">Ethics, Humans and other Animals: An Introduction With </w:t>
      </w:r>
      <w:r w:rsidR="00BC49B5" w:rsidRPr="00F0578A">
        <w:rPr>
          <w:rFonts w:ascii="Arial" w:hAnsi="Arial" w:cs="Arial"/>
          <w:i/>
          <w:iCs/>
          <w:color w:val="000000" w:themeColor="text1"/>
          <w:sz w:val="16"/>
          <w:szCs w:val="16"/>
        </w:rPr>
        <w:tab/>
        <w:t>Readings</w:t>
      </w:r>
      <w:r w:rsidR="00BC49B5" w:rsidRPr="00F0578A">
        <w:rPr>
          <w:rFonts w:ascii="Arial" w:hAnsi="Arial" w:cs="Arial"/>
          <w:color w:val="000000" w:themeColor="text1"/>
          <w:sz w:val="16"/>
          <w:szCs w:val="16"/>
        </w:rPr>
        <w:t xml:space="preserve"> (London: Routledge, 2000)</w:t>
      </w:r>
      <w:r w:rsidR="00BC49B5" w:rsidRPr="00F0578A">
        <w:rPr>
          <w:rFonts w:ascii="Arial" w:hAnsi="Arial" w:cs="Arial"/>
          <w:color w:val="000000" w:themeColor="text1"/>
          <w:sz w:val="16"/>
          <w:szCs w:val="16"/>
        </w:rPr>
        <w:t xml:space="preserve">; </w:t>
      </w:r>
      <w:r w:rsidR="00BC49B5" w:rsidRPr="00F0578A">
        <w:rPr>
          <w:rFonts w:ascii="Arial" w:hAnsi="Arial" w:cs="Arial"/>
          <w:i/>
          <w:iCs/>
          <w:color w:val="333333"/>
          <w:sz w:val="16"/>
          <w:szCs w:val="16"/>
        </w:rPr>
        <w:t xml:space="preserve">Virtue and Action </w:t>
      </w:r>
      <w:r w:rsidR="00BC49B5" w:rsidRPr="00F0578A">
        <w:rPr>
          <w:rFonts w:ascii="Arial" w:hAnsi="Arial" w:cs="Arial"/>
          <w:color w:val="333333"/>
          <w:sz w:val="16"/>
          <w:szCs w:val="16"/>
        </w:rPr>
        <w:t xml:space="preserve">(2023) </w:t>
      </w:r>
      <w:r w:rsidRPr="00F0578A">
        <w:rPr>
          <w:rFonts w:ascii="Arial" w:hAnsi="Arial" w:cs="Arial"/>
          <w:color w:val="333333"/>
          <w:sz w:val="16"/>
          <w:szCs w:val="16"/>
        </w:rPr>
        <w:t>to book-length examples of application.</w:t>
      </w:r>
      <w:r w:rsidRPr="00F0578A">
        <w:rPr>
          <w:rFonts w:ascii="Arial" w:hAnsi="Arial" w:cs="Arial"/>
          <w:sz w:val="16"/>
          <w:szCs w:val="16"/>
        </w:rPr>
        <w:t xml:space="preserve"> (‘Virtue Theory and Abortion’ </w:t>
      </w:r>
      <w:r w:rsidRPr="00F0578A">
        <w:rPr>
          <w:rFonts w:ascii="Arial" w:hAnsi="Arial" w:cs="Arial"/>
          <w:i/>
          <w:iCs/>
          <w:sz w:val="16"/>
          <w:szCs w:val="16"/>
        </w:rPr>
        <w:t>Philosophy and Public Affairs</w:t>
      </w:r>
      <w:r w:rsidRPr="00F0578A">
        <w:rPr>
          <w:rFonts w:ascii="Arial" w:hAnsi="Arial" w:cs="Arial"/>
          <w:sz w:val="16"/>
          <w:szCs w:val="16"/>
        </w:rPr>
        <w:t xml:space="preserve"> 20(3): 223 – 246. </w:t>
      </w:r>
    </w:p>
  </w:footnote>
  <w:footnote w:id="42">
    <w:p w14:paraId="5F4455D6" w14:textId="6369E325" w:rsidR="00C12F0B" w:rsidRPr="00F0578A" w:rsidRDefault="00C12F0B" w:rsidP="00825DDF">
      <w:pPr>
        <w:pStyle w:val="FootnoteText"/>
        <w:jc w:val="both"/>
        <w:rPr>
          <w:rFonts w:ascii="Arial" w:hAnsi="Arial" w:cs="Arial"/>
          <w:sz w:val="16"/>
          <w:szCs w:val="16"/>
        </w:rPr>
      </w:pPr>
      <w:r w:rsidRPr="00F0578A">
        <w:rPr>
          <w:rStyle w:val="FootnoteReference"/>
          <w:rFonts w:ascii="Arial" w:hAnsi="Arial" w:cs="Arial"/>
          <w:sz w:val="16"/>
          <w:szCs w:val="16"/>
        </w:rPr>
        <w:footnoteRef/>
      </w:r>
      <w:r w:rsidRPr="00F0578A">
        <w:rPr>
          <w:rFonts w:ascii="Arial" w:hAnsi="Arial" w:cs="Arial"/>
          <w:sz w:val="16"/>
          <w:szCs w:val="16"/>
        </w:rPr>
        <w:t xml:space="preserve"> </w:t>
      </w:r>
      <w:r w:rsidR="002002D0" w:rsidRPr="00F0578A">
        <w:rPr>
          <w:rFonts w:ascii="Arial" w:eastAsia="Times New Roman" w:hAnsi="Arial" w:cs="Arial"/>
          <w:color w:val="333333"/>
          <w:kern w:val="0"/>
          <w:sz w:val="16"/>
          <w:szCs w:val="16"/>
          <w:lang w:eastAsia="en-GB"/>
          <w14:ligatures w14:val="none"/>
        </w:rPr>
        <w:t>V-rules are adopted by Swanton (2003 and 2020).</w:t>
      </w:r>
    </w:p>
  </w:footnote>
  <w:footnote w:id="43">
    <w:p w14:paraId="6DF6EE90" w14:textId="5C441254" w:rsidR="002002D0" w:rsidRPr="00F0578A" w:rsidRDefault="002002D0" w:rsidP="0059687C">
      <w:pPr>
        <w:pStyle w:val="FootnoteText"/>
        <w:jc w:val="both"/>
        <w:rPr>
          <w:rFonts w:ascii="Arial" w:hAnsi="Arial" w:cs="Arial"/>
          <w:color w:val="000000" w:themeColor="text1"/>
          <w:sz w:val="16"/>
          <w:szCs w:val="16"/>
        </w:rPr>
      </w:pPr>
      <w:r w:rsidRPr="00F0578A">
        <w:rPr>
          <w:rStyle w:val="FootnoteReference"/>
          <w:rFonts w:ascii="Arial" w:hAnsi="Arial" w:cs="Arial"/>
          <w:color w:val="000000" w:themeColor="text1"/>
          <w:sz w:val="16"/>
          <w:szCs w:val="16"/>
        </w:rPr>
        <w:footnoteRef/>
      </w:r>
      <w:r w:rsidRPr="00F0578A">
        <w:rPr>
          <w:rFonts w:ascii="Arial" w:hAnsi="Arial" w:cs="Arial"/>
          <w:color w:val="000000" w:themeColor="text1"/>
          <w:sz w:val="16"/>
          <w:szCs w:val="16"/>
        </w:rPr>
        <w:t xml:space="preserve"> For separation of ‘assessment’ from ‘guidance’ within Action-Theory see D. Russell (2009); see also L. Van Zyl (2009) and (2011). </w:t>
      </w:r>
    </w:p>
  </w:footnote>
  <w:footnote w:id="44">
    <w:p w14:paraId="0EFF1565" w14:textId="0C6BCFAC" w:rsidR="002002D0" w:rsidRPr="0059687C" w:rsidRDefault="002002D0" w:rsidP="0059687C">
      <w:pPr>
        <w:pStyle w:val="FootnoteText"/>
        <w:jc w:val="both"/>
        <w:rPr>
          <w:rFonts w:ascii="Arial" w:hAnsi="Arial" w:cs="Arial"/>
          <w:color w:val="000000" w:themeColor="text1"/>
          <w:sz w:val="16"/>
          <w:szCs w:val="16"/>
        </w:rPr>
      </w:pPr>
      <w:r w:rsidRPr="00F0578A">
        <w:rPr>
          <w:rStyle w:val="FootnoteReference"/>
          <w:rFonts w:ascii="Arial" w:hAnsi="Arial" w:cs="Arial"/>
          <w:color w:val="000000" w:themeColor="text1"/>
          <w:sz w:val="16"/>
          <w:szCs w:val="16"/>
        </w:rPr>
        <w:footnoteRef/>
      </w:r>
      <w:r w:rsidRPr="00F0578A">
        <w:rPr>
          <w:rFonts w:ascii="Arial" w:hAnsi="Arial" w:cs="Arial"/>
          <w:color w:val="000000" w:themeColor="text1"/>
          <w:sz w:val="16"/>
          <w:szCs w:val="16"/>
        </w:rPr>
        <w:t xml:space="preserve"> J. Driver (2022) 23.</w:t>
      </w:r>
    </w:p>
  </w:footnote>
  <w:footnote w:id="45">
    <w:p w14:paraId="6BFF1CE4" w14:textId="5F859C6B" w:rsidR="006E187A" w:rsidRPr="0059687C" w:rsidRDefault="006E187A"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0E4B7A" w:rsidRPr="0059687C">
        <w:rPr>
          <w:rFonts w:ascii="Arial" w:hAnsi="Arial" w:cs="Arial"/>
          <w:color w:val="000000" w:themeColor="text1"/>
          <w:sz w:val="16"/>
          <w:szCs w:val="16"/>
        </w:rPr>
        <w:t xml:space="preserve">i.e. (i) the eudaimonistic thesis, (ii) an action is right iff it is what a VP would characteristically do in the circumstances. </w:t>
      </w:r>
    </w:p>
  </w:footnote>
  <w:footnote w:id="46">
    <w:p w14:paraId="6A863162" w14:textId="19F31D82" w:rsidR="005C3976" w:rsidRPr="0059687C" w:rsidRDefault="005C3976"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0E4B7A" w:rsidRPr="0059687C">
        <w:rPr>
          <w:rFonts w:ascii="Arial" w:hAnsi="Arial" w:cs="Arial"/>
          <w:color w:val="000000" w:themeColor="text1"/>
          <w:sz w:val="16"/>
          <w:szCs w:val="16"/>
        </w:rPr>
        <w:t xml:space="preserve">See Swanton (2020) Chapter 5. </w:t>
      </w:r>
      <w:r w:rsidR="000E4B7A" w:rsidRPr="0059687C">
        <w:rPr>
          <w:rFonts w:ascii="Arial" w:eastAsia="Times New Roman" w:hAnsi="Arial" w:cs="Arial"/>
          <w:color w:val="000000" w:themeColor="text1"/>
          <w:kern w:val="0"/>
          <w:sz w:val="16"/>
          <w:szCs w:val="16"/>
          <w:lang w:eastAsia="en-GB"/>
          <w14:ligatures w14:val="none"/>
        </w:rPr>
        <w:t>F</w:t>
      </w:r>
      <w:r w:rsidRPr="0059687C">
        <w:rPr>
          <w:rFonts w:ascii="Arial" w:eastAsia="Times New Roman" w:hAnsi="Arial" w:cs="Arial"/>
          <w:color w:val="000000" w:themeColor="text1"/>
          <w:kern w:val="0"/>
          <w:sz w:val="16"/>
          <w:szCs w:val="16"/>
          <w:lang w:eastAsia="en-GB"/>
          <w14:ligatures w14:val="none"/>
        </w:rPr>
        <w:t>or defences of eudaimonism see N</w:t>
      </w:r>
      <w:r w:rsidR="00A76252" w:rsidRPr="0059687C">
        <w:rPr>
          <w:rFonts w:ascii="Arial" w:eastAsia="Times New Roman" w:hAnsi="Arial" w:cs="Arial"/>
          <w:color w:val="000000" w:themeColor="text1"/>
          <w:kern w:val="0"/>
          <w:sz w:val="16"/>
          <w:szCs w:val="16"/>
          <w:lang w:eastAsia="en-GB"/>
          <w14:ligatures w14:val="none"/>
        </w:rPr>
        <w:t>.</w:t>
      </w:r>
      <w:r w:rsidRPr="0059687C">
        <w:rPr>
          <w:rFonts w:ascii="Arial" w:eastAsia="Times New Roman" w:hAnsi="Arial" w:cs="Arial"/>
          <w:color w:val="000000" w:themeColor="text1"/>
          <w:kern w:val="0"/>
          <w:sz w:val="16"/>
          <w:szCs w:val="16"/>
          <w:lang w:eastAsia="en-GB"/>
          <w14:ligatures w14:val="none"/>
        </w:rPr>
        <w:t xml:space="preserve"> Badhwar </w:t>
      </w:r>
      <w:r w:rsidRPr="0059687C">
        <w:rPr>
          <w:rFonts w:ascii="Arial" w:eastAsia="Times New Roman" w:hAnsi="Arial" w:cs="Arial"/>
          <w:i/>
          <w:iCs/>
          <w:color w:val="000000" w:themeColor="text1"/>
          <w:kern w:val="0"/>
          <w:sz w:val="16"/>
          <w:szCs w:val="16"/>
          <w:lang w:eastAsia="en-GB"/>
          <w14:ligatures w14:val="none"/>
        </w:rPr>
        <w:t xml:space="preserve">Well-Being: Happiness in a Worthwhile Life </w:t>
      </w:r>
      <w:r w:rsidRPr="0059687C">
        <w:rPr>
          <w:rFonts w:ascii="Arial" w:eastAsia="Times New Roman" w:hAnsi="Arial" w:cs="Arial"/>
          <w:color w:val="000000" w:themeColor="text1"/>
          <w:kern w:val="0"/>
          <w:sz w:val="16"/>
          <w:szCs w:val="16"/>
          <w:lang w:eastAsia="en-GB"/>
          <w14:ligatures w14:val="none"/>
        </w:rPr>
        <w:t>(Oxford: OUP, 2014</w:t>
      </w:r>
      <w:r w:rsidR="000E4B7A" w:rsidRPr="0059687C">
        <w:rPr>
          <w:rFonts w:ascii="Arial" w:eastAsia="Times New Roman" w:hAnsi="Arial" w:cs="Arial"/>
          <w:color w:val="000000" w:themeColor="text1"/>
          <w:kern w:val="0"/>
          <w:sz w:val="16"/>
          <w:szCs w:val="16"/>
          <w:lang w:eastAsia="en-GB"/>
          <w14:ligatures w14:val="none"/>
        </w:rPr>
        <w:t xml:space="preserve">); M. </w:t>
      </w:r>
      <w:r w:rsidR="000E4B7A" w:rsidRPr="0059687C">
        <w:rPr>
          <w:rStyle w:val="contributors"/>
          <w:rFonts w:ascii="Arial" w:hAnsi="Arial" w:cs="Arial"/>
          <w:color w:val="000000" w:themeColor="text1"/>
          <w:sz w:val="16"/>
          <w:szCs w:val="16"/>
          <w:bdr w:val="none" w:sz="0" w:space="0" w:color="auto" w:frame="1"/>
        </w:rPr>
        <w:t xml:space="preserve">LeBar, </w:t>
      </w:r>
      <w:r w:rsidR="000E4B7A" w:rsidRPr="0059687C">
        <w:rPr>
          <w:rStyle w:val="maintitle"/>
          <w:rFonts w:ascii="Arial" w:hAnsi="Arial" w:cs="Arial"/>
          <w:color w:val="000000" w:themeColor="text1"/>
          <w:sz w:val="16"/>
          <w:szCs w:val="16"/>
          <w:bdr w:val="none" w:sz="0" w:space="0" w:color="auto" w:frame="1"/>
        </w:rPr>
        <w:t>'Eudaimonism'</w:t>
      </w:r>
      <w:r w:rsidR="000E4B7A" w:rsidRPr="0059687C">
        <w:rPr>
          <w:rFonts w:ascii="Arial" w:hAnsi="Arial" w:cs="Arial"/>
          <w:color w:val="000000" w:themeColor="text1"/>
          <w:sz w:val="16"/>
          <w:szCs w:val="16"/>
          <w:shd w:val="clear" w:color="auto" w:fill="FFFFFF"/>
        </w:rPr>
        <w:t>,</w:t>
      </w:r>
      <w:r w:rsidR="000E4B7A" w:rsidRPr="0059687C">
        <w:rPr>
          <w:rStyle w:val="apple-converted-space"/>
          <w:rFonts w:ascii="Arial" w:hAnsi="Arial" w:cs="Arial"/>
          <w:color w:val="000000" w:themeColor="text1"/>
          <w:sz w:val="16"/>
          <w:szCs w:val="16"/>
          <w:bdr w:val="none" w:sz="0" w:space="0" w:color="auto" w:frame="1"/>
        </w:rPr>
        <w:t> </w:t>
      </w:r>
      <w:r w:rsidR="000E4B7A" w:rsidRPr="0059687C">
        <w:rPr>
          <w:rStyle w:val="editors"/>
          <w:rFonts w:ascii="Arial" w:hAnsi="Arial" w:cs="Arial"/>
          <w:color w:val="000000" w:themeColor="text1"/>
          <w:sz w:val="16"/>
          <w:szCs w:val="16"/>
          <w:bdr w:val="none" w:sz="0" w:space="0" w:color="auto" w:frame="1"/>
        </w:rPr>
        <w:t>in N</w:t>
      </w:r>
      <w:r w:rsidR="00A76252" w:rsidRPr="0059687C">
        <w:rPr>
          <w:rStyle w:val="editors"/>
          <w:rFonts w:ascii="Arial" w:hAnsi="Arial" w:cs="Arial"/>
          <w:color w:val="000000" w:themeColor="text1"/>
          <w:sz w:val="16"/>
          <w:szCs w:val="16"/>
          <w:bdr w:val="none" w:sz="0" w:space="0" w:color="auto" w:frame="1"/>
        </w:rPr>
        <w:t>.</w:t>
      </w:r>
      <w:r w:rsidR="000E4B7A" w:rsidRPr="0059687C">
        <w:rPr>
          <w:rStyle w:val="editors"/>
          <w:rFonts w:ascii="Arial" w:hAnsi="Arial" w:cs="Arial"/>
          <w:color w:val="000000" w:themeColor="text1"/>
          <w:sz w:val="16"/>
          <w:szCs w:val="16"/>
          <w:bdr w:val="none" w:sz="0" w:space="0" w:color="auto" w:frame="1"/>
        </w:rPr>
        <w:t>Snow (ed.)</w:t>
      </w:r>
      <w:r w:rsidR="000E4B7A" w:rsidRPr="0059687C">
        <w:rPr>
          <w:rFonts w:ascii="Arial" w:hAnsi="Arial" w:cs="Arial"/>
          <w:color w:val="000000" w:themeColor="text1"/>
          <w:sz w:val="16"/>
          <w:szCs w:val="16"/>
          <w:shd w:val="clear" w:color="auto" w:fill="FFFFFF"/>
        </w:rPr>
        <w:t>,</w:t>
      </w:r>
      <w:r w:rsidR="000E4B7A" w:rsidRPr="0059687C">
        <w:rPr>
          <w:rStyle w:val="apple-converted-space"/>
          <w:rFonts w:ascii="Arial" w:hAnsi="Arial" w:cs="Arial"/>
          <w:color w:val="000000" w:themeColor="text1"/>
          <w:sz w:val="16"/>
          <w:szCs w:val="16"/>
          <w:shd w:val="clear" w:color="auto" w:fill="FFFFFF"/>
        </w:rPr>
        <w:t> </w:t>
      </w:r>
      <w:r w:rsidR="000E4B7A" w:rsidRPr="0059687C">
        <w:rPr>
          <w:rStyle w:val="Emphasis"/>
          <w:rFonts w:ascii="Arial" w:hAnsi="Arial" w:cs="Arial"/>
          <w:color w:val="000000" w:themeColor="text1"/>
          <w:sz w:val="16"/>
          <w:szCs w:val="16"/>
          <w:bdr w:val="none" w:sz="0" w:space="0" w:color="auto" w:frame="1"/>
        </w:rPr>
        <w:t>The Oxford Handbook of Virtue</w:t>
      </w:r>
      <w:r w:rsidR="000E4B7A" w:rsidRPr="0059687C">
        <w:rPr>
          <w:rStyle w:val="series-title"/>
          <w:rFonts w:ascii="Arial" w:hAnsi="Arial" w:cs="Arial"/>
          <w:color w:val="000000" w:themeColor="text1"/>
          <w:sz w:val="16"/>
          <w:szCs w:val="16"/>
          <w:bdr w:val="none" w:sz="0" w:space="0" w:color="auto" w:frame="1"/>
        </w:rPr>
        <w:t>, Oxford Handbooks</w:t>
      </w:r>
      <w:r w:rsidR="000E4B7A" w:rsidRPr="0059687C">
        <w:rPr>
          <w:rFonts w:ascii="Arial" w:hAnsi="Arial" w:cs="Arial"/>
          <w:color w:val="000000" w:themeColor="text1"/>
          <w:sz w:val="16"/>
          <w:szCs w:val="16"/>
          <w:shd w:val="clear" w:color="auto" w:fill="FFFFFF"/>
        </w:rPr>
        <w:t>(</w:t>
      </w:r>
      <w:r w:rsidR="000E4B7A" w:rsidRPr="0059687C">
        <w:rPr>
          <w:rStyle w:val="print-publication-date"/>
          <w:rFonts w:ascii="Arial" w:hAnsi="Arial" w:cs="Arial"/>
          <w:color w:val="000000" w:themeColor="text1"/>
          <w:sz w:val="16"/>
          <w:szCs w:val="16"/>
          <w:bdr w:val="none" w:sz="0" w:space="0" w:color="auto" w:frame="1"/>
        </w:rPr>
        <w:t>2018;</w:t>
      </w:r>
      <w:r w:rsidR="000E4B7A" w:rsidRPr="0059687C">
        <w:rPr>
          <w:rStyle w:val="apple-converted-space"/>
          <w:rFonts w:ascii="Arial" w:hAnsi="Arial" w:cs="Arial"/>
          <w:color w:val="000000" w:themeColor="text1"/>
          <w:sz w:val="16"/>
          <w:szCs w:val="16"/>
          <w:bdr w:val="none" w:sz="0" w:space="0" w:color="auto" w:frame="1"/>
        </w:rPr>
        <w:t> </w:t>
      </w:r>
      <w:r w:rsidR="000E4B7A" w:rsidRPr="0059687C">
        <w:rPr>
          <w:rStyle w:val="online-edition"/>
          <w:rFonts w:ascii="Arial" w:hAnsi="Arial" w:cs="Arial"/>
          <w:color w:val="000000" w:themeColor="text1"/>
          <w:sz w:val="16"/>
          <w:szCs w:val="16"/>
          <w:bdr w:val="none" w:sz="0" w:space="0" w:color="auto" w:frame="1"/>
        </w:rPr>
        <w:t>online edn,</w:t>
      </w:r>
      <w:r w:rsidR="000E4B7A" w:rsidRPr="0059687C">
        <w:rPr>
          <w:rStyle w:val="apple-converted-space"/>
          <w:rFonts w:ascii="Arial" w:hAnsi="Arial" w:cs="Arial"/>
          <w:color w:val="000000" w:themeColor="text1"/>
          <w:sz w:val="16"/>
          <w:szCs w:val="16"/>
          <w:bdr w:val="none" w:sz="0" w:space="0" w:color="auto" w:frame="1"/>
        </w:rPr>
        <w:t> </w:t>
      </w:r>
      <w:r w:rsidR="000E4B7A" w:rsidRPr="0059687C">
        <w:rPr>
          <w:rStyle w:val="containing-site"/>
          <w:rFonts w:ascii="Arial" w:hAnsi="Arial" w:cs="Arial"/>
          <w:color w:val="000000" w:themeColor="text1"/>
          <w:sz w:val="16"/>
          <w:szCs w:val="16"/>
          <w:bdr w:val="none" w:sz="0" w:space="0" w:color="auto" w:frame="1"/>
        </w:rPr>
        <w:t>Oxford Academic</w:t>
      </w:r>
      <w:r w:rsidR="000E4B7A" w:rsidRPr="0059687C">
        <w:rPr>
          <w:rStyle w:val="online-publication-date"/>
          <w:rFonts w:ascii="Arial" w:hAnsi="Arial" w:cs="Arial"/>
          <w:color w:val="000000" w:themeColor="text1"/>
          <w:sz w:val="16"/>
          <w:szCs w:val="16"/>
          <w:bdr w:val="none" w:sz="0" w:space="0" w:color="auto" w:frame="1"/>
        </w:rPr>
        <w:t>, 6 Dec. 2017</w:t>
      </w:r>
      <w:r w:rsidR="000E4B7A" w:rsidRPr="0059687C">
        <w:rPr>
          <w:rFonts w:ascii="Arial" w:hAnsi="Arial" w:cs="Arial"/>
          <w:color w:val="000000" w:themeColor="text1"/>
          <w:sz w:val="16"/>
          <w:szCs w:val="16"/>
          <w:shd w:val="clear" w:color="auto" w:fill="FFFFFF"/>
        </w:rPr>
        <w:t>),</w:t>
      </w:r>
      <w:r w:rsidR="000E4B7A" w:rsidRPr="0059687C">
        <w:rPr>
          <w:rStyle w:val="apple-converted-space"/>
          <w:rFonts w:ascii="Arial" w:hAnsi="Arial" w:cs="Arial"/>
          <w:color w:val="000000" w:themeColor="text1"/>
          <w:sz w:val="16"/>
          <w:szCs w:val="16"/>
          <w:shd w:val="clear" w:color="auto" w:fill="FFFFFF"/>
        </w:rPr>
        <w:t> </w:t>
      </w:r>
      <w:r w:rsidR="000E4B7A" w:rsidRPr="0059687C">
        <w:rPr>
          <w:rFonts w:ascii="Arial" w:hAnsi="Arial" w:cs="Arial"/>
          <w:color w:val="000000" w:themeColor="text1"/>
          <w:sz w:val="16"/>
          <w:szCs w:val="16"/>
          <w:bdr w:val="none" w:sz="0" w:space="0" w:color="auto" w:frame="1"/>
        </w:rPr>
        <w:t>https://doi.org/10.1093/oxfordhb/9780199385195.013.27</w:t>
      </w:r>
      <w:r w:rsidR="000E4B7A" w:rsidRPr="0059687C">
        <w:rPr>
          <w:rFonts w:ascii="Arial" w:hAnsi="Arial" w:cs="Arial"/>
          <w:color w:val="000000" w:themeColor="text1"/>
          <w:sz w:val="16"/>
          <w:szCs w:val="16"/>
          <w:shd w:val="clear" w:color="auto" w:fill="FFFFFF"/>
        </w:rPr>
        <w:t>,</w:t>
      </w:r>
      <w:r w:rsidR="000E4B7A" w:rsidRPr="0059687C">
        <w:rPr>
          <w:rStyle w:val="apple-converted-space"/>
          <w:rFonts w:ascii="Arial" w:hAnsi="Arial" w:cs="Arial"/>
          <w:color w:val="000000" w:themeColor="text1"/>
          <w:sz w:val="16"/>
          <w:szCs w:val="16"/>
          <w:shd w:val="clear" w:color="auto" w:fill="FFFFFF"/>
        </w:rPr>
        <w:t> </w:t>
      </w:r>
      <w:r w:rsidR="000E4B7A" w:rsidRPr="0059687C">
        <w:rPr>
          <w:rStyle w:val="accessed-date"/>
          <w:rFonts w:ascii="Arial" w:hAnsi="Arial" w:cs="Arial"/>
          <w:color w:val="000000" w:themeColor="text1"/>
          <w:sz w:val="16"/>
          <w:szCs w:val="16"/>
          <w:bdr w:val="none" w:sz="0" w:space="0" w:color="auto" w:frame="1"/>
        </w:rPr>
        <w:t>accessed 26 Apr. 2026.</w:t>
      </w:r>
      <w:r w:rsidR="000E4B7A" w:rsidRPr="0059687C">
        <w:rPr>
          <w:rFonts w:ascii="Arial" w:eastAsia="Times New Roman" w:hAnsi="Arial" w:cs="Arial"/>
          <w:color w:val="000000" w:themeColor="text1"/>
          <w:kern w:val="0"/>
          <w:sz w:val="16"/>
          <w:szCs w:val="16"/>
          <w:lang w:eastAsia="en-GB"/>
          <w14:ligatures w14:val="none"/>
        </w:rPr>
        <w:t xml:space="preserve"> </w:t>
      </w:r>
    </w:p>
  </w:footnote>
  <w:footnote w:id="47">
    <w:p w14:paraId="238FBCEF" w14:textId="77777777" w:rsidR="00B96292" w:rsidRPr="0059687C" w:rsidRDefault="000E4B7A" w:rsidP="0059687C">
      <w:pPr>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00B96292" w:rsidRPr="0059687C">
        <w:rPr>
          <w:rFonts w:ascii="Arial" w:hAnsi="Arial" w:cs="Arial"/>
          <w:color w:val="000000" w:themeColor="text1"/>
          <w:sz w:val="16"/>
          <w:szCs w:val="16"/>
        </w:rPr>
        <w:t xml:space="preserve">C. Toner ‘The Self-Centredness Objection to Virtue Ethics’ Philosophy (2006) 81  595 ; T. Hurka </w:t>
      </w:r>
      <w:r w:rsidR="00B96292" w:rsidRPr="0059687C">
        <w:rPr>
          <w:rFonts w:ascii="Arial" w:hAnsi="Arial" w:cs="Arial"/>
          <w:i/>
          <w:iCs/>
          <w:color w:val="000000" w:themeColor="text1"/>
          <w:sz w:val="16"/>
          <w:szCs w:val="16"/>
        </w:rPr>
        <w:t xml:space="preserve">Virtue, Vice, and Value </w:t>
      </w:r>
      <w:r w:rsidR="00B96292" w:rsidRPr="0059687C">
        <w:rPr>
          <w:rFonts w:ascii="Arial" w:hAnsi="Arial" w:cs="Arial"/>
          <w:color w:val="000000" w:themeColor="text1"/>
          <w:sz w:val="16"/>
          <w:szCs w:val="16"/>
        </w:rPr>
        <w:t xml:space="preserve">(Oxford: OUP, 2001) Chapter 8; Simon Keller ‘Virtue Ethics is Self-Effacing’ </w:t>
      </w:r>
      <w:r w:rsidR="00B96292" w:rsidRPr="0059687C">
        <w:rPr>
          <w:rFonts w:ascii="Arial" w:hAnsi="Arial" w:cs="Arial"/>
          <w:i/>
          <w:iCs/>
          <w:color w:val="000000" w:themeColor="text1"/>
          <w:sz w:val="16"/>
          <w:szCs w:val="16"/>
        </w:rPr>
        <w:t>Australasian Journal of Philosophy</w:t>
      </w:r>
      <w:r w:rsidR="00B96292" w:rsidRPr="0059687C">
        <w:rPr>
          <w:rFonts w:ascii="Arial" w:hAnsi="Arial" w:cs="Arial"/>
          <w:color w:val="000000" w:themeColor="text1"/>
          <w:sz w:val="16"/>
          <w:szCs w:val="16"/>
        </w:rPr>
        <w:t xml:space="preserve"> (2007) 85 221 – 31.</w:t>
      </w:r>
    </w:p>
    <w:p w14:paraId="4353ACF0" w14:textId="01F08785" w:rsidR="000E4B7A" w:rsidRPr="0059687C" w:rsidRDefault="000E4B7A" w:rsidP="0059687C">
      <w:pPr>
        <w:pStyle w:val="Heading1"/>
        <w:shd w:val="clear" w:color="auto" w:fill="FFFFFF"/>
        <w:spacing w:before="0" w:after="0" w:line="240" w:lineRule="auto"/>
        <w:jc w:val="both"/>
        <w:rPr>
          <w:rFonts w:ascii="Arial" w:eastAsia="Times New Roman" w:hAnsi="Arial" w:cs="Arial"/>
          <w:color w:val="000000" w:themeColor="text1"/>
          <w:kern w:val="36"/>
          <w:sz w:val="16"/>
          <w:szCs w:val="16"/>
          <w:lang w:eastAsia="en-GB"/>
          <w14:ligatures w14:val="none"/>
        </w:rPr>
      </w:pPr>
      <w:r w:rsidRPr="0059687C">
        <w:rPr>
          <w:rFonts w:ascii="Arial" w:hAnsi="Arial" w:cs="Arial"/>
          <w:color w:val="000000" w:themeColor="text1"/>
          <w:sz w:val="16"/>
          <w:szCs w:val="16"/>
        </w:rPr>
        <w:t>G. Pettigrove</w:t>
      </w:r>
      <w:r w:rsidR="00730CCF" w:rsidRPr="0059687C">
        <w:rPr>
          <w:rFonts w:ascii="Arial" w:hAnsi="Arial" w:cs="Arial"/>
          <w:color w:val="000000" w:themeColor="text1"/>
          <w:sz w:val="16"/>
          <w:szCs w:val="16"/>
        </w:rPr>
        <w:t xml:space="preserve"> </w:t>
      </w:r>
      <w:r w:rsidR="00730CCF" w:rsidRPr="0059687C">
        <w:rPr>
          <w:rFonts w:ascii="Arial" w:eastAsia="Times New Roman" w:hAnsi="Arial" w:cs="Arial"/>
          <w:color w:val="000000" w:themeColor="text1"/>
          <w:kern w:val="36"/>
          <w:sz w:val="16"/>
          <w:szCs w:val="16"/>
          <w:lang w:eastAsia="en-GB"/>
          <w14:ligatures w14:val="none"/>
        </w:rPr>
        <w:fldChar w:fldCharType="begin"/>
      </w:r>
      <w:r w:rsidR="00730CCF" w:rsidRPr="0059687C">
        <w:rPr>
          <w:rFonts w:ascii="Arial" w:eastAsia="Times New Roman" w:hAnsi="Arial" w:cs="Arial"/>
          <w:color w:val="000000" w:themeColor="text1"/>
          <w:kern w:val="36"/>
          <w:sz w:val="16"/>
          <w:szCs w:val="16"/>
          <w:lang w:eastAsia="en-GB"/>
          <w14:ligatures w14:val="none"/>
        </w:rPr>
        <w:instrText>HYPERLINK "https://philpapers.org/go.pl?id=PETIVE&amp;proxyId=&amp;u=https%3A%2F%2Fdx.doi.org%2F10.1007%2Fs10892-010-9089-4"</w:instrText>
      </w:r>
      <w:r w:rsidR="00730CCF" w:rsidRPr="0059687C">
        <w:rPr>
          <w:rFonts w:ascii="Arial" w:eastAsia="Times New Roman" w:hAnsi="Arial" w:cs="Arial"/>
          <w:color w:val="000000" w:themeColor="text1"/>
          <w:kern w:val="36"/>
          <w:sz w:val="16"/>
          <w:szCs w:val="16"/>
          <w:lang w:eastAsia="en-GB"/>
          <w14:ligatures w14:val="none"/>
        </w:rPr>
      </w:r>
      <w:r w:rsidR="00730CCF" w:rsidRPr="0059687C">
        <w:rPr>
          <w:rFonts w:ascii="Arial" w:eastAsia="Times New Roman" w:hAnsi="Arial" w:cs="Arial"/>
          <w:color w:val="000000" w:themeColor="text1"/>
          <w:kern w:val="36"/>
          <w:sz w:val="16"/>
          <w:szCs w:val="16"/>
          <w:lang w:eastAsia="en-GB"/>
          <w14:ligatures w14:val="none"/>
        </w:rPr>
        <w:fldChar w:fldCharType="separate"/>
      </w:r>
      <w:r w:rsidR="00730CCF" w:rsidRPr="0059687C">
        <w:rPr>
          <w:rFonts w:ascii="Arial" w:eastAsia="Times New Roman" w:hAnsi="Arial" w:cs="Arial"/>
          <w:color w:val="000000" w:themeColor="text1"/>
          <w:kern w:val="36"/>
          <w:sz w:val="16"/>
          <w:szCs w:val="16"/>
          <w:lang w:eastAsia="en-GB"/>
          <w14:ligatures w14:val="none"/>
        </w:rPr>
        <w:t>Is Virtue Ethics Self-Effacing?</w:t>
      </w:r>
      <w:r w:rsidR="00730CCF" w:rsidRPr="0059687C">
        <w:rPr>
          <w:rFonts w:ascii="Arial" w:eastAsia="Times New Roman" w:hAnsi="Arial" w:cs="Arial"/>
          <w:color w:val="000000" w:themeColor="text1"/>
          <w:kern w:val="36"/>
          <w:sz w:val="16"/>
          <w:szCs w:val="16"/>
          <w:lang w:eastAsia="en-GB"/>
          <w14:ligatures w14:val="none"/>
        </w:rPr>
        <w:fldChar w:fldCharType="end"/>
      </w:r>
      <w:r w:rsidRPr="0059687C">
        <w:rPr>
          <w:rFonts w:ascii="Arial" w:hAnsi="Arial" w:cs="Arial"/>
          <w:color w:val="000000" w:themeColor="text1"/>
          <w:sz w:val="16"/>
          <w:szCs w:val="16"/>
        </w:rPr>
        <w:t xml:space="preserve"> </w:t>
      </w:r>
      <w:hyperlink r:id="rId2" w:history="1">
        <w:r w:rsidRPr="0059687C">
          <w:rPr>
            <w:rStyle w:val="Hyperlink"/>
            <w:rFonts w:ascii="Arial" w:hAnsi="Arial" w:cs="Arial"/>
            <w:i/>
            <w:iCs/>
            <w:color w:val="000000" w:themeColor="text1"/>
            <w:sz w:val="16"/>
            <w:szCs w:val="16"/>
            <w:u w:val="none"/>
          </w:rPr>
          <w:t>The Journal of Ethics</w:t>
        </w:r>
      </w:hyperlink>
      <w:r w:rsidRPr="0059687C">
        <w:rPr>
          <w:rFonts w:ascii="Arial" w:hAnsi="Arial" w:cs="Arial"/>
          <w:color w:val="000000" w:themeColor="text1"/>
          <w:sz w:val="16"/>
          <w:szCs w:val="16"/>
          <w:shd w:val="clear" w:color="auto" w:fill="FFFFFF"/>
        </w:rPr>
        <w:t> </w:t>
      </w:r>
      <w:r w:rsidR="00730CCF" w:rsidRPr="0059687C">
        <w:rPr>
          <w:rFonts w:ascii="Arial" w:hAnsi="Arial" w:cs="Arial"/>
          <w:color w:val="000000" w:themeColor="text1"/>
          <w:sz w:val="16"/>
          <w:szCs w:val="16"/>
          <w:shd w:val="clear" w:color="auto" w:fill="FFFFFF"/>
        </w:rPr>
        <w:t xml:space="preserve">(2011) </w:t>
      </w:r>
      <w:r w:rsidRPr="0059687C">
        <w:rPr>
          <w:rFonts w:ascii="Arial" w:hAnsi="Arial" w:cs="Arial"/>
          <w:color w:val="000000" w:themeColor="text1"/>
          <w:sz w:val="16"/>
          <w:szCs w:val="16"/>
          <w:shd w:val="clear" w:color="auto" w:fill="FFFFFF"/>
        </w:rPr>
        <w:t>15 (3):191-207</w:t>
      </w:r>
      <w:r w:rsidR="00241219" w:rsidRPr="0059687C">
        <w:rPr>
          <w:rFonts w:ascii="Arial" w:hAnsi="Arial" w:cs="Arial"/>
          <w:color w:val="000000" w:themeColor="text1"/>
          <w:sz w:val="16"/>
          <w:szCs w:val="16"/>
          <w:shd w:val="clear" w:color="auto" w:fill="FFFFFF"/>
        </w:rPr>
        <w:t>.</w:t>
      </w:r>
      <w:r w:rsidR="00B96292" w:rsidRPr="0059687C">
        <w:rPr>
          <w:rFonts w:ascii="Arial" w:hAnsi="Arial" w:cs="Arial"/>
          <w:color w:val="000000" w:themeColor="text1"/>
          <w:sz w:val="16"/>
          <w:szCs w:val="16"/>
        </w:rPr>
        <w:t xml:space="preserve"> </w:t>
      </w:r>
      <w:r w:rsidR="00B96292" w:rsidRPr="0059687C">
        <w:rPr>
          <w:rFonts w:ascii="Arial" w:hAnsi="Arial" w:cs="Arial"/>
          <w:color w:val="000000" w:themeColor="text1"/>
          <w:sz w:val="16"/>
          <w:szCs w:val="16"/>
        </w:rPr>
        <w:t>For various uses of “Self-Effacement” see Pettigrove</w:t>
      </w:r>
      <w:r w:rsidR="00A76252" w:rsidRPr="0059687C">
        <w:rPr>
          <w:rFonts w:ascii="Arial" w:hAnsi="Arial" w:cs="Arial"/>
          <w:color w:val="000000" w:themeColor="text1"/>
          <w:sz w:val="16"/>
          <w:szCs w:val="16"/>
        </w:rPr>
        <w:t xml:space="preserve"> (2011)</w:t>
      </w:r>
      <w:r w:rsidR="00B96292" w:rsidRPr="0059687C">
        <w:rPr>
          <w:rFonts w:ascii="Arial" w:hAnsi="Arial" w:cs="Arial"/>
          <w:color w:val="000000" w:themeColor="text1"/>
          <w:sz w:val="16"/>
          <w:szCs w:val="16"/>
        </w:rPr>
        <w:t>.</w:t>
      </w:r>
    </w:p>
  </w:footnote>
  <w:footnote w:id="48">
    <w:p w14:paraId="115E8243" w14:textId="038BB018" w:rsidR="006B12DE" w:rsidRPr="0059687C" w:rsidRDefault="006B12DE" w:rsidP="0059687C">
      <w:pPr>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B96292" w:rsidRPr="0059687C">
        <w:rPr>
          <w:rFonts w:ascii="Arial" w:hAnsi="Arial" w:cs="Arial"/>
          <w:color w:val="000000" w:themeColor="text1"/>
          <w:sz w:val="16"/>
          <w:szCs w:val="16"/>
        </w:rPr>
        <w:t xml:space="preserve">D. Cox, ‘Agent-Based theories of right action’, </w:t>
      </w:r>
      <w:r w:rsidR="00B96292" w:rsidRPr="0059687C">
        <w:rPr>
          <w:rFonts w:ascii="Arial" w:hAnsi="Arial" w:cs="Arial"/>
          <w:i/>
          <w:iCs/>
          <w:color w:val="000000" w:themeColor="text1"/>
          <w:sz w:val="16"/>
          <w:szCs w:val="16"/>
        </w:rPr>
        <w:t xml:space="preserve">Ethical Theory and Moral Practice </w:t>
      </w:r>
      <w:r w:rsidR="00B96292" w:rsidRPr="0059687C">
        <w:rPr>
          <w:rFonts w:ascii="Arial" w:hAnsi="Arial" w:cs="Arial"/>
          <w:color w:val="000000" w:themeColor="text1"/>
          <w:sz w:val="16"/>
          <w:szCs w:val="16"/>
        </w:rPr>
        <w:t>(2006) 9(5): 505 – 515.</w:t>
      </w:r>
    </w:p>
  </w:footnote>
  <w:footnote w:id="49">
    <w:p w14:paraId="683BE6DF" w14:textId="59943583" w:rsidR="00283BA0" w:rsidRPr="0059687C" w:rsidRDefault="00283BA0"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B96292" w:rsidRPr="0059687C">
        <w:rPr>
          <w:rFonts w:ascii="Arial" w:hAnsi="Arial" w:cs="Arial"/>
          <w:color w:val="000000" w:themeColor="text1"/>
          <w:sz w:val="16"/>
          <w:szCs w:val="16"/>
        </w:rPr>
        <w:t xml:space="preserve">G. Pettigrove (2011); </w:t>
      </w:r>
      <w:r w:rsidR="00B96292" w:rsidRPr="0059687C">
        <w:rPr>
          <w:rFonts w:ascii="Arial" w:eastAsia="Times New Roman" w:hAnsi="Arial" w:cs="Arial"/>
          <w:color w:val="000000" w:themeColor="text1"/>
          <w:kern w:val="0"/>
          <w:sz w:val="16"/>
          <w:szCs w:val="16"/>
          <w:lang w:eastAsia="en-GB"/>
          <w14:ligatures w14:val="none"/>
        </w:rPr>
        <w:t>L</w:t>
      </w:r>
      <w:r w:rsidR="00B96292" w:rsidRPr="0059687C">
        <w:rPr>
          <w:rFonts w:ascii="Arial" w:hAnsi="Arial" w:cs="Arial"/>
          <w:color w:val="000000" w:themeColor="text1"/>
          <w:sz w:val="16"/>
          <w:szCs w:val="16"/>
        </w:rPr>
        <w:t>.</w:t>
      </w:r>
      <w:r w:rsidR="00B96292" w:rsidRPr="0059687C">
        <w:rPr>
          <w:rFonts w:ascii="Arial" w:eastAsia="Times New Roman" w:hAnsi="Arial" w:cs="Arial"/>
          <w:color w:val="000000" w:themeColor="text1"/>
          <w:kern w:val="0"/>
          <w:sz w:val="16"/>
          <w:szCs w:val="16"/>
          <w:lang w:eastAsia="en-GB"/>
          <w14:ligatures w14:val="none"/>
        </w:rPr>
        <w:t xml:space="preserve"> Besser-Jones, ‘Two Objections to Virtue Ethics</w:t>
      </w:r>
      <w:r w:rsidR="00B96292" w:rsidRPr="0059687C">
        <w:rPr>
          <w:rFonts w:ascii="Arial" w:hAnsi="Arial" w:cs="Arial"/>
          <w:color w:val="000000" w:themeColor="text1"/>
          <w:sz w:val="16"/>
          <w:szCs w:val="16"/>
        </w:rPr>
        <w:t>’</w:t>
      </w:r>
      <w:r w:rsidR="00B96292" w:rsidRPr="0059687C">
        <w:rPr>
          <w:rFonts w:ascii="Arial" w:eastAsia="Times New Roman" w:hAnsi="Arial" w:cs="Arial"/>
          <w:color w:val="000000" w:themeColor="text1"/>
          <w:kern w:val="0"/>
          <w:sz w:val="16"/>
          <w:szCs w:val="16"/>
          <w:lang w:eastAsia="en-GB"/>
          <w14:ligatures w14:val="none"/>
        </w:rPr>
        <w:t xml:space="preserve"> </w:t>
      </w:r>
      <w:r w:rsidR="00B96292" w:rsidRPr="0059687C">
        <w:rPr>
          <w:rFonts w:ascii="Arial" w:eastAsia="Times New Roman" w:hAnsi="Arial" w:cs="Arial"/>
          <w:i/>
          <w:iCs/>
          <w:color w:val="000000" w:themeColor="text1"/>
          <w:kern w:val="0"/>
          <w:sz w:val="16"/>
          <w:szCs w:val="16"/>
          <w:lang w:eastAsia="en-GB"/>
          <w14:ligatures w14:val="none"/>
        </w:rPr>
        <w:t>Etica and Politica</w:t>
      </w:r>
      <w:r w:rsidR="00B96292" w:rsidRPr="0059687C">
        <w:rPr>
          <w:rFonts w:ascii="Arial" w:eastAsia="Times New Roman" w:hAnsi="Arial" w:cs="Arial"/>
          <w:color w:val="000000" w:themeColor="text1"/>
          <w:kern w:val="0"/>
          <w:sz w:val="16"/>
          <w:szCs w:val="16"/>
          <w:lang w:eastAsia="en-GB"/>
          <w14:ligatures w14:val="none"/>
        </w:rPr>
        <w:t>/</w:t>
      </w:r>
      <w:r w:rsidR="00B96292" w:rsidRPr="0059687C">
        <w:rPr>
          <w:rFonts w:ascii="Arial" w:eastAsia="Times New Roman" w:hAnsi="Arial" w:cs="Arial"/>
          <w:i/>
          <w:iCs/>
          <w:color w:val="000000" w:themeColor="text1"/>
          <w:kern w:val="0"/>
          <w:sz w:val="16"/>
          <w:szCs w:val="16"/>
          <w:lang w:eastAsia="en-GB"/>
          <w14:ligatures w14:val="none"/>
        </w:rPr>
        <w:t>Ethics and Politics</w:t>
      </w:r>
      <w:r w:rsidR="00B96292" w:rsidRPr="0059687C">
        <w:rPr>
          <w:rFonts w:ascii="Arial" w:eastAsia="Times New Roman" w:hAnsi="Arial" w:cs="Arial"/>
          <w:color w:val="000000" w:themeColor="text1"/>
          <w:kern w:val="0"/>
          <w:sz w:val="16"/>
          <w:szCs w:val="16"/>
          <w:lang w:eastAsia="en-GB"/>
          <w14:ligatures w14:val="none"/>
        </w:rPr>
        <w:t xml:space="preserve"> XVII </w:t>
      </w:r>
      <w:r w:rsidR="00B96292" w:rsidRPr="0059687C">
        <w:rPr>
          <w:rFonts w:ascii="Arial" w:eastAsia="Times New Roman" w:hAnsi="Arial" w:cs="Arial"/>
          <w:color w:val="000000" w:themeColor="text1"/>
          <w:kern w:val="0"/>
          <w:sz w:val="16"/>
          <w:szCs w:val="16"/>
          <w:lang w:eastAsia="en-GB"/>
          <w14:ligatures w14:val="none"/>
        </w:rPr>
        <w:t>(</w:t>
      </w:r>
      <w:r w:rsidR="00B96292" w:rsidRPr="0059687C">
        <w:rPr>
          <w:rFonts w:ascii="Arial" w:eastAsia="Times New Roman" w:hAnsi="Arial" w:cs="Arial"/>
          <w:color w:val="000000" w:themeColor="text1"/>
          <w:kern w:val="0"/>
          <w:sz w:val="16"/>
          <w:szCs w:val="16"/>
          <w:lang w:eastAsia="en-GB"/>
          <w14:ligatures w14:val="none"/>
        </w:rPr>
        <w:t>2015</w:t>
      </w:r>
      <w:r w:rsidR="00B96292" w:rsidRPr="0059687C">
        <w:rPr>
          <w:rFonts w:ascii="Arial" w:eastAsia="Times New Roman" w:hAnsi="Arial" w:cs="Arial"/>
          <w:color w:val="000000" w:themeColor="text1"/>
          <w:kern w:val="0"/>
          <w:sz w:val="16"/>
          <w:szCs w:val="16"/>
          <w:lang w:eastAsia="en-GB"/>
          <w14:ligatures w14:val="none"/>
        </w:rPr>
        <w:t>)</w:t>
      </w:r>
      <w:r w:rsidR="00B96292" w:rsidRPr="0059687C">
        <w:rPr>
          <w:rFonts w:ascii="Arial" w:eastAsia="Times New Roman" w:hAnsi="Arial" w:cs="Arial"/>
          <w:color w:val="000000" w:themeColor="text1"/>
          <w:kern w:val="0"/>
          <w:sz w:val="16"/>
          <w:szCs w:val="16"/>
          <w:lang w:eastAsia="en-GB"/>
          <w14:ligatures w14:val="none"/>
        </w:rPr>
        <w:t xml:space="preserve"> 2</w:t>
      </w:r>
      <w:r w:rsidR="00B96292" w:rsidRPr="0059687C">
        <w:rPr>
          <w:rFonts w:ascii="Arial" w:eastAsia="Times New Roman" w:hAnsi="Arial" w:cs="Arial"/>
          <w:color w:val="000000" w:themeColor="text1"/>
          <w:kern w:val="0"/>
          <w:sz w:val="16"/>
          <w:szCs w:val="16"/>
          <w:lang w:eastAsia="en-GB"/>
          <w14:ligatures w14:val="none"/>
        </w:rPr>
        <w:t xml:space="preserve"> </w:t>
      </w:r>
      <w:r w:rsidR="00B96292" w:rsidRPr="0059687C">
        <w:rPr>
          <w:rFonts w:ascii="Arial" w:eastAsia="Times New Roman" w:hAnsi="Arial" w:cs="Arial"/>
          <w:color w:val="000000" w:themeColor="text1"/>
          <w:kern w:val="0"/>
          <w:sz w:val="16"/>
          <w:szCs w:val="16"/>
          <w:lang w:eastAsia="en-GB"/>
          <w14:ligatures w14:val="none"/>
        </w:rPr>
        <w:t xml:space="preserve"> 60 -73</w:t>
      </w:r>
      <w:r w:rsidR="00B96292" w:rsidRPr="0059687C">
        <w:rPr>
          <w:rFonts w:ascii="Arial" w:eastAsia="Times New Roman" w:hAnsi="Arial" w:cs="Arial"/>
          <w:color w:val="000000" w:themeColor="text1"/>
          <w:kern w:val="0"/>
          <w:sz w:val="16"/>
          <w:szCs w:val="16"/>
          <w:lang w:eastAsia="en-GB"/>
          <w14:ligatures w14:val="none"/>
        </w:rPr>
        <w:t xml:space="preserve">; </w:t>
      </w:r>
      <w:r w:rsidR="00B96292" w:rsidRPr="0059687C">
        <w:rPr>
          <w:rFonts w:ascii="Arial" w:hAnsi="Arial" w:cs="Arial"/>
          <w:color w:val="000000" w:themeColor="text1"/>
          <w:sz w:val="16"/>
          <w:szCs w:val="16"/>
        </w:rPr>
        <w:t>J.  Hacker Wright (2010) 218 – 219.</w:t>
      </w:r>
    </w:p>
  </w:footnote>
  <w:footnote w:id="50">
    <w:p w14:paraId="71D64CB2" w14:textId="0634D979" w:rsidR="00E35E0D" w:rsidRPr="00EC0837" w:rsidRDefault="00E35E0D" w:rsidP="00EC0837">
      <w:pPr>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w:t>
      </w:r>
      <w:r w:rsidR="00B96292" w:rsidRPr="0059687C">
        <w:rPr>
          <w:rFonts w:ascii="Arial" w:hAnsi="Arial" w:cs="Arial"/>
          <w:color w:val="000000" w:themeColor="text1"/>
          <w:sz w:val="16"/>
          <w:szCs w:val="16"/>
        </w:rPr>
        <w:t>Annas (2004)</w:t>
      </w:r>
      <w:r w:rsidR="00A76252" w:rsidRPr="0059687C">
        <w:rPr>
          <w:rFonts w:ascii="Arial" w:hAnsi="Arial" w:cs="Arial"/>
          <w:color w:val="000000" w:themeColor="text1"/>
          <w:sz w:val="16"/>
          <w:szCs w:val="16"/>
        </w:rPr>
        <w:t xml:space="preserve">; N. </w:t>
      </w:r>
      <w:r w:rsidR="00A76252" w:rsidRPr="0059687C">
        <w:rPr>
          <w:rFonts w:ascii="Arial" w:hAnsi="Arial" w:cs="Arial"/>
          <w:color w:val="000000" w:themeColor="text1"/>
          <w:sz w:val="16"/>
          <w:szCs w:val="16"/>
          <w:shd w:val="clear" w:color="auto" w:fill="FFFFFF"/>
        </w:rPr>
        <w:t xml:space="preserve">Schuster </w:t>
      </w:r>
      <w:r w:rsidR="00A76252" w:rsidRPr="0059687C">
        <w:rPr>
          <w:rFonts w:ascii="Arial" w:hAnsi="Arial" w:cs="Arial"/>
          <w:color w:val="000000" w:themeColor="text1"/>
          <w:sz w:val="16"/>
          <w:szCs w:val="16"/>
          <w:shd w:val="clear" w:color="auto" w:fill="FFFFFF"/>
        </w:rPr>
        <w:t>‘</w:t>
      </w:r>
      <w:r w:rsidR="00A76252" w:rsidRPr="0059687C">
        <w:rPr>
          <w:rFonts w:ascii="Arial" w:hAnsi="Arial" w:cs="Arial"/>
          <w:color w:val="000000" w:themeColor="text1"/>
          <w:sz w:val="16"/>
          <w:szCs w:val="16"/>
          <w:shd w:val="clear" w:color="auto" w:fill="FFFFFF"/>
        </w:rPr>
        <w:t>The Skill Model: A Dilemma for Virtue Ethics</w:t>
      </w:r>
      <w:r w:rsidR="00A76252" w:rsidRPr="0059687C">
        <w:rPr>
          <w:rFonts w:ascii="Arial" w:hAnsi="Arial" w:cs="Arial"/>
          <w:color w:val="000000" w:themeColor="text1"/>
          <w:sz w:val="16"/>
          <w:szCs w:val="16"/>
          <w:shd w:val="clear" w:color="auto" w:fill="FFFFFF"/>
        </w:rPr>
        <w:t xml:space="preserve">’ </w:t>
      </w:r>
      <w:r w:rsidR="00A76252" w:rsidRPr="0059687C">
        <w:rPr>
          <w:rFonts w:ascii="Arial" w:hAnsi="Arial" w:cs="Arial"/>
          <w:i/>
          <w:iCs/>
          <w:color w:val="000000" w:themeColor="text1"/>
          <w:sz w:val="16"/>
          <w:szCs w:val="16"/>
          <w:shd w:val="clear" w:color="auto" w:fill="FFFFFF"/>
        </w:rPr>
        <w:t>Ethic</w:t>
      </w:r>
      <w:r w:rsidR="00A76252" w:rsidRPr="0059687C">
        <w:rPr>
          <w:rFonts w:ascii="Arial" w:hAnsi="Arial" w:cs="Arial"/>
          <w:i/>
          <w:iCs/>
          <w:color w:val="000000" w:themeColor="text1"/>
          <w:sz w:val="16"/>
          <w:szCs w:val="16"/>
          <w:shd w:val="clear" w:color="auto" w:fill="FFFFFF"/>
        </w:rPr>
        <w:t>al</w:t>
      </w:r>
      <w:r w:rsidR="00A76252" w:rsidRPr="0059687C">
        <w:rPr>
          <w:rFonts w:ascii="Arial" w:hAnsi="Arial" w:cs="Arial"/>
          <w:i/>
          <w:iCs/>
          <w:color w:val="000000" w:themeColor="text1"/>
          <w:sz w:val="16"/>
          <w:szCs w:val="16"/>
          <w:shd w:val="clear" w:color="auto" w:fill="FFFFFF"/>
        </w:rPr>
        <w:t xml:space="preserve"> Theory Moral Prac</w:t>
      </w:r>
      <w:r w:rsidR="00A76252" w:rsidRPr="0059687C">
        <w:rPr>
          <w:rFonts w:ascii="Arial" w:hAnsi="Arial" w:cs="Arial"/>
          <w:i/>
          <w:iCs/>
          <w:color w:val="000000" w:themeColor="text1"/>
          <w:sz w:val="16"/>
          <w:szCs w:val="16"/>
          <w:shd w:val="clear" w:color="auto" w:fill="FFFFFF"/>
        </w:rPr>
        <w:t xml:space="preserve">tice </w:t>
      </w:r>
      <w:r w:rsidR="00A76252" w:rsidRPr="0059687C">
        <w:rPr>
          <w:rFonts w:ascii="Arial" w:hAnsi="Arial" w:cs="Arial"/>
          <w:color w:val="000000" w:themeColor="text1"/>
          <w:sz w:val="16"/>
          <w:szCs w:val="16"/>
          <w:shd w:val="clear" w:color="auto" w:fill="FFFFFF"/>
        </w:rPr>
        <w:t>(2023)</w:t>
      </w:r>
      <w:r w:rsidR="00A76252" w:rsidRPr="0059687C">
        <w:rPr>
          <w:rFonts w:ascii="Arial" w:hAnsi="Arial" w:cs="Arial"/>
          <w:color w:val="000000" w:themeColor="text1"/>
          <w:sz w:val="16"/>
          <w:szCs w:val="16"/>
          <w:shd w:val="clear" w:color="auto" w:fill="FFFFFF"/>
        </w:rPr>
        <w:t> </w:t>
      </w:r>
      <w:r w:rsidR="00A76252" w:rsidRPr="0059687C">
        <w:rPr>
          <w:rFonts w:ascii="Arial" w:hAnsi="Arial" w:cs="Arial"/>
          <w:b/>
          <w:bCs/>
          <w:color w:val="000000" w:themeColor="text1"/>
          <w:sz w:val="16"/>
          <w:szCs w:val="16"/>
          <w:shd w:val="clear" w:color="auto" w:fill="FFFFFF"/>
        </w:rPr>
        <w:t>26</w:t>
      </w:r>
      <w:r w:rsidR="00A76252" w:rsidRPr="0059687C">
        <w:rPr>
          <w:rFonts w:ascii="Arial" w:hAnsi="Arial" w:cs="Arial"/>
          <w:color w:val="000000" w:themeColor="text1"/>
          <w:sz w:val="16"/>
          <w:szCs w:val="16"/>
          <w:shd w:val="clear" w:color="auto" w:fill="FFFFFF"/>
        </w:rPr>
        <w:t>, 447–461</w:t>
      </w:r>
      <w:r w:rsidR="00A76252" w:rsidRPr="0059687C">
        <w:rPr>
          <w:rFonts w:ascii="Arial" w:hAnsi="Arial" w:cs="Arial"/>
          <w:color w:val="000000" w:themeColor="text1"/>
          <w:sz w:val="16"/>
          <w:szCs w:val="16"/>
          <w:shd w:val="clear" w:color="auto" w:fill="FFFFFF"/>
        </w:rPr>
        <w:t xml:space="preserve">. </w:t>
      </w:r>
      <w:r w:rsidR="00A76252" w:rsidRPr="0059687C">
        <w:rPr>
          <w:rFonts w:ascii="Arial" w:hAnsi="Arial" w:cs="Arial"/>
          <w:color w:val="000000" w:themeColor="text1"/>
          <w:sz w:val="16"/>
          <w:szCs w:val="16"/>
          <w:shd w:val="clear" w:color="auto" w:fill="FFFFFF"/>
        </w:rPr>
        <w:t>https://doi.org/10.1007/s10677-023-10380-6</w:t>
      </w:r>
      <w:r w:rsidR="0059687C" w:rsidRPr="0059687C">
        <w:rPr>
          <w:rFonts w:ascii="Arial" w:hAnsi="Arial" w:cs="Arial"/>
          <w:color w:val="000000" w:themeColor="text1"/>
          <w:sz w:val="16"/>
          <w:szCs w:val="16"/>
          <w:shd w:val="clear" w:color="auto" w:fill="FFFFFF"/>
        </w:rPr>
        <w:t>.</w:t>
      </w:r>
    </w:p>
  </w:footnote>
  <w:footnote w:id="51">
    <w:p w14:paraId="1164CDAF" w14:textId="578293D2" w:rsidR="00A76252" w:rsidRPr="0059687C" w:rsidRDefault="00A76252" w:rsidP="0059687C">
      <w:pPr>
        <w:pStyle w:val="FootnoteText"/>
        <w:jc w:val="both"/>
        <w:rPr>
          <w:rFonts w:ascii="Arial" w:hAnsi="Arial" w:cs="Arial"/>
          <w:color w:val="000000" w:themeColor="text1"/>
          <w:sz w:val="16"/>
          <w:szCs w:val="16"/>
        </w:rPr>
      </w:pPr>
      <w:r w:rsidRPr="0059687C">
        <w:rPr>
          <w:rStyle w:val="FootnoteReference"/>
          <w:rFonts w:ascii="Arial" w:hAnsi="Arial" w:cs="Arial"/>
          <w:color w:val="000000" w:themeColor="text1"/>
          <w:sz w:val="16"/>
          <w:szCs w:val="16"/>
        </w:rPr>
        <w:footnoteRef/>
      </w:r>
      <w:r w:rsidRPr="0059687C">
        <w:rPr>
          <w:rFonts w:ascii="Arial" w:hAnsi="Arial" w:cs="Arial"/>
          <w:color w:val="000000" w:themeColor="text1"/>
          <w:sz w:val="16"/>
          <w:szCs w:val="16"/>
        </w:rPr>
        <w:t xml:space="preserve"> Hursthouse (2023) Chapter 3. </w:t>
      </w:r>
    </w:p>
  </w:footnote>
  <w:footnote w:id="52">
    <w:p w14:paraId="2FA162F2" w14:textId="01196227" w:rsidR="00F82FB2" w:rsidRPr="002C16AB" w:rsidRDefault="00F82FB2" w:rsidP="002C16AB">
      <w:pPr>
        <w:pStyle w:val="FootnoteText"/>
        <w:jc w:val="both"/>
        <w:rPr>
          <w:rFonts w:ascii="Arial" w:hAnsi="Arial" w:cs="Arial"/>
          <w:color w:val="000000" w:themeColor="text1"/>
          <w:sz w:val="16"/>
          <w:szCs w:val="16"/>
        </w:rPr>
      </w:pPr>
      <w:r w:rsidRPr="002C16AB">
        <w:rPr>
          <w:rStyle w:val="FootnoteReference"/>
          <w:rFonts w:ascii="Arial" w:hAnsi="Arial" w:cs="Arial"/>
          <w:color w:val="000000" w:themeColor="text1"/>
          <w:sz w:val="16"/>
          <w:szCs w:val="16"/>
        </w:rPr>
        <w:footnoteRef/>
      </w:r>
      <w:r w:rsidRPr="002C16AB">
        <w:rPr>
          <w:rFonts w:ascii="Arial" w:hAnsi="Arial" w:cs="Arial"/>
          <w:color w:val="000000" w:themeColor="text1"/>
          <w:sz w:val="16"/>
          <w:szCs w:val="16"/>
        </w:rPr>
        <w:t xml:space="preserve"> </w:t>
      </w:r>
      <w:r w:rsidRPr="002C16AB">
        <w:rPr>
          <w:rFonts w:ascii="Arial" w:hAnsi="Arial" w:cs="Arial"/>
          <w:color w:val="000000" w:themeColor="text1"/>
          <w:sz w:val="16"/>
          <w:szCs w:val="16"/>
        </w:rPr>
        <w:t>Svensson and Johansson (2017) 507.</w:t>
      </w:r>
    </w:p>
  </w:footnote>
  <w:footnote w:id="53">
    <w:p w14:paraId="4E07E71B" w14:textId="707EC244" w:rsidR="00A76252" w:rsidRPr="002C16AB" w:rsidRDefault="00A76252" w:rsidP="002C16AB">
      <w:pPr>
        <w:pStyle w:val="FootnoteText"/>
        <w:jc w:val="both"/>
        <w:rPr>
          <w:rFonts w:ascii="Arial" w:hAnsi="Arial" w:cs="Arial"/>
          <w:color w:val="000000" w:themeColor="text1"/>
          <w:sz w:val="16"/>
          <w:szCs w:val="16"/>
        </w:rPr>
      </w:pPr>
      <w:r w:rsidRPr="002C16AB">
        <w:rPr>
          <w:rStyle w:val="FootnoteReference"/>
          <w:rFonts w:ascii="Arial" w:hAnsi="Arial" w:cs="Arial"/>
          <w:color w:val="000000" w:themeColor="text1"/>
          <w:sz w:val="16"/>
          <w:szCs w:val="16"/>
        </w:rPr>
        <w:footnoteRef/>
      </w:r>
      <w:r w:rsidRPr="002C16AB">
        <w:rPr>
          <w:rFonts w:ascii="Arial" w:hAnsi="Arial" w:cs="Arial"/>
          <w:color w:val="000000" w:themeColor="text1"/>
          <w:sz w:val="16"/>
          <w:szCs w:val="16"/>
        </w:rPr>
        <w:t xml:space="preserve"> Leibowitz (2009) 351.</w:t>
      </w:r>
    </w:p>
  </w:footnote>
  <w:footnote w:id="54">
    <w:p w14:paraId="7CE8FDD4" w14:textId="18B9DDDE" w:rsidR="00882CC8" w:rsidRPr="002C16AB" w:rsidRDefault="00882CC8" w:rsidP="002C16AB">
      <w:pPr>
        <w:pStyle w:val="FootnoteText"/>
        <w:jc w:val="both"/>
        <w:rPr>
          <w:rFonts w:ascii="Arial" w:hAnsi="Arial" w:cs="Arial"/>
          <w:color w:val="000000" w:themeColor="text1"/>
          <w:sz w:val="16"/>
          <w:szCs w:val="16"/>
        </w:rPr>
      </w:pPr>
      <w:r w:rsidRPr="002C16AB">
        <w:rPr>
          <w:rStyle w:val="FootnoteReference"/>
          <w:rFonts w:ascii="Arial" w:hAnsi="Arial" w:cs="Arial"/>
          <w:color w:val="000000" w:themeColor="text1"/>
          <w:sz w:val="16"/>
          <w:szCs w:val="16"/>
        </w:rPr>
        <w:footnoteRef/>
      </w:r>
      <w:r w:rsidRPr="002C16AB">
        <w:rPr>
          <w:rFonts w:ascii="Arial" w:hAnsi="Arial" w:cs="Arial"/>
          <w:color w:val="000000" w:themeColor="text1"/>
          <w:sz w:val="16"/>
          <w:szCs w:val="16"/>
        </w:rPr>
        <w:t xml:space="preserve"> </w:t>
      </w:r>
      <w:r w:rsidR="00F82FB2" w:rsidRPr="002C16AB">
        <w:rPr>
          <w:rFonts w:ascii="Arial" w:hAnsi="Arial" w:cs="Arial"/>
          <w:color w:val="000000" w:themeColor="text1"/>
          <w:sz w:val="16"/>
          <w:szCs w:val="16"/>
        </w:rPr>
        <w:t xml:space="preserve">Svensson and Johansson (2017) 507. </w:t>
      </w:r>
    </w:p>
  </w:footnote>
  <w:footnote w:id="55">
    <w:p w14:paraId="292A5A24" w14:textId="4B824A1F" w:rsidR="00F82FB2" w:rsidRPr="002C16AB" w:rsidRDefault="00F82FB2" w:rsidP="002C16AB">
      <w:pPr>
        <w:pStyle w:val="FootnoteText"/>
        <w:jc w:val="both"/>
        <w:rPr>
          <w:rFonts w:ascii="Arial" w:hAnsi="Arial" w:cs="Arial"/>
          <w:color w:val="000000" w:themeColor="text1"/>
          <w:sz w:val="16"/>
          <w:szCs w:val="16"/>
        </w:rPr>
      </w:pPr>
      <w:r w:rsidRPr="002C16AB">
        <w:rPr>
          <w:rStyle w:val="FootnoteReference"/>
          <w:rFonts w:ascii="Arial" w:hAnsi="Arial" w:cs="Arial"/>
          <w:color w:val="000000" w:themeColor="text1"/>
          <w:sz w:val="16"/>
          <w:szCs w:val="16"/>
        </w:rPr>
        <w:footnoteRef/>
      </w:r>
      <w:r w:rsidRPr="002C16AB">
        <w:rPr>
          <w:rFonts w:ascii="Arial" w:hAnsi="Arial" w:cs="Arial"/>
          <w:color w:val="000000" w:themeColor="text1"/>
          <w:sz w:val="16"/>
          <w:szCs w:val="16"/>
        </w:rPr>
        <w:t xml:space="preserve"> </w:t>
      </w:r>
      <w:r w:rsidR="00F92BED" w:rsidRPr="002C16AB">
        <w:rPr>
          <w:rFonts w:ascii="Arial" w:hAnsi="Arial" w:cs="Arial"/>
          <w:color w:val="000000" w:themeColor="text1"/>
          <w:sz w:val="16"/>
          <w:szCs w:val="16"/>
        </w:rPr>
        <w:t xml:space="preserve">N. Snow </w:t>
      </w:r>
      <w:r w:rsidR="00F92BED" w:rsidRPr="002C16AB">
        <w:rPr>
          <w:rFonts w:ascii="Arial" w:hAnsi="Arial" w:cs="Arial"/>
          <w:i/>
          <w:iCs/>
          <w:color w:val="000000" w:themeColor="text1"/>
          <w:sz w:val="16"/>
          <w:szCs w:val="16"/>
        </w:rPr>
        <w:t xml:space="preserve">Virtue as Social Intelligence: An Empirically Grounded Theory </w:t>
      </w:r>
      <w:r w:rsidR="00F92BED" w:rsidRPr="002C16AB">
        <w:rPr>
          <w:rFonts w:ascii="Arial" w:hAnsi="Arial" w:cs="Arial"/>
          <w:color w:val="000000" w:themeColor="text1"/>
          <w:sz w:val="16"/>
          <w:szCs w:val="16"/>
        </w:rPr>
        <w:t>(NY: Routledge, 2010).</w:t>
      </w:r>
    </w:p>
  </w:footnote>
  <w:footnote w:id="56">
    <w:p w14:paraId="6097F974" w14:textId="77777777" w:rsidR="0059687C" w:rsidRPr="002C16AB" w:rsidRDefault="00F92BED" w:rsidP="002C16AB">
      <w:pPr>
        <w:pStyle w:val="FootnoteText"/>
        <w:jc w:val="both"/>
        <w:rPr>
          <w:rStyle w:val="apple-converted-space"/>
          <w:rFonts w:ascii="Arial" w:hAnsi="Arial" w:cs="Arial"/>
          <w:color w:val="000000" w:themeColor="text1"/>
          <w:sz w:val="16"/>
          <w:szCs w:val="16"/>
          <w:bdr w:val="none" w:sz="0" w:space="0" w:color="auto" w:frame="1"/>
        </w:rPr>
      </w:pPr>
      <w:r w:rsidRPr="002C16AB">
        <w:rPr>
          <w:rStyle w:val="FootnoteReference"/>
          <w:rFonts w:ascii="Arial" w:hAnsi="Arial" w:cs="Arial"/>
          <w:color w:val="000000" w:themeColor="text1"/>
          <w:sz w:val="16"/>
          <w:szCs w:val="16"/>
        </w:rPr>
        <w:footnoteRef/>
      </w:r>
      <w:r w:rsidRPr="002C16AB">
        <w:rPr>
          <w:rFonts w:ascii="Arial" w:hAnsi="Arial" w:cs="Arial"/>
          <w:color w:val="000000" w:themeColor="text1"/>
          <w:sz w:val="16"/>
          <w:szCs w:val="16"/>
        </w:rPr>
        <w:t xml:space="preserve"> </w:t>
      </w:r>
      <w:r w:rsidRPr="002C16AB">
        <w:rPr>
          <w:rFonts w:ascii="Arial" w:hAnsi="Arial" w:cs="Arial"/>
          <w:color w:val="000000" w:themeColor="text1"/>
          <w:sz w:val="16"/>
          <w:szCs w:val="16"/>
        </w:rPr>
        <w:t xml:space="preserve">D.C. </w:t>
      </w:r>
      <w:r w:rsidRPr="002C16AB">
        <w:rPr>
          <w:rStyle w:val="contributors"/>
          <w:rFonts w:ascii="Arial" w:hAnsi="Arial" w:cs="Arial"/>
          <w:color w:val="000000" w:themeColor="text1"/>
          <w:sz w:val="16"/>
          <w:szCs w:val="16"/>
          <w:bdr w:val="none" w:sz="0" w:space="0" w:color="auto" w:frame="1"/>
        </w:rPr>
        <w:t xml:space="preserve">Russell, </w:t>
      </w:r>
      <w:r w:rsidRPr="002C16AB">
        <w:rPr>
          <w:rStyle w:val="maintitle"/>
          <w:rFonts w:ascii="Arial" w:hAnsi="Arial" w:cs="Arial"/>
          <w:color w:val="000000" w:themeColor="text1"/>
          <w:sz w:val="16"/>
          <w:szCs w:val="16"/>
          <w:bdr w:val="none" w:sz="0" w:space="0" w:color="auto" w:frame="1"/>
        </w:rPr>
        <w:t>'Putting Ideals in Their Place'</w:t>
      </w:r>
      <w:r w:rsidRPr="002C16AB">
        <w:rPr>
          <w:rFonts w:ascii="Arial" w:hAnsi="Arial" w:cs="Arial"/>
          <w:color w:val="000000" w:themeColor="text1"/>
          <w:sz w:val="16"/>
          <w:szCs w:val="16"/>
          <w:shd w:val="clear" w:color="auto" w:fill="FFFFFF"/>
        </w:rPr>
        <w:t>,</w:t>
      </w:r>
      <w:r w:rsidRPr="002C16AB">
        <w:rPr>
          <w:rStyle w:val="apple-converted-space"/>
          <w:rFonts w:ascii="Arial" w:hAnsi="Arial" w:cs="Arial"/>
          <w:color w:val="000000" w:themeColor="text1"/>
          <w:sz w:val="16"/>
          <w:szCs w:val="16"/>
          <w:bdr w:val="none" w:sz="0" w:space="0" w:color="auto" w:frame="1"/>
        </w:rPr>
        <w:t> </w:t>
      </w:r>
      <w:r w:rsidRPr="002C16AB">
        <w:rPr>
          <w:rStyle w:val="editors"/>
          <w:rFonts w:ascii="Arial" w:hAnsi="Arial" w:cs="Arial"/>
          <w:color w:val="000000" w:themeColor="text1"/>
          <w:sz w:val="16"/>
          <w:szCs w:val="16"/>
          <w:bdr w:val="none" w:sz="0" w:space="0" w:color="auto" w:frame="1"/>
        </w:rPr>
        <w:t>in Nancy E. Snow (ed.)</w:t>
      </w:r>
      <w:r w:rsidRPr="002C16AB">
        <w:rPr>
          <w:rFonts w:ascii="Arial" w:hAnsi="Arial" w:cs="Arial"/>
          <w:color w:val="000000" w:themeColor="text1"/>
          <w:sz w:val="16"/>
          <w:szCs w:val="16"/>
          <w:shd w:val="clear" w:color="auto" w:fill="FFFFFF"/>
        </w:rPr>
        <w:t>,</w:t>
      </w:r>
      <w:r w:rsidRPr="002C16AB">
        <w:rPr>
          <w:rStyle w:val="apple-converted-space"/>
          <w:rFonts w:ascii="Arial" w:hAnsi="Arial" w:cs="Arial"/>
          <w:color w:val="000000" w:themeColor="text1"/>
          <w:sz w:val="16"/>
          <w:szCs w:val="16"/>
          <w:shd w:val="clear" w:color="auto" w:fill="FFFFFF"/>
        </w:rPr>
        <w:t> </w:t>
      </w:r>
      <w:r w:rsidRPr="002C16AB">
        <w:rPr>
          <w:rStyle w:val="Emphasis"/>
          <w:rFonts w:ascii="Arial" w:hAnsi="Arial" w:cs="Arial"/>
          <w:color w:val="000000" w:themeColor="text1"/>
          <w:sz w:val="16"/>
          <w:szCs w:val="16"/>
          <w:bdr w:val="none" w:sz="0" w:space="0" w:color="auto" w:frame="1"/>
        </w:rPr>
        <w:t>The Oxford Handbook of Virtue</w:t>
      </w:r>
      <w:r w:rsidRPr="002C16AB">
        <w:rPr>
          <w:rStyle w:val="series-title"/>
          <w:rFonts w:ascii="Arial" w:hAnsi="Arial" w:cs="Arial"/>
          <w:color w:val="000000" w:themeColor="text1"/>
          <w:sz w:val="16"/>
          <w:szCs w:val="16"/>
          <w:bdr w:val="none" w:sz="0" w:space="0" w:color="auto" w:frame="1"/>
        </w:rPr>
        <w:t>, OxfordHandbooks</w:t>
      </w:r>
      <w:r w:rsidRPr="002C16AB">
        <w:rPr>
          <w:rStyle w:val="apple-converted-space"/>
          <w:rFonts w:ascii="Arial" w:hAnsi="Arial" w:cs="Arial"/>
          <w:color w:val="000000" w:themeColor="text1"/>
          <w:sz w:val="16"/>
          <w:szCs w:val="16"/>
          <w:shd w:val="clear" w:color="auto" w:fill="FFFFFF"/>
        </w:rPr>
        <w:t> </w:t>
      </w:r>
      <w:r w:rsidRPr="002C16AB">
        <w:rPr>
          <w:rFonts w:ascii="Arial" w:hAnsi="Arial" w:cs="Arial"/>
          <w:color w:val="000000" w:themeColor="text1"/>
          <w:sz w:val="16"/>
          <w:szCs w:val="16"/>
          <w:shd w:val="clear" w:color="auto" w:fill="FFFFFF"/>
        </w:rPr>
        <w:t>(</w:t>
      </w:r>
      <w:r w:rsidRPr="002C16AB">
        <w:rPr>
          <w:rStyle w:val="print-publication-date"/>
          <w:rFonts w:ascii="Arial" w:hAnsi="Arial" w:cs="Arial"/>
          <w:color w:val="000000" w:themeColor="text1"/>
          <w:sz w:val="16"/>
          <w:szCs w:val="16"/>
          <w:bdr w:val="none" w:sz="0" w:space="0" w:color="auto" w:frame="1"/>
        </w:rPr>
        <w:t>2018;</w:t>
      </w:r>
      <w:r w:rsidRPr="002C16AB">
        <w:rPr>
          <w:rStyle w:val="apple-converted-space"/>
          <w:rFonts w:ascii="Arial" w:hAnsi="Arial" w:cs="Arial"/>
          <w:color w:val="000000" w:themeColor="text1"/>
          <w:sz w:val="16"/>
          <w:szCs w:val="16"/>
          <w:bdr w:val="none" w:sz="0" w:space="0" w:color="auto" w:frame="1"/>
        </w:rPr>
        <w:t> </w:t>
      </w:r>
    </w:p>
    <w:p w14:paraId="16A8CBA2" w14:textId="2F4AB895" w:rsidR="00F92BED" w:rsidRPr="002C16AB" w:rsidRDefault="00F92BED" w:rsidP="002C16AB">
      <w:pPr>
        <w:pStyle w:val="FootnoteText"/>
        <w:jc w:val="both"/>
        <w:rPr>
          <w:rFonts w:ascii="Arial" w:hAnsi="Arial" w:cs="Arial"/>
          <w:color w:val="000000" w:themeColor="text1"/>
          <w:sz w:val="16"/>
          <w:szCs w:val="16"/>
        </w:rPr>
      </w:pPr>
      <w:r w:rsidRPr="002C16AB">
        <w:rPr>
          <w:rStyle w:val="online-edition"/>
          <w:rFonts w:ascii="Arial" w:hAnsi="Arial" w:cs="Arial"/>
          <w:color w:val="000000" w:themeColor="text1"/>
          <w:sz w:val="16"/>
          <w:szCs w:val="16"/>
          <w:bdr w:val="none" w:sz="0" w:space="0" w:color="auto" w:frame="1"/>
        </w:rPr>
        <w:t>online</w:t>
      </w:r>
      <w:r w:rsidR="0059687C" w:rsidRPr="002C16AB">
        <w:rPr>
          <w:rStyle w:val="online-edition"/>
          <w:rFonts w:ascii="Arial" w:hAnsi="Arial" w:cs="Arial"/>
          <w:color w:val="000000" w:themeColor="text1"/>
          <w:sz w:val="16"/>
          <w:szCs w:val="16"/>
          <w:bdr w:val="none" w:sz="0" w:space="0" w:color="auto" w:frame="1"/>
        </w:rPr>
        <w:t xml:space="preserve"> </w:t>
      </w:r>
      <w:r w:rsidRPr="002C16AB">
        <w:rPr>
          <w:rStyle w:val="online-edition"/>
          <w:rFonts w:ascii="Arial" w:hAnsi="Arial" w:cs="Arial"/>
          <w:color w:val="000000" w:themeColor="text1"/>
          <w:sz w:val="16"/>
          <w:szCs w:val="16"/>
          <w:bdr w:val="none" w:sz="0" w:space="0" w:color="auto" w:frame="1"/>
        </w:rPr>
        <w:t>edn,</w:t>
      </w:r>
      <w:r w:rsidRPr="002C16AB">
        <w:rPr>
          <w:rStyle w:val="apple-converted-space"/>
          <w:rFonts w:ascii="Arial" w:hAnsi="Arial" w:cs="Arial"/>
          <w:color w:val="000000" w:themeColor="text1"/>
          <w:sz w:val="16"/>
          <w:szCs w:val="16"/>
          <w:bdr w:val="none" w:sz="0" w:space="0" w:color="auto" w:frame="1"/>
        </w:rPr>
        <w:t> </w:t>
      </w:r>
      <w:r w:rsidRPr="002C16AB">
        <w:rPr>
          <w:rStyle w:val="containing-site"/>
          <w:rFonts w:ascii="Arial" w:hAnsi="Arial" w:cs="Arial"/>
          <w:color w:val="000000" w:themeColor="text1"/>
          <w:sz w:val="16"/>
          <w:szCs w:val="16"/>
          <w:bdr w:val="none" w:sz="0" w:space="0" w:color="auto" w:frame="1"/>
        </w:rPr>
        <w:t>Oxford Academic</w:t>
      </w:r>
      <w:r w:rsidRPr="002C16AB">
        <w:rPr>
          <w:rStyle w:val="online-publication-date"/>
          <w:rFonts w:ascii="Arial" w:hAnsi="Arial" w:cs="Arial"/>
          <w:color w:val="000000" w:themeColor="text1"/>
          <w:sz w:val="16"/>
          <w:szCs w:val="16"/>
          <w:bdr w:val="none" w:sz="0" w:space="0" w:color="auto" w:frame="1"/>
        </w:rPr>
        <w:t>, 6 Dec. 2017</w:t>
      </w:r>
      <w:r w:rsidRPr="002C16AB">
        <w:rPr>
          <w:rFonts w:ascii="Arial" w:hAnsi="Arial" w:cs="Arial"/>
          <w:color w:val="000000" w:themeColor="text1"/>
          <w:sz w:val="16"/>
          <w:szCs w:val="16"/>
          <w:shd w:val="clear" w:color="auto" w:fill="FFFFFF"/>
        </w:rPr>
        <w:t>),</w:t>
      </w:r>
      <w:r w:rsidRPr="002C16AB">
        <w:rPr>
          <w:rStyle w:val="apple-converted-space"/>
          <w:rFonts w:ascii="Arial" w:hAnsi="Arial" w:cs="Arial"/>
          <w:color w:val="000000" w:themeColor="text1"/>
          <w:sz w:val="16"/>
          <w:szCs w:val="16"/>
          <w:shd w:val="clear" w:color="auto" w:fill="FFFFFF"/>
        </w:rPr>
        <w:t> </w:t>
      </w:r>
      <w:hyperlink r:id="rId3" w:history="1">
        <w:r w:rsidRPr="002C16AB">
          <w:rPr>
            <w:rStyle w:val="Hyperlink"/>
            <w:rFonts w:ascii="Arial" w:hAnsi="Arial" w:cs="Arial"/>
            <w:color w:val="000000" w:themeColor="text1"/>
            <w:sz w:val="16"/>
            <w:szCs w:val="16"/>
            <w:u w:val="none"/>
            <w:bdr w:val="none" w:sz="0" w:space="0" w:color="auto" w:frame="1"/>
          </w:rPr>
          <w:t>https://doi.org/10.1093/oxfordhb/9780199385195.013.48</w:t>
        </w:r>
      </w:hyperlink>
      <w:r w:rsidRPr="002C16AB">
        <w:rPr>
          <w:rFonts w:ascii="Arial" w:hAnsi="Arial" w:cs="Arial"/>
          <w:color w:val="000000" w:themeColor="text1"/>
          <w:sz w:val="16"/>
          <w:szCs w:val="16"/>
          <w:shd w:val="clear" w:color="auto" w:fill="FFFFFF"/>
        </w:rPr>
        <w:t>,</w:t>
      </w:r>
      <w:r w:rsidRPr="002C16AB">
        <w:rPr>
          <w:rStyle w:val="apple-converted-space"/>
          <w:rFonts w:ascii="Arial" w:hAnsi="Arial" w:cs="Arial"/>
          <w:color w:val="000000" w:themeColor="text1"/>
          <w:sz w:val="16"/>
          <w:szCs w:val="16"/>
          <w:shd w:val="clear" w:color="auto" w:fill="FFFFFF"/>
        </w:rPr>
        <w:t> </w:t>
      </w:r>
      <w:r w:rsidRPr="002C16AB">
        <w:rPr>
          <w:rStyle w:val="accessed-date"/>
          <w:rFonts w:ascii="Arial" w:hAnsi="Arial" w:cs="Arial"/>
          <w:color w:val="000000" w:themeColor="text1"/>
          <w:sz w:val="16"/>
          <w:szCs w:val="16"/>
          <w:bdr w:val="none" w:sz="0" w:space="0" w:color="auto" w:frame="1"/>
        </w:rPr>
        <w:t>accessed 26 Apr. 2026.</w:t>
      </w:r>
    </w:p>
  </w:footnote>
  <w:footnote w:id="57">
    <w:p w14:paraId="5AB47259" w14:textId="5B74B5D2" w:rsidR="002B09C3" w:rsidRPr="002C16AB" w:rsidRDefault="002B09C3" w:rsidP="002C16AB">
      <w:pPr>
        <w:jc w:val="both"/>
        <w:rPr>
          <w:rFonts w:ascii="Arial" w:hAnsi="Arial" w:cs="Arial"/>
          <w:color w:val="000000" w:themeColor="text1"/>
          <w:sz w:val="16"/>
          <w:szCs w:val="16"/>
        </w:rPr>
      </w:pPr>
      <w:r w:rsidRPr="002C16AB">
        <w:rPr>
          <w:rStyle w:val="FootnoteReference"/>
          <w:rFonts w:ascii="Arial" w:hAnsi="Arial" w:cs="Arial"/>
          <w:b/>
          <w:bCs/>
          <w:color w:val="000000" w:themeColor="text1"/>
          <w:sz w:val="16"/>
          <w:szCs w:val="16"/>
        </w:rPr>
        <w:footnoteRef/>
      </w:r>
      <w:r w:rsidRPr="002C16AB">
        <w:rPr>
          <w:rFonts w:ascii="Arial" w:hAnsi="Arial" w:cs="Arial"/>
          <w:b/>
          <w:bCs/>
          <w:color w:val="000000" w:themeColor="text1"/>
          <w:sz w:val="16"/>
          <w:szCs w:val="16"/>
        </w:rPr>
        <w:t xml:space="preserve"> </w:t>
      </w:r>
      <w:r w:rsidR="00F92BED" w:rsidRPr="002C16AB">
        <w:rPr>
          <w:rStyle w:val="Strong"/>
          <w:rFonts w:ascii="Arial" w:hAnsi="Arial" w:cs="Arial"/>
          <w:b w:val="0"/>
          <w:bCs w:val="0"/>
          <w:color w:val="000000" w:themeColor="text1"/>
          <w:sz w:val="16"/>
          <w:szCs w:val="16"/>
        </w:rPr>
        <w:t>C. Swanton "Comments on Intelligent Virtue: Rightness and Exemplars of Virtue</w:t>
      </w:r>
      <w:r w:rsidR="00F92BED" w:rsidRPr="002C16AB">
        <w:rPr>
          <w:rStyle w:val="Strong"/>
          <w:rFonts w:ascii="Arial" w:hAnsi="Arial" w:cs="Arial"/>
          <w:color w:val="000000" w:themeColor="text1"/>
          <w:sz w:val="16"/>
          <w:szCs w:val="16"/>
        </w:rPr>
        <w:t>":</w:t>
      </w:r>
      <w:r w:rsidR="00F92BED" w:rsidRPr="002C16AB">
        <w:rPr>
          <w:rStyle w:val="apple-converted-space"/>
          <w:rFonts w:ascii="Arial" w:hAnsi="Arial" w:cs="Arial"/>
          <w:color w:val="000000" w:themeColor="text1"/>
          <w:sz w:val="16"/>
          <w:szCs w:val="16"/>
          <w:shd w:val="clear" w:color="auto" w:fill="FFFFFF"/>
        </w:rPr>
        <w:t> </w:t>
      </w:r>
      <w:r w:rsidR="00F92BED" w:rsidRPr="002C16AB">
        <w:rPr>
          <w:rStyle w:val="Emphasis"/>
          <w:rFonts w:ascii="Arial" w:hAnsi="Arial" w:cs="Arial"/>
          <w:color w:val="000000" w:themeColor="text1"/>
          <w:sz w:val="16"/>
          <w:szCs w:val="16"/>
        </w:rPr>
        <w:t xml:space="preserve"> Journal of Value Inquiry</w:t>
      </w:r>
      <w:r w:rsidR="00F92BED" w:rsidRPr="002C16AB">
        <w:rPr>
          <w:rStyle w:val="apple-converted-space"/>
          <w:rFonts w:ascii="Arial" w:hAnsi="Arial" w:cs="Arial"/>
          <w:color w:val="000000" w:themeColor="text1"/>
          <w:sz w:val="16"/>
          <w:szCs w:val="16"/>
          <w:shd w:val="clear" w:color="auto" w:fill="FFFFFF"/>
        </w:rPr>
        <w:t> </w:t>
      </w:r>
      <w:r w:rsidR="00F92BED" w:rsidRPr="002C16AB">
        <w:rPr>
          <w:rFonts w:ascii="Arial" w:hAnsi="Arial" w:cs="Arial"/>
          <w:color w:val="000000" w:themeColor="text1"/>
          <w:sz w:val="16"/>
          <w:szCs w:val="16"/>
          <w:shd w:val="clear" w:color="auto" w:fill="FFFFFF"/>
        </w:rPr>
        <w:t>(2015) 49 (1) 307 – 314.</w:t>
      </w:r>
    </w:p>
  </w:footnote>
  <w:footnote w:id="58">
    <w:p w14:paraId="5793B631" w14:textId="626EC795" w:rsidR="002B09C3" w:rsidRPr="002C16AB" w:rsidRDefault="002B09C3" w:rsidP="002C16AB">
      <w:pPr>
        <w:pStyle w:val="FootnoteText"/>
        <w:jc w:val="both"/>
        <w:rPr>
          <w:rFonts w:ascii="Arial" w:hAnsi="Arial" w:cs="Arial"/>
          <w:sz w:val="16"/>
          <w:szCs w:val="16"/>
        </w:rPr>
      </w:pPr>
      <w:r w:rsidRPr="002C16AB">
        <w:rPr>
          <w:rStyle w:val="FootnoteReference"/>
          <w:rFonts w:ascii="Arial" w:hAnsi="Arial" w:cs="Arial"/>
          <w:color w:val="000000" w:themeColor="text1"/>
          <w:sz w:val="16"/>
          <w:szCs w:val="16"/>
        </w:rPr>
        <w:footnoteRef/>
      </w:r>
      <w:r w:rsidRPr="002C16AB">
        <w:rPr>
          <w:rFonts w:ascii="Arial" w:hAnsi="Arial" w:cs="Arial"/>
          <w:color w:val="000000" w:themeColor="text1"/>
          <w:sz w:val="16"/>
          <w:szCs w:val="16"/>
        </w:rPr>
        <w:t xml:space="preserve"> </w:t>
      </w:r>
      <w:r w:rsidR="0059687C" w:rsidRPr="002C16AB">
        <w:rPr>
          <w:rFonts w:ascii="Arial" w:hAnsi="Arial" w:cs="Arial"/>
          <w:color w:val="000000" w:themeColor="text1"/>
          <w:sz w:val="16"/>
          <w:szCs w:val="16"/>
        </w:rPr>
        <w:t xml:space="preserve">N. </w:t>
      </w:r>
      <w:r w:rsidR="0059687C" w:rsidRPr="002C16AB">
        <w:rPr>
          <w:rStyle w:val="contributors"/>
          <w:rFonts w:ascii="Arial" w:hAnsi="Arial" w:cs="Arial"/>
          <w:color w:val="000000" w:themeColor="text1"/>
          <w:sz w:val="16"/>
          <w:szCs w:val="16"/>
          <w:bdr w:val="none" w:sz="0" w:space="0" w:color="auto" w:frame="1"/>
        </w:rPr>
        <w:t>Athanassoulis, N.,</w:t>
      </w:r>
      <w:r w:rsidR="0059687C" w:rsidRPr="002C16AB">
        <w:rPr>
          <w:rStyle w:val="apple-converted-space"/>
          <w:rFonts w:ascii="Arial" w:hAnsi="Arial" w:cs="Arial"/>
          <w:color w:val="000000" w:themeColor="text1"/>
          <w:sz w:val="16"/>
          <w:szCs w:val="16"/>
          <w:bdr w:val="none" w:sz="0" w:space="0" w:color="auto" w:frame="1"/>
        </w:rPr>
        <w:t> </w:t>
      </w:r>
      <w:r w:rsidR="0059687C" w:rsidRPr="002C16AB">
        <w:rPr>
          <w:rStyle w:val="maintitle"/>
          <w:rFonts w:ascii="Arial" w:hAnsi="Arial" w:cs="Arial"/>
          <w:color w:val="000000" w:themeColor="text1"/>
          <w:sz w:val="16"/>
          <w:szCs w:val="16"/>
          <w:bdr w:val="none" w:sz="0" w:space="0" w:color="auto" w:frame="1"/>
        </w:rPr>
        <w:t>'Acquiring Aristotelian Virtue'</w:t>
      </w:r>
      <w:r w:rsidR="0059687C" w:rsidRPr="002C16AB">
        <w:rPr>
          <w:rFonts w:ascii="Arial" w:hAnsi="Arial" w:cs="Arial"/>
          <w:color w:val="000000" w:themeColor="text1"/>
          <w:sz w:val="16"/>
          <w:szCs w:val="16"/>
          <w:shd w:val="clear" w:color="auto" w:fill="FFFFFF"/>
        </w:rPr>
        <w:t>,</w:t>
      </w:r>
      <w:r w:rsidR="0059687C" w:rsidRPr="002C16AB">
        <w:rPr>
          <w:rStyle w:val="apple-converted-space"/>
          <w:rFonts w:ascii="Arial" w:hAnsi="Arial" w:cs="Arial"/>
          <w:color w:val="000000" w:themeColor="text1"/>
          <w:sz w:val="16"/>
          <w:szCs w:val="16"/>
          <w:bdr w:val="none" w:sz="0" w:space="0" w:color="auto" w:frame="1"/>
        </w:rPr>
        <w:t> </w:t>
      </w:r>
      <w:r w:rsidR="0059687C" w:rsidRPr="002C16AB">
        <w:rPr>
          <w:rStyle w:val="editors"/>
          <w:rFonts w:ascii="Arial" w:hAnsi="Arial" w:cs="Arial"/>
          <w:color w:val="000000" w:themeColor="text1"/>
          <w:sz w:val="16"/>
          <w:szCs w:val="16"/>
          <w:bdr w:val="none" w:sz="0" w:space="0" w:color="auto" w:frame="1"/>
        </w:rPr>
        <w:t>in Nancy E. Snow (ed.)</w:t>
      </w:r>
      <w:r w:rsidR="0059687C" w:rsidRPr="002C16AB">
        <w:rPr>
          <w:rFonts w:ascii="Arial" w:hAnsi="Arial" w:cs="Arial"/>
          <w:color w:val="000000" w:themeColor="text1"/>
          <w:sz w:val="16"/>
          <w:szCs w:val="16"/>
          <w:shd w:val="clear" w:color="auto" w:fill="FFFFFF"/>
        </w:rPr>
        <w:t>,</w:t>
      </w:r>
      <w:r w:rsidR="0059687C" w:rsidRPr="002C16AB">
        <w:rPr>
          <w:rStyle w:val="apple-converted-space"/>
          <w:rFonts w:ascii="Arial" w:hAnsi="Arial" w:cs="Arial"/>
          <w:color w:val="000000" w:themeColor="text1"/>
          <w:sz w:val="16"/>
          <w:szCs w:val="16"/>
          <w:shd w:val="clear" w:color="auto" w:fill="FFFFFF"/>
        </w:rPr>
        <w:t> </w:t>
      </w:r>
      <w:r w:rsidR="0059687C" w:rsidRPr="002C16AB">
        <w:rPr>
          <w:rStyle w:val="Emphasis"/>
          <w:rFonts w:ascii="Arial" w:hAnsi="Arial" w:cs="Arial"/>
          <w:color w:val="000000" w:themeColor="text1"/>
          <w:sz w:val="16"/>
          <w:szCs w:val="16"/>
          <w:bdr w:val="none" w:sz="0" w:space="0" w:color="auto" w:frame="1"/>
        </w:rPr>
        <w:t>The Oxford Handbook of Virtue</w:t>
      </w:r>
      <w:r w:rsidR="0059687C" w:rsidRPr="002C16AB">
        <w:rPr>
          <w:rStyle w:val="series-title"/>
          <w:rFonts w:ascii="Arial" w:hAnsi="Arial" w:cs="Arial"/>
          <w:color w:val="000000" w:themeColor="text1"/>
          <w:sz w:val="16"/>
          <w:szCs w:val="16"/>
          <w:bdr w:val="none" w:sz="0" w:space="0" w:color="auto" w:frame="1"/>
        </w:rPr>
        <w:t>, Oxford Handbooks</w:t>
      </w:r>
      <w:r w:rsidR="0059687C" w:rsidRPr="002C16AB">
        <w:rPr>
          <w:rStyle w:val="apple-converted-space"/>
          <w:rFonts w:ascii="Arial" w:hAnsi="Arial" w:cs="Arial"/>
          <w:color w:val="000000" w:themeColor="text1"/>
          <w:sz w:val="16"/>
          <w:szCs w:val="16"/>
          <w:shd w:val="clear" w:color="auto" w:fill="FFFFFF"/>
        </w:rPr>
        <w:t> </w:t>
      </w:r>
      <w:r w:rsidR="0059687C" w:rsidRPr="002C16AB">
        <w:rPr>
          <w:rFonts w:ascii="Arial" w:hAnsi="Arial" w:cs="Arial"/>
          <w:color w:val="000000" w:themeColor="text1"/>
          <w:sz w:val="16"/>
          <w:szCs w:val="16"/>
          <w:shd w:val="clear" w:color="auto" w:fill="FFFFFF"/>
        </w:rPr>
        <w:t>(</w:t>
      </w:r>
      <w:r w:rsidR="0059687C" w:rsidRPr="002C16AB">
        <w:rPr>
          <w:rStyle w:val="print-publication-date"/>
          <w:rFonts w:ascii="Arial" w:hAnsi="Arial" w:cs="Arial"/>
          <w:color w:val="000000" w:themeColor="text1"/>
          <w:sz w:val="16"/>
          <w:szCs w:val="16"/>
          <w:bdr w:val="none" w:sz="0" w:space="0" w:color="auto" w:frame="1"/>
        </w:rPr>
        <w:t>2018;</w:t>
      </w:r>
      <w:r w:rsidR="0059687C" w:rsidRPr="002C16AB">
        <w:rPr>
          <w:rStyle w:val="apple-converted-space"/>
          <w:rFonts w:ascii="Arial" w:hAnsi="Arial" w:cs="Arial"/>
          <w:color w:val="000000" w:themeColor="text1"/>
          <w:sz w:val="16"/>
          <w:szCs w:val="16"/>
          <w:bdr w:val="none" w:sz="0" w:space="0" w:color="auto" w:frame="1"/>
        </w:rPr>
        <w:t> </w:t>
      </w:r>
      <w:r w:rsidR="0059687C" w:rsidRPr="002C16AB">
        <w:rPr>
          <w:rStyle w:val="online-edition"/>
          <w:rFonts w:ascii="Arial" w:hAnsi="Arial" w:cs="Arial"/>
          <w:color w:val="000000" w:themeColor="text1"/>
          <w:sz w:val="16"/>
          <w:szCs w:val="16"/>
          <w:bdr w:val="none" w:sz="0" w:space="0" w:color="auto" w:frame="1"/>
        </w:rPr>
        <w:t>online edn,</w:t>
      </w:r>
      <w:r w:rsidR="0059687C" w:rsidRPr="002C16AB">
        <w:rPr>
          <w:rStyle w:val="apple-converted-space"/>
          <w:rFonts w:ascii="Arial" w:hAnsi="Arial" w:cs="Arial"/>
          <w:color w:val="000000" w:themeColor="text1"/>
          <w:sz w:val="16"/>
          <w:szCs w:val="16"/>
          <w:bdr w:val="none" w:sz="0" w:space="0" w:color="auto" w:frame="1"/>
        </w:rPr>
        <w:t> </w:t>
      </w:r>
      <w:r w:rsidR="0059687C" w:rsidRPr="002C16AB">
        <w:rPr>
          <w:rStyle w:val="containing-site"/>
          <w:rFonts w:ascii="Arial" w:hAnsi="Arial" w:cs="Arial"/>
          <w:color w:val="000000" w:themeColor="text1"/>
          <w:sz w:val="16"/>
          <w:szCs w:val="16"/>
          <w:bdr w:val="none" w:sz="0" w:space="0" w:color="auto" w:frame="1"/>
        </w:rPr>
        <w:t>Oxford Academic</w:t>
      </w:r>
      <w:r w:rsidR="0059687C" w:rsidRPr="002C16AB">
        <w:rPr>
          <w:rStyle w:val="online-publication-date"/>
          <w:rFonts w:ascii="Arial" w:hAnsi="Arial" w:cs="Arial"/>
          <w:color w:val="000000" w:themeColor="text1"/>
          <w:sz w:val="16"/>
          <w:szCs w:val="16"/>
          <w:bdr w:val="none" w:sz="0" w:space="0" w:color="auto" w:frame="1"/>
        </w:rPr>
        <w:t>, 6 Dec</w:t>
      </w:r>
      <w:r w:rsidR="0059687C" w:rsidRPr="002C16AB">
        <w:rPr>
          <w:rStyle w:val="online-publication-date"/>
          <w:rFonts w:ascii="Arial" w:hAnsi="Arial" w:cs="Arial"/>
          <w:color w:val="000000" w:themeColor="text1"/>
          <w:sz w:val="16"/>
          <w:szCs w:val="16"/>
          <w:bdr w:val="none" w:sz="0" w:space="0" w:color="auto" w:frame="1"/>
        </w:rPr>
        <w:t>).</w:t>
      </w:r>
    </w:p>
  </w:footnote>
  <w:footnote w:id="59">
    <w:p w14:paraId="22F75D7A" w14:textId="1D4CC1C8" w:rsidR="00F0578A" w:rsidRPr="002C16AB" w:rsidRDefault="00F0578A"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M. Slote </w:t>
      </w:r>
      <w:r w:rsidRPr="002C16AB">
        <w:rPr>
          <w:rFonts w:ascii="Arial" w:hAnsi="Arial" w:cs="Arial"/>
          <w:i/>
          <w:iCs/>
          <w:sz w:val="16"/>
          <w:szCs w:val="16"/>
        </w:rPr>
        <w:t xml:space="preserve">Morals from Motives </w:t>
      </w:r>
      <w:r w:rsidRPr="002C16AB">
        <w:rPr>
          <w:rFonts w:ascii="Arial" w:hAnsi="Arial" w:cs="Arial"/>
          <w:sz w:val="16"/>
          <w:szCs w:val="16"/>
        </w:rPr>
        <w:t xml:space="preserve">(NY: OUP, 2001) Chapter 2 and Chapter 7. Cf. extended role of judgments in </w:t>
      </w:r>
      <w:r w:rsidRPr="002C16AB">
        <w:rPr>
          <w:rFonts w:ascii="Arial" w:hAnsi="Arial" w:cs="Arial"/>
          <w:i/>
          <w:iCs/>
          <w:sz w:val="16"/>
          <w:szCs w:val="16"/>
        </w:rPr>
        <w:t xml:space="preserve">Moral Sentimentalism </w:t>
      </w:r>
      <w:r w:rsidRPr="002C16AB">
        <w:rPr>
          <w:rFonts w:ascii="Arial" w:hAnsi="Arial" w:cs="Arial"/>
          <w:sz w:val="16"/>
          <w:szCs w:val="16"/>
        </w:rPr>
        <w:t xml:space="preserve">(Oxford: OUP, 2010) Chapter 6. </w:t>
      </w:r>
    </w:p>
  </w:footnote>
  <w:footnote w:id="60">
    <w:p w14:paraId="5702E319" w14:textId="265DE6DD" w:rsidR="00331A02" w:rsidRDefault="00331A02" w:rsidP="002C16AB">
      <w:pPr>
        <w:pStyle w:val="FootnoteText"/>
        <w:jc w:val="both"/>
      </w:pPr>
      <w:r w:rsidRPr="002C16AB">
        <w:rPr>
          <w:rStyle w:val="FootnoteReference"/>
          <w:rFonts w:ascii="Arial" w:hAnsi="Arial" w:cs="Arial"/>
          <w:sz w:val="16"/>
          <w:szCs w:val="16"/>
        </w:rPr>
        <w:footnoteRef/>
      </w:r>
      <w:r w:rsidRPr="002C16AB">
        <w:rPr>
          <w:rFonts w:ascii="Arial" w:hAnsi="Arial" w:cs="Arial"/>
          <w:sz w:val="16"/>
          <w:szCs w:val="16"/>
        </w:rPr>
        <w:t xml:space="preserve"> </w:t>
      </w:r>
      <w:r w:rsidR="00F0578A" w:rsidRPr="002C16AB">
        <w:rPr>
          <w:rFonts w:ascii="Arial" w:hAnsi="Arial" w:cs="Arial"/>
          <w:sz w:val="16"/>
          <w:szCs w:val="16"/>
        </w:rPr>
        <w:t>M. Slote (2010) Chapter 6</w:t>
      </w:r>
      <w:r w:rsidRPr="002C16AB">
        <w:rPr>
          <w:rFonts w:ascii="Arial" w:hAnsi="Arial" w:cs="Arial"/>
          <w:sz w:val="16"/>
          <w:szCs w:val="16"/>
        </w:rPr>
        <w:t>.</w:t>
      </w:r>
    </w:p>
  </w:footnote>
  <w:footnote w:id="61">
    <w:p w14:paraId="2FD4A049" w14:textId="40D743B1" w:rsidR="00EC0837" w:rsidRPr="00AE32E6" w:rsidRDefault="00EC0837">
      <w:pPr>
        <w:pStyle w:val="FootnoteText"/>
        <w:rPr>
          <w:rFonts w:ascii="Arial" w:hAnsi="Arial" w:cs="Arial"/>
          <w:sz w:val="16"/>
          <w:szCs w:val="16"/>
        </w:rPr>
      </w:pPr>
      <w:r w:rsidRPr="00AE32E6">
        <w:rPr>
          <w:rStyle w:val="FootnoteReference"/>
          <w:rFonts w:ascii="Arial" w:hAnsi="Arial" w:cs="Arial"/>
          <w:sz w:val="16"/>
          <w:szCs w:val="16"/>
        </w:rPr>
        <w:footnoteRef/>
      </w:r>
      <w:r w:rsidRPr="00AE32E6">
        <w:rPr>
          <w:rFonts w:ascii="Arial" w:hAnsi="Arial" w:cs="Arial"/>
          <w:sz w:val="16"/>
          <w:szCs w:val="16"/>
        </w:rPr>
        <w:t xml:space="preserve"> M. Slote (2001) 41.</w:t>
      </w:r>
    </w:p>
  </w:footnote>
  <w:footnote w:id="62">
    <w:p w14:paraId="05A89F21" w14:textId="4AF6FB62" w:rsidR="00727A25" w:rsidRPr="00AE32E6" w:rsidRDefault="00727A25">
      <w:pPr>
        <w:pStyle w:val="FootnoteText"/>
        <w:rPr>
          <w:rFonts w:ascii="Arial" w:hAnsi="Arial" w:cs="Arial"/>
          <w:sz w:val="16"/>
          <w:szCs w:val="16"/>
        </w:rPr>
      </w:pPr>
      <w:r w:rsidRPr="00AE32E6">
        <w:rPr>
          <w:rStyle w:val="FootnoteReference"/>
          <w:rFonts w:ascii="Arial" w:hAnsi="Arial" w:cs="Arial"/>
          <w:sz w:val="16"/>
          <w:szCs w:val="16"/>
        </w:rPr>
        <w:footnoteRef/>
      </w:r>
      <w:r w:rsidRPr="00AE32E6">
        <w:rPr>
          <w:rFonts w:ascii="Arial" w:hAnsi="Arial" w:cs="Arial"/>
          <w:sz w:val="16"/>
          <w:szCs w:val="16"/>
        </w:rPr>
        <w:t xml:space="preserve"> </w:t>
      </w:r>
      <w:r w:rsidR="00324E6C" w:rsidRPr="00AE32E6">
        <w:rPr>
          <w:rFonts w:ascii="Arial" w:hAnsi="Arial" w:cs="Arial"/>
          <w:sz w:val="16"/>
          <w:szCs w:val="16"/>
        </w:rPr>
        <w:t>M. Slote (2001) 43.</w:t>
      </w:r>
    </w:p>
  </w:footnote>
  <w:footnote w:id="63">
    <w:p w14:paraId="54D733D6" w14:textId="3B411608" w:rsidR="00E85C1E" w:rsidRDefault="00E85C1E">
      <w:pPr>
        <w:pStyle w:val="FootnoteText"/>
      </w:pPr>
      <w:r w:rsidRPr="00AE32E6">
        <w:rPr>
          <w:rStyle w:val="FootnoteReference"/>
          <w:rFonts w:ascii="Arial" w:hAnsi="Arial" w:cs="Arial"/>
          <w:sz w:val="16"/>
          <w:szCs w:val="16"/>
        </w:rPr>
        <w:footnoteRef/>
      </w:r>
      <w:r w:rsidRPr="00AE32E6">
        <w:rPr>
          <w:rFonts w:ascii="Arial" w:hAnsi="Arial" w:cs="Arial"/>
          <w:sz w:val="16"/>
          <w:szCs w:val="16"/>
        </w:rPr>
        <w:t xml:space="preserve"> e.g. </w:t>
      </w:r>
      <w:r w:rsidR="00AE32E6" w:rsidRPr="00AE32E6">
        <w:rPr>
          <w:rFonts w:ascii="Arial" w:hAnsi="Arial" w:cs="Arial"/>
          <w:sz w:val="16"/>
          <w:szCs w:val="16"/>
        </w:rPr>
        <w:t xml:space="preserve">R. Das (2003); </w:t>
      </w:r>
      <w:r w:rsidRPr="00AE32E6">
        <w:rPr>
          <w:rFonts w:ascii="Arial" w:hAnsi="Arial" w:cs="Arial"/>
          <w:sz w:val="16"/>
          <w:szCs w:val="16"/>
        </w:rPr>
        <w:t xml:space="preserve">J. Kawall (2014) ‘Qualified Agent and Agent-Based Virtue Ethics and the Problems of Right Action’ in S Van Hooft (ed.) </w:t>
      </w:r>
      <w:r w:rsidRPr="00AE32E6">
        <w:rPr>
          <w:rFonts w:ascii="Arial" w:hAnsi="Arial" w:cs="Arial"/>
          <w:i/>
          <w:iCs/>
          <w:sz w:val="16"/>
          <w:szCs w:val="16"/>
        </w:rPr>
        <w:t xml:space="preserve">The Handbook of Virtue Ethics </w:t>
      </w:r>
      <w:r w:rsidRPr="00AE32E6">
        <w:rPr>
          <w:rFonts w:ascii="Arial" w:hAnsi="Arial" w:cs="Arial"/>
          <w:sz w:val="16"/>
          <w:szCs w:val="16"/>
        </w:rPr>
        <w:t>(2014) 209 – 224.</w:t>
      </w:r>
      <w:r>
        <w:t xml:space="preserve"> </w:t>
      </w:r>
    </w:p>
  </w:footnote>
  <w:footnote w:id="64">
    <w:p w14:paraId="568E1725" w14:textId="29D4D514" w:rsidR="001C5C8F" w:rsidRPr="00AE32E6" w:rsidRDefault="001C5C8F" w:rsidP="00AE32E6">
      <w:pPr>
        <w:rPr>
          <w:rFonts w:ascii="Arial" w:hAnsi="Arial" w:cs="Arial"/>
          <w:color w:val="000000" w:themeColor="text1"/>
          <w:sz w:val="16"/>
          <w:szCs w:val="16"/>
        </w:rPr>
      </w:pPr>
      <w:r w:rsidRPr="00AE32E6">
        <w:rPr>
          <w:rStyle w:val="FootnoteReference"/>
          <w:rFonts w:ascii="Arial" w:hAnsi="Arial" w:cs="Arial"/>
          <w:color w:val="000000" w:themeColor="text1"/>
          <w:sz w:val="16"/>
          <w:szCs w:val="16"/>
        </w:rPr>
        <w:footnoteRef/>
      </w:r>
      <w:r w:rsidRPr="00AE32E6">
        <w:rPr>
          <w:rFonts w:ascii="Arial" w:hAnsi="Arial" w:cs="Arial"/>
          <w:color w:val="000000" w:themeColor="text1"/>
          <w:sz w:val="16"/>
          <w:szCs w:val="16"/>
        </w:rPr>
        <w:t xml:space="preserve"> </w:t>
      </w:r>
      <w:r w:rsidR="00E85C1E" w:rsidRPr="00AE32E6">
        <w:rPr>
          <w:rFonts w:ascii="Arial" w:hAnsi="Arial" w:cs="Arial"/>
          <w:i/>
          <w:iCs/>
          <w:color w:val="000000" w:themeColor="text1"/>
          <w:sz w:val="16"/>
          <w:szCs w:val="16"/>
        </w:rPr>
        <w:t xml:space="preserve">Morals from Motives </w:t>
      </w:r>
      <w:r w:rsidR="00E85C1E" w:rsidRPr="00AE32E6">
        <w:rPr>
          <w:rFonts w:ascii="Arial" w:hAnsi="Arial" w:cs="Arial"/>
          <w:color w:val="000000" w:themeColor="text1"/>
          <w:sz w:val="16"/>
          <w:szCs w:val="16"/>
        </w:rPr>
        <w:t xml:space="preserve">(2001) an action is right iff good overall motivation etc. </w:t>
      </w:r>
      <w:r w:rsidR="00AE32E6" w:rsidRPr="00AE32E6">
        <w:rPr>
          <w:rFonts w:ascii="Arial" w:hAnsi="Arial" w:cs="Arial"/>
          <w:color w:val="000000" w:themeColor="text1"/>
          <w:sz w:val="16"/>
          <w:szCs w:val="16"/>
        </w:rPr>
        <w:t xml:space="preserve">14. </w:t>
      </w:r>
      <w:r w:rsidR="00AE32E6" w:rsidRPr="00AE32E6">
        <w:rPr>
          <w:rFonts w:ascii="Arial" w:hAnsi="Arial" w:cs="Arial"/>
          <w:i/>
          <w:iCs/>
          <w:color w:val="000000" w:themeColor="text1"/>
          <w:sz w:val="16"/>
          <w:szCs w:val="16"/>
        </w:rPr>
        <w:t xml:space="preserve">Moral Sentimentalism </w:t>
      </w:r>
      <w:r w:rsidR="00AE32E6" w:rsidRPr="00AE32E6">
        <w:rPr>
          <w:rFonts w:ascii="Arial" w:hAnsi="Arial" w:cs="Arial"/>
          <w:color w:val="000000" w:themeColor="text1"/>
          <w:sz w:val="16"/>
          <w:szCs w:val="16"/>
        </w:rPr>
        <w:t xml:space="preserve">(2010) an action is right iff it exhibits/expresses good motivation 93. </w:t>
      </w:r>
      <w:r w:rsidRPr="00AE32E6">
        <w:rPr>
          <w:rFonts w:ascii="Arial" w:hAnsi="Arial" w:cs="Arial"/>
          <w:color w:val="000000" w:themeColor="text1"/>
          <w:sz w:val="16"/>
          <w:szCs w:val="16"/>
        </w:rPr>
        <w:t xml:space="preserve"> </w:t>
      </w:r>
    </w:p>
  </w:footnote>
  <w:footnote w:id="65">
    <w:p w14:paraId="155217B7" w14:textId="298E468C" w:rsidR="0075494A" w:rsidRPr="00AE32E6" w:rsidRDefault="0075494A">
      <w:pPr>
        <w:pStyle w:val="FootnoteText"/>
        <w:rPr>
          <w:rFonts w:ascii="Arial" w:hAnsi="Arial" w:cs="Arial"/>
          <w:color w:val="000000" w:themeColor="text1"/>
          <w:sz w:val="16"/>
          <w:szCs w:val="16"/>
        </w:rPr>
      </w:pPr>
      <w:r w:rsidRPr="00AE32E6">
        <w:rPr>
          <w:rStyle w:val="FootnoteReference"/>
          <w:rFonts w:ascii="Arial" w:hAnsi="Arial" w:cs="Arial"/>
          <w:color w:val="000000" w:themeColor="text1"/>
          <w:sz w:val="16"/>
          <w:szCs w:val="16"/>
        </w:rPr>
        <w:footnoteRef/>
      </w:r>
      <w:r w:rsidRPr="00AE32E6">
        <w:rPr>
          <w:rFonts w:ascii="Arial" w:hAnsi="Arial" w:cs="Arial"/>
          <w:color w:val="000000" w:themeColor="text1"/>
          <w:sz w:val="16"/>
          <w:szCs w:val="16"/>
        </w:rPr>
        <w:t xml:space="preserve"> </w:t>
      </w:r>
      <w:r w:rsidR="00AE32E6" w:rsidRPr="00AE32E6">
        <w:rPr>
          <w:rFonts w:ascii="Arial" w:hAnsi="Arial" w:cs="Arial"/>
          <w:color w:val="000000" w:themeColor="text1"/>
          <w:sz w:val="16"/>
          <w:szCs w:val="16"/>
        </w:rPr>
        <w:t>L. Van Zyl (2019) 115.</w:t>
      </w:r>
      <w:r w:rsidRPr="00AE32E6">
        <w:rPr>
          <w:rFonts w:ascii="Arial" w:hAnsi="Arial" w:cs="Arial"/>
          <w:color w:val="000000" w:themeColor="text1"/>
          <w:sz w:val="16"/>
          <w:szCs w:val="16"/>
        </w:rPr>
        <w:t xml:space="preserve"> </w:t>
      </w:r>
    </w:p>
  </w:footnote>
  <w:footnote w:id="66">
    <w:p w14:paraId="76718E5E" w14:textId="1A609072" w:rsidR="00AE32E6" w:rsidRPr="00AE32E6" w:rsidRDefault="00AE32E6">
      <w:pPr>
        <w:pStyle w:val="FootnoteText"/>
        <w:rPr>
          <w:rFonts w:ascii="Arial" w:hAnsi="Arial" w:cs="Arial"/>
          <w:color w:val="000000" w:themeColor="text1"/>
          <w:sz w:val="16"/>
          <w:szCs w:val="16"/>
        </w:rPr>
      </w:pPr>
      <w:r w:rsidRPr="00AE32E6">
        <w:rPr>
          <w:rStyle w:val="FootnoteReference"/>
          <w:rFonts w:ascii="Arial" w:hAnsi="Arial" w:cs="Arial"/>
          <w:color w:val="000000" w:themeColor="text1"/>
          <w:sz w:val="16"/>
          <w:szCs w:val="16"/>
        </w:rPr>
        <w:footnoteRef/>
      </w:r>
      <w:r w:rsidRPr="00AE32E6">
        <w:rPr>
          <w:rFonts w:ascii="Arial" w:hAnsi="Arial" w:cs="Arial"/>
          <w:color w:val="000000" w:themeColor="text1"/>
          <w:sz w:val="16"/>
          <w:szCs w:val="16"/>
        </w:rPr>
        <w:t xml:space="preserve"> J. Driver (2022) 26.</w:t>
      </w:r>
    </w:p>
  </w:footnote>
  <w:footnote w:id="67">
    <w:p w14:paraId="642A6CD7" w14:textId="3AC4D410" w:rsidR="00AE32E6" w:rsidRPr="00AE32E6" w:rsidRDefault="00AE32E6">
      <w:pPr>
        <w:pStyle w:val="FootnoteText"/>
        <w:rPr>
          <w:rFonts w:ascii="Arial" w:hAnsi="Arial" w:cs="Arial"/>
          <w:color w:val="000000" w:themeColor="text1"/>
          <w:sz w:val="16"/>
          <w:szCs w:val="16"/>
        </w:rPr>
      </w:pPr>
      <w:r w:rsidRPr="00AE32E6">
        <w:rPr>
          <w:rStyle w:val="FootnoteReference"/>
          <w:rFonts w:ascii="Arial" w:hAnsi="Arial" w:cs="Arial"/>
          <w:color w:val="000000" w:themeColor="text1"/>
          <w:sz w:val="16"/>
          <w:szCs w:val="16"/>
        </w:rPr>
        <w:footnoteRef/>
      </w:r>
      <w:r w:rsidRPr="00AE32E6">
        <w:rPr>
          <w:rFonts w:ascii="Arial" w:hAnsi="Arial" w:cs="Arial"/>
          <w:color w:val="000000" w:themeColor="text1"/>
          <w:sz w:val="16"/>
          <w:szCs w:val="16"/>
        </w:rPr>
        <w:t xml:space="preserve"> L. Van Zyl (20§19) 114; J. Driver (2022) 23.</w:t>
      </w:r>
    </w:p>
  </w:footnote>
  <w:footnote w:id="68">
    <w:p w14:paraId="1A80BED5" w14:textId="7FFCC902" w:rsidR="00605511" w:rsidRDefault="00605511" w:rsidP="00605511">
      <w:pPr>
        <w:pStyle w:val="FootnoteText"/>
      </w:pPr>
      <w:r w:rsidRPr="00AE32E6">
        <w:rPr>
          <w:rStyle w:val="FootnoteReference"/>
          <w:rFonts w:ascii="Arial" w:hAnsi="Arial" w:cs="Arial"/>
          <w:color w:val="000000" w:themeColor="text1"/>
          <w:sz w:val="16"/>
          <w:szCs w:val="16"/>
        </w:rPr>
        <w:footnoteRef/>
      </w:r>
      <w:r w:rsidRPr="00AE32E6">
        <w:rPr>
          <w:rFonts w:ascii="Arial" w:hAnsi="Arial" w:cs="Arial"/>
          <w:color w:val="000000" w:themeColor="text1"/>
          <w:sz w:val="16"/>
          <w:szCs w:val="16"/>
        </w:rPr>
        <w:t xml:space="preserve"> </w:t>
      </w:r>
      <w:r w:rsidR="00AE32E6" w:rsidRPr="00AE32E6">
        <w:rPr>
          <w:rFonts w:ascii="Arial" w:hAnsi="Arial" w:cs="Arial"/>
          <w:color w:val="000000" w:themeColor="text1"/>
          <w:sz w:val="16"/>
          <w:szCs w:val="16"/>
        </w:rPr>
        <w:t>M. Slote (2001) 38.</w:t>
      </w:r>
      <w:r w:rsidR="00A854D6">
        <w:rPr>
          <w:rFonts w:ascii="Arial" w:hAnsi="Arial" w:cs="Arial"/>
          <w:color w:val="000000" w:themeColor="text1"/>
          <w:sz w:val="16"/>
          <w:szCs w:val="16"/>
        </w:rPr>
        <w:t xml:space="preserve"> Not without irony, the type of theory he advocates he sees as equivalent to Louden’s (Chapter 1; see footnotes). </w:t>
      </w:r>
    </w:p>
  </w:footnote>
  <w:footnote w:id="69">
    <w:p w14:paraId="361EA4BB" w14:textId="137F7D83" w:rsidR="00A854D6" w:rsidRPr="002C16AB" w:rsidRDefault="00A854D6">
      <w:pPr>
        <w:pStyle w:val="FootnoteText"/>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Slote (2001) 40 – 41.</w:t>
      </w:r>
    </w:p>
  </w:footnote>
  <w:footnote w:id="70">
    <w:p w14:paraId="4F4FB5DD" w14:textId="028BDEE2" w:rsidR="00A854D6" w:rsidRDefault="00A854D6">
      <w:pPr>
        <w:pStyle w:val="FootnoteText"/>
      </w:pPr>
      <w:r w:rsidRPr="002C16AB">
        <w:rPr>
          <w:rStyle w:val="FootnoteReference"/>
          <w:rFonts w:ascii="Arial" w:hAnsi="Arial" w:cs="Arial"/>
          <w:sz w:val="16"/>
          <w:szCs w:val="16"/>
        </w:rPr>
        <w:footnoteRef/>
      </w:r>
      <w:r w:rsidRPr="002C16AB">
        <w:rPr>
          <w:rFonts w:ascii="Arial" w:hAnsi="Arial" w:cs="Arial"/>
          <w:sz w:val="16"/>
          <w:szCs w:val="16"/>
        </w:rPr>
        <w:t xml:space="preserve"> See Russell (2009). </w:t>
      </w:r>
    </w:p>
  </w:footnote>
  <w:footnote w:id="71">
    <w:p w14:paraId="0C4E3650" w14:textId="1F2F3066" w:rsidR="00474579" w:rsidRPr="002C16AB" w:rsidRDefault="00474579">
      <w:pPr>
        <w:pStyle w:val="FootnoteText"/>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C. Swanton </w:t>
      </w:r>
      <w:r w:rsidRPr="002C16AB">
        <w:rPr>
          <w:rFonts w:ascii="Arial" w:hAnsi="Arial" w:cs="Arial"/>
          <w:i/>
          <w:iCs/>
          <w:sz w:val="16"/>
          <w:szCs w:val="16"/>
        </w:rPr>
        <w:t xml:space="preserve">Love and Its Place in Virtue </w:t>
      </w:r>
      <w:r w:rsidRPr="002C16AB">
        <w:rPr>
          <w:rFonts w:ascii="Arial" w:hAnsi="Arial" w:cs="Arial"/>
          <w:sz w:val="16"/>
          <w:szCs w:val="16"/>
        </w:rPr>
        <w:t>(Oxford: OUP, 2024).</w:t>
      </w:r>
    </w:p>
  </w:footnote>
  <w:footnote w:id="72">
    <w:p w14:paraId="3ED04805" w14:textId="510466B0" w:rsidR="00474579" w:rsidRPr="002C16AB" w:rsidRDefault="00474579">
      <w:pPr>
        <w:pStyle w:val="FootnoteText"/>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w:t>
      </w:r>
      <w:r w:rsidRPr="002C16AB">
        <w:rPr>
          <w:rFonts w:ascii="Arial" w:hAnsi="Arial" w:cs="Arial"/>
          <w:sz w:val="16"/>
          <w:szCs w:val="16"/>
        </w:rPr>
        <w:t>C. Swanton (2020) 11.</w:t>
      </w:r>
    </w:p>
  </w:footnote>
  <w:footnote w:id="73">
    <w:p w14:paraId="1BDC35B4" w14:textId="77777777" w:rsidR="00474579" w:rsidRPr="002C16AB" w:rsidRDefault="00474579" w:rsidP="00474579">
      <w:pPr>
        <w:pStyle w:val="FootnoteText"/>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C. Swanton (2020) 12.</w:t>
      </w:r>
    </w:p>
  </w:footnote>
  <w:footnote w:id="74">
    <w:p w14:paraId="73349EBD" w14:textId="3C7C2043" w:rsidR="00474579" w:rsidRDefault="00474579" w:rsidP="00474579">
      <w:pPr>
        <w:pStyle w:val="FootnoteText"/>
      </w:pPr>
      <w:r w:rsidRPr="002C16AB">
        <w:rPr>
          <w:rStyle w:val="FootnoteReference"/>
          <w:rFonts w:ascii="Arial" w:hAnsi="Arial" w:cs="Arial"/>
          <w:sz w:val="16"/>
          <w:szCs w:val="16"/>
        </w:rPr>
        <w:footnoteRef/>
      </w:r>
      <w:r w:rsidRPr="002C16AB">
        <w:rPr>
          <w:rFonts w:ascii="Arial" w:hAnsi="Arial" w:cs="Arial"/>
          <w:sz w:val="16"/>
          <w:szCs w:val="16"/>
        </w:rPr>
        <w:t xml:space="preserve"> </w:t>
      </w:r>
      <w:r w:rsidRPr="002C16AB">
        <w:rPr>
          <w:rFonts w:ascii="Arial" w:hAnsi="Arial" w:cs="Arial"/>
          <w:sz w:val="16"/>
          <w:szCs w:val="16"/>
        </w:rPr>
        <w:t>Ibid.</w:t>
      </w:r>
    </w:p>
  </w:footnote>
  <w:footnote w:id="75">
    <w:p w14:paraId="67E01595" w14:textId="145DE059" w:rsidR="00474579" w:rsidRPr="002C16AB" w:rsidRDefault="00474579"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Swanton (2020) Chapter 6 - 7.</w:t>
      </w:r>
    </w:p>
  </w:footnote>
  <w:footnote w:id="76">
    <w:p w14:paraId="4677709F" w14:textId="7A387910" w:rsidR="002C16AB" w:rsidRPr="002C16AB" w:rsidRDefault="002C16AB" w:rsidP="002C16AB">
      <w:pPr>
        <w:pStyle w:val="FootnoteText"/>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Swanton (2003) Chapter 12.</w:t>
      </w:r>
    </w:p>
  </w:footnote>
  <w:footnote w:id="77">
    <w:p w14:paraId="16B10B04" w14:textId="4B86D46C" w:rsidR="002542D4" w:rsidRPr="002C16AB" w:rsidRDefault="002542D4" w:rsidP="002C16AB">
      <w:pPr>
        <w:jc w:val="both"/>
        <w:rPr>
          <w:rFonts w:ascii="Arial" w:hAnsi="Arial" w:cs="Arial"/>
          <w:sz w:val="16"/>
          <w:szCs w:val="16"/>
        </w:rPr>
      </w:pPr>
      <w:r w:rsidRPr="002C16AB">
        <w:rPr>
          <w:rStyle w:val="FootnoteReference"/>
          <w:rFonts w:ascii="Arial" w:hAnsi="Arial" w:cs="Arial"/>
          <w:sz w:val="16"/>
          <w:szCs w:val="16"/>
        </w:rPr>
        <w:footnoteRef/>
      </w:r>
      <w:r w:rsidRPr="002C16AB">
        <w:rPr>
          <w:rFonts w:ascii="Arial" w:hAnsi="Arial" w:cs="Arial"/>
          <w:sz w:val="16"/>
          <w:szCs w:val="16"/>
        </w:rPr>
        <w:t xml:space="preserve"> </w:t>
      </w:r>
      <w:r w:rsidR="002C16AB" w:rsidRPr="002C16AB">
        <w:rPr>
          <w:rFonts w:ascii="Arial" w:hAnsi="Arial" w:cs="Arial"/>
          <w:sz w:val="16"/>
          <w:szCs w:val="16"/>
        </w:rPr>
        <w:t>By her TBVE account (2003), a</w:t>
      </w:r>
      <w:r w:rsidRPr="002C16AB">
        <w:rPr>
          <w:rFonts w:ascii="Arial" w:hAnsi="Arial" w:cs="Arial"/>
          <w:sz w:val="16"/>
          <w:szCs w:val="16"/>
        </w:rPr>
        <w:t>n action is virtuous in respect of V (the target of virtue, e.g. honesty) iff it hits the target of V (honesty) and an action is right iff it is overall virtuous (Swanton 2003, 228). There are right actions (overall virtuous), wrong actions (overall vicious) and actions that are ‘all right’ (neither) (</w:t>
      </w:r>
      <w:r w:rsidR="002C16AB" w:rsidRPr="002C16AB">
        <w:rPr>
          <w:rFonts w:ascii="Arial" w:hAnsi="Arial" w:cs="Arial"/>
          <w:sz w:val="16"/>
          <w:szCs w:val="16"/>
        </w:rPr>
        <w:t xml:space="preserve">2003) </w:t>
      </w:r>
      <w:r w:rsidRPr="002C16AB">
        <w:rPr>
          <w:rFonts w:ascii="Arial" w:hAnsi="Arial" w:cs="Arial"/>
          <w:sz w:val="16"/>
          <w:szCs w:val="16"/>
        </w:rPr>
        <w:t>239 - 240.</w:t>
      </w:r>
    </w:p>
  </w:footnote>
  <w:footnote w:id="78">
    <w:p w14:paraId="6AC680BE" w14:textId="4F35D622" w:rsidR="002C16AB" w:rsidRDefault="002C16AB">
      <w:pPr>
        <w:pStyle w:val="FootnoteText"/>
      </w:pPr>
      <w:r w:rsidRPr="002C16AB">
        <w:rPr>
          <w:rStyle w:val="FootnoteReference"/>
          <w:sz w:val="16"/>
          <w:szCs w:val="16"/>
        </w:rPr>
        <w:footnoteRef/>
      </w:r>
      <w:r w:rsidRPr="002C16AB">
        <w:rPr>
          <w:sz w:val="16"/>
          <w:szCs w:val="16"/>
        </w:rPr>
        <w:t xml:space="preserve"> </w:t>
      </w:r>
      <w:r w:rsidRPr="002C16AB">
        <w:rPr>
          <w:rFonts w:ascii="Calibri" w:hAnsi="Calibri" w:cs="Calibri"/>
          <w:sz w:val="16"/>
          <w:szCs w:val="16"/>
        </w:rPr>
        <w:t>Swanton (2003) Chapter 13. There is, following Swanton, a potential distinction between what we might call a strict indeterminacy objection (i.e. determinacy requires a single, universal answer) and wide (i.e. indeterminate because of insufficient convergence). That makes no difference to our answer.</w:t>
      </w:r>
    </w:p>
  </w:footnote>
  <w:footnote w:id="79">
    <w:p w14:paraId="6E3ABC2E" w14:textId="69EA73B0" w:rsidR="002C16AB" w:rsidRDefault="002C16AB">
      <w:pPr>
        <w:pStyle w:val="FootnoteText"/>
      </w:pPr>
      <w:r>
        <w:rPr>
          <w:rStyle w:val="FootnoteReference"/>
        </w:rPr>
        <w:footnoteRef/>
      </w:r>
      <w:r>
        <w:t xml:space="preserve"> Swanton (2020) Chapter 11.</w:t>
      </w:r>
    </w:p>
  </w:footnote>
  <w:footnote w:id="80">
    <w:p w14:paraId="2100542C" w14:textId="42C01559" w:rsidR="002542D4" w:rsidRDefault="002542D4" w:rsidP="002542D4">
      <w:pPr>
        <w:pStyle w:val="FootnoteText"/>
      </w:pPr>
      <w:r>
        <w:rPr>
          <w:rStyle w:val="FootnoteReference"/>
        </w:rPr>
        <w:footnoteRef/>
      </w:r>
      <w:r>
        <w:t xml:space="preserve"> </w:t>
      </w:r>
      <w:r w:rsidR="002C16AB">
        <w:t xml:space="preserve">Swanton </w:t>
      </w:r>
      <w:r w:rsidR="006E287D">
        <w:t>(2020) 266 – 270.</w:t>
      </w:r>
    </w:p>
  </w:footnote>
  <w:footnote w:id="81">
    <w:p w14:paraId="53C51F9E" w14:textId="153C1C43" w:rsidR="00601581" w:rsidRPr="006E287D" w:rsidRDefault="00601581">
      <w:pPr>
        <w:pStyle w:val="FootnoteText"/>
        <w:rPr>
          <w:rFonts w:ascii="Arial" w:hAnsi="Arial" w:cs="Arial"/>
          <w:sz w:val="16"/>
          <w:szCs w:val="16"/>
        </w:rPr>
      </w:pPr>
      <w:r w:rsidRPr="006E287D">
        <w:rPr>
          <w:rStyle w:val="FootnoteReference"/>
          <w:rFonts w:ascii="Arial" w:hAnsi="Arial" w:cs="Arial"/>
          <w:sz w:val="16"/>
          <w:szCs w:val="16"/>
        </w:rPr>
        <w:footnoteRef/>
      </w:r>
      <w:r w:rsidRPr="006E287D">
        <w:rPr>
          <w:rFonts w:ascii="Arial" w:hAnsi="Arial" w:cs="Arial"/>
          <w:sz w:val="16"/>
          <w:szCs w:val="16"/>
        </w:rPr>
        <w:t xml:space="preserve"> </w:t>
      </w:r>
      <w:r w:rsidR="006E287D" w:rsidRPr="006E287D">
        <w:rPr>
          <w:rFonts w:ascii="Arial" w:hAnsi="Arial" w:cs="Arial"/>
          <w:sz w:val="16"/>
          <w:szCs w:val="16"/>
        </w:rPr>
        <w:t>See</w:t>
      </w:r>
      <w:r w:rsidRPr="006E287D">
        <w:rPr>
          <w:rFonts w:ascii="Arial" w:hAnsi="Arial" w:cs="Arial"/>
          <w:sz w:val="16"/>
          <w:szCs w:val="16"/>
        </w:rPr>
        <w:t xml:space="preserve"> </w:t>
      </w:r>
      <w:r w:rsidR="006E287D" w:rsidRPr="006E287D">
        <w:rPr>
          <w:rFonts w:ascii="Arial" w:hAnsi="Arial" w:cs="Arial"/>
          <w:sz w:val="16"/>
          <w:szCs w:val="16"/>
        </w:rPr>
        <w:t xml:space="preserve">D.C </w:t>
      </w:r>
      <w:r w:rsidRPr="006E287D">
        <w:rPr>
          <w:rFonts w:ascii="Arial" w:hAnsi="Arial" w:cs="Arial"/>
          <w:sz w:val="16"/>
          <w:szCs w:val="16"/>
        </w:rPr>
        <w:t>Russell</w:t>
      </w:r>
      <w:r w:rsidR="006E287D" w:rsidRPr="006E287D">
        <w:rPr>
          <w:rFonts w:ascii="Arial" w:hAnsi="Arial" w:cs="Arial"/>
          <w:sz w:val="16"/>
          <w:szCs w:val="16"/>
        </w:rPr>
        <w:t xml:space="preserve"> (2009).</w:t>
      </w:r>
    </w:p>
  </w:footnote>
  <w:footnote w:id="82">
    <w:p w14:paraId="334D9DD1" w14:textId="7B95E844" w:rsidR="00474579" w:rsidRPr="006E287D" w:rsidRDefault="00474579">
      <w:pPr>
        <w:pStyle w:val="FootnoteText"/>
        <w:rPr>
          <w:rFonts w:ascii="Arial" w:hAnsi="Arial" w:cs="Arial"/>
          <w:sz w:val="16"/>
          <w:szCs w:val="16"/>
        </w:rPr>
      </w:pPr>
      <w:r w:rsidRPr="006E287D">
        <w:rPr>
          <w:rStyle w:val="FootnoteReference"/>
          <w:rFonts w:ascii="Arial" w:hAnsi="Arial" w:cs="Arial"/>
          <w:sz w:val="16"/>
          <w:szCs w:val="16"/>
        </w:rPr>
        <w:footnoteRef/>
      </w:r>
      <w:r w:rsidRPr="006E287D">
        <w:rPr>
          <w:rFonts w:ascii="Arial" w:hAnsi="Arial" w:cs="Arial"/>
          <w:sz w:val="16"/>
          <w:szCs w:val="16"/>
        </w:rPr>
        <w:t xml:space="preserve"> </w:t>
      </w:r>
      <w:r w:rsidRPr="006E287D">
        <w:rPr>
          <w:rFonts w:ascii="Arial" w:hAnsi="Arial" w:cs="Arial"/>
          <w:color w:val="2A2A2A"/>
          <w:sz w:val="16"/>
          <w:szCs w:val="16"/>
          <w:shd w:val="clear" w:color="auto" w:fill="FFFFFF"/>
        </w:rPr>
        <w:t xml:space="preserve">C. </w:t>
      </w:r>
      <w:r w:rsidRPr="006E287D">
        <w:rPr>
          <w:rFonts w:ascii="Arial" w:hAnsi="Arial" w:cs="Arial"/>
          <w:color w:val="2A2A2A"/>
          <w:sz w:val="16"/>
          <w:szCs w:val="16"/>
          <w:shd w:val="clear" w:color="auto" w:fill="FFFFFF"/>
        </w:rPr>
        <w:t xml:space="preserve"> Miller,</w:t>
      </w:r>
      <w:r w:rsidRPr="006E287D">
        <w:rPr>
          <w:rStyle w:val="apple-converted-space"/>
          <w:rFonts w:ascii="Arial" w:hAnsi="Arial" w:cs="Arial"/>
          <w:color w:val="2A2A2A"/>
          <w:sz w:val="16"/>
          <w:szCs w:val="16"/>
          <w:shd w:val="clear" w:color="auto" w:fill="FFFFFF"/>
        </w:rPr>
        <w:t>  </w:t>
      </w:r>
      <w:r w:rsidRPr="006E287D">
        <w:rPr>
          <w:rStyle w:val="Emphasis"/>
          <w:rFonts w:ascii="Arial" w:hAnsi="Arial" w:cs="Arial"/>
          <w:color w:val="2A2A2A"/>
          <w:sz w:val="16"/>
          <w:szCs w:val="16"/>
          <w:bdr w:val="none" w:sz="0" w:space="0" w:color="auto" w:frame="1"/>
        </w:rPr>
        <w:t>Love and Its Place in Virtue</w:t>
      </w:r>
      <w:r w:rsidRPr="006E287D">
        <w:rPr>
          <w:rFonts w:ascii="Arial" w:hAnsi="Arial" w:cs="Arial"/>
          <w:color w:val="2A2A2A"/>
          <w:sz w:val="16"/>
          <w:szCs w:val="16"/>
          <w:shd w:val="clear" w:color="auto" w:fill="FFFFFF"/>
        </w:rPr>
        <w:t>, by Christine Swanton,</w:t>
      </w:r>
      <w:r w:rsidRPr="006E287D">
        <w:rPr>
          <w:rStyle w:val="apple-converted-space"/>
          <w:rFonts w:ascii="Arial" w:hAnsi="Arial" w:cs="Arial"/>
          <w:color w:val="2A2A2A"/>
          <w:sz w:val="16"/>
          <w:szCs w:val="16"/>
          <w:shd w:val="clear" w:color="auto" w:fill="FFFFFF"/>
        </w:rPr>
        <w:t> </w:t>
      </w:r>
      <w:r w:rsidRPr="006E287D">
        <w:rPr>
          <w:rStyle w:val="Emphasis"/>
          <w:rFonts w:ascii="Arial" w:hAnsi="Arial" w:cs="Arial"/>
          <w:color w:val="2A2A2A"/>
          <w:sz w:val="16"/>
          <w:szCs w:val="16"/>
          <w:bdr w:val="none" w:sz="0" w:space="0" w:color="auto" w:frame="1"/>
        </w:rPr>
        <w:t>Mind</w:t>
      </w:r>
      <w:r w:rsidRPr="006E287D">
        <w:rPr>
          <w:rFonts w:ascii="Arial" w:hAnsi="Arial" w:cs="Arial"/>
          <w:color w:val="2A2A2A"/>
          <w:sz w:val="16"/>
          <w:szCs w:val="16"/>
          <w:shd w:val="clear" w:color="auto" w:fill="FFFFFF"/>
        </w:rPr>
        <w:t>, 2025;, fzaf031,</w:t>
      </w:r>
      <w:r w:rsidRPr="006E287D">
        <w:rPr>
          <w:rStyle w:val="apple-converted-space"/>
          <w:rFonts w:ascii="Arial" w:hAnsi="Arial" w:cs="Arial"/>
          <w:color w:val="2A2A2A"/>
          <w:sz w:val="16"/>
          <w:szCs w:val="16"/>
          <w:shd w:val="clear" w:color="auto" w:fill="FFFFFF"/>
        </w:rPr>
        <w:t> </w:t>
      </w:r>
      <w:hyperlink r:id="rId4" w:history="1">
        <w:r w:rsidRPr="006E287D">
          <w:rPr>
            <w:rStyle w:val="Hyperlink"/>
            <w:rFonts w:ascii="Arial" w:hAnsi="Arial" w:cs="Arial"/>
            <w:color w:val="006FB7"/>
            <w:sz w:val="16"/>
            <w:szCs w:val="16"/>
            <w:u w:val="none"/>
            <w:bdr w:val="none" w:sz="0" w:space="0" w:color="auto" w:frame="1"/>
          </w:rPr>
          <w:t>https://doi.org/10.1093/mind/fzaf031</w:t>
        </w:r>
      </w:hyperlink>
    </w:p>
  </w:footnote>
  <w:footnote w:id="83">
    <w:p w14:paraId="582527A4" w14:textId="60E997E5" w:rsidR="001359A1" w:rsidRDefault="001359A1" w:rsidP="001359A1">
      <w:pPr>
        <w:pStyle w:val="FootnoteText"/>
      </w:pPr>
      <w:r w:rsidRPr="006E287D">
        <w:rPr>
          <w:rStyle w:val="FootnoteReference"/>
          <w:rFonts w:ascii="Arial" w:hAnsi="Arial" w:cs="Arial"/>
          <w:sz w:val="16"/>
          <w:szCs w:val="16"/>
        </w:rPr>
        <w:footnoteRef/>
      </w:r>
      <w:r w:rsidRPr="006E287D">
        <w:rPr>
          <w:rFonts w:ascii="Arial" w:hAnsi="Arial" w:cs="Arial"/>
          <w:sz w:val="16"/>
          <w:szCs w:val="16"/>
        </w:rPr>
        <w:t xml:space="preserve"> </w:t>
      </w:r>
      <w:r w:rsidR="006E287D" w:rsidRPr="006E287D">
        <w:rPr>
          <w:rFonts w:ascii="Arial" w:hAnsi="Arial" w:cs="Arial"/>
          <w:sz w:val="16"/>
          <w:szCs w:val="16"/>
        </w:rPr>
        <w:t>Again, t</w:t>
      </w:r>
      <w:r w:rsidRPr="006E287D">
        <w:rPr>
          <w:rFonts w:ascii="Arial" w:hAnsi="Arial" w:cs="Arial"/>
          <w:sz w:val="16"/>
          <w:szCs w:val="16"/>
        </w:rPr>
        <w:t xml:space="preserve">his is, ironically, </w:t>
      </w:r>
      <w:r w:rsidR="006E287D" w:rsidRPr="006E287D">
        <w:rPr>
          <w:rFonts w:ascii="Arial" w:hAnsi="Arial" w:cs="Arial"/>
          <w:sz w:val="16"/>
          <w:szCs w:val="16"/>
        </w:rPr>
        <w:t>in accord with Louden’s ‘theory’</w:t>
      </w:r>
      <w:r w:rsidRPr="006E287D">
        <w:rPr>
          <w:rFonts w:ascii="Arial" w:hAnsi="Arial" w:cs="Arial"/>
          <w:sz w:val="16"/>
          <w:szCs w:val="16"/>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311C1"/>
    <w:multiLevelType w:val="hybridMultilevel"/>
    <w:tmpl w:val="46A81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0D32E2"/>
    <w:multiLevelType w:val="hybridMultilevel"/>
    <w:tmpl w:val="4A8C5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893772"/>
    <w:multiLevelType w:val="hybridMultilevel"/>
    <w:tmpl w:val="DA2E9D4E"/>
    <w:lvl w:ilvl="0" w:tplc="4CBC4358">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C4E14BB"/>
    <w:multiLevelType w:val="hybridMultilevel"/>
    <w:tmpl w:val="C1184D68"/>
    <w:lvl w:ilvl="0" w:tplc="A3D239E8">
      <w:start w:val="1"/>
      <w:numFmt w:val="upperLetter"/>
      <w:lvlText w:val="%1."/>
      <w:lvlJc w:val="left"/>
      <w:pPr>
        <w:ind w:left="1080" w:hanging="360"/>
      </w:pPr>
      <w:rPr>
        <w:rFonts w:ascii="Merriweather Sans" w:hAnsi="Merriweather Sans" w:hint="default"/>
        <w:color w:val="2222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69462731">
    <w:abstractNumId w:val="2"/>
  </w:num>
  <w:num w:numId="2" w16cid:durableId="1058474109">
    <w:abstractNumId w:val="3"/>
  </w:num>
  <w:num w:numId="3" w16cid:durableId="764107959">
    <w:abstractNumId w:val="0"/>
  </w:num>
  <w:num w:numId="4" w16cid:durableId="1398818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69D"/>
    <w:rsid w:val="00003F8D"/>
    <w:rsid w:val="0004150A"/>
    <w:rsid w:val="0004458C"/>
    <w:rsid w:val="00057A3F"/>
    <w:rsid w:val="000677C5"/>
    <w:rsid w:val="00086155"/>
    <w:rsid w:val="000A3B5A"/>
    <w:rsid w:val="000B242A"/>
    <w:rsid w:val="000C3EF3"/>
    <w:rsid w:val="000C444D"/>
    <w:rsid w:val="000E0041"/>
    <w:rsid w:val="000E4B7A"/>
    <w:rsid w:val="000E5605"/>
    <w:rsid w:val="000E6B8A"/>
    <w:rsid w:val="000F1828"/>
    <w:rsid w:val="000F6289"/>
    <w:rsid w:val="00107728"/>
    <w:rsid w:val="001176E5"/>
    <w:rsid w:val="001321E4"/>
    <w:rsid w:val="00133EFA"/>
    <w:rsid w:val="00133FC0"/>
    <w:rsid w:val="001359A1"/>
    <w:rsid w:val="0015787E"/>
    <w:rsid w:val="001752B1"/>
    <w:rsid w:val="00182C8E"/>
    <w:rsid w:val="00185CF8"/>
    <w:rsid w:val="00195800"/>
    <w:rsid w:val="001A0093"/>
    <w:rsid w:val="001A5BDC"/>
    <w:rsid w:val="001A747B"/>
    <w:rsid w:val="001B0995"/>
    <w:rsid w:val="001C10B7"/>
    <w:rsid w:val="001C5C8F"/>
    <w:rsid w:val="001D5B3C"/>
    <w:rsid w:val="002002D0"/>
    <w:rsid w:val="00223834"/>
    <w:rsid w:val="00226C32"/>
    <w:rsid w:val="00241219"/>
    <w:rsid w:val="0024529D"/>
    <w:rsid w:val="002542D4"/>
    <w:rsid w:val="00260D81"/>
    <w:rsid w:val="002633B2"/>
    <w:rsid w:val="00263845"/>
    <w:rsid w:val="002717EF"/>
    <w:rsid w:val="00283BA0"/>
    <w:rsid w:val="00287156"/>
    <w:rsid w:val="00291065"/>
    <w:rsid w:val="002A38A6"/>
    <w:rsid w:val="002B09C3"/>
    <w:rsid w:val="002C16AB"/>
    <w:rsid w:val="002C2582"/>
    <w:rsid w:val="002D4B43"/>
    <w:rsid w:val="002D5C5F"/>
    <w:rsid w:val="002F0B48"/>
    <w:rsid w:val="003237F4"/>
    <w:rsid w:val="00324E6C"/>
    <w:rsid w:val="0032525B"/>
    <w:rsid w:val="00330DF8"/>
    <w:rsid w:val="00331A02"/>
    <w:rsid w:val="0034261E"/>
    <w:rsid w:val="00347523"/>
    <w:rsid w:val="003824F4"/>
    <w:rsid w:val="00387174"/>
    <w:rsid w:val="00387C14"/>
    <w:rsid w:val="003A19E5"/>
    <w:rsid w:val="003B0502"/>
    <w:rsid w:val="003B224E"/>
    <w:rsid w:val="003B2E94"/>
    <w:rsid w:val="003C414E"/>
    <w:rsid w:val="003C7C70"/>
    <w:rsid w:val="003D2FDF"/>
    <w:rsid w:val="003D332E"/>
    <w:rsid w:val="003D3871"/>
    <w:rsid w:val="003D4700"/>
    <w:rsid w:val="003D7549"/>
    <w:rsid w:val="003E3846"/>
    <w:rsid w:val="00414D29"/>
    <w:rsid w:val="00443BC4"/>
    <w:rsid w:val="004632BE"/>
    <w:rsid w:val="00467C6E"/>
    <w:rsid w:val="00467DB3"/>
    <w:rsid w:val="00472253"/>
    <w:rsid w:val="00474579"/>
    <w:rsid w:val="004B2DFD"/>
    <w:rsid w:val="004B723B"/>
    <w:rsid w:val="004D1C2E"/>
    <w:rsid w:val="004E0E1E"/>
    <w:rsid w:val="004E5569"/>
    <w:rsid w:val="00503A79"/>
    <w:rsid w:val="0051290A"/>
    <w:rsid w:val="00520547"/>
    <w:rsid w:val="00522A38"/>
    <w:rsid w:val="005243B3"/>
    <w:rsid w:val="00526CB9"/>
    <w:rsid w:val="005376BE"/>
    <w:rsid w:val="005477D0"/>
    <w:rsid w:val="005523ED"/>
    <w:rsid w:val="005547C2"/>
    <w:rsid w:val="00555978"/>
    <w:rsid w:val="00572327"/>
    <w:rsid w:val="00576CA5"/>
    <w:rsid w:val="00586DEE"/>
    <w:rsid w:val="00595459"/>
    <w:rsid w:val="0059687C"/>
    <w:rsid w:val="005C06B9"/>
    <w:rsid w:val="005C3976"/>
    <w:rsid w:val="005C3C1E"/>
    <w:rsid w:val="00601581"/>
    <w:rsid w:val="00605511"/>
    <w:rsid w:val="00657F4F"/>
    <w:rsid w:val="006760EE"/>
    <w:rsid w:val="0068444C"/>
    <w:rsid w:val="006B12DE"/>
    <w:rsid w:val="006C2ED1"/>
    <w:rsid w:val="006D238B"/>
    <w:rsid w:val="006E187A"/>
    <w:rsid w:val="006E287D"/>
    <w:rsid w:val="006E4193"/>
    <w:rsid w:val="006E68F8"/>
    <w:rsid w:val="006F12D6"/>
    <w:rsid w:val="00701CF8"/>
    <w:rsid w:val="00714813"/>
    <w:rsid w:val="00724D49"/>
    <w:rsid w:val="00727A25"/>
    <w:rsid w:val="00727DD8"/>
    <w:rsid w:val="00730CCF"/>
    <w:rsid w:val="00740C48"/>
    <w:rsid w:val="0075494A"/>
    <w:rsid w:val="0077595D"/>
    <w:rsid w:val="00785FD5"/>
    <w:rsid w:val="007903AD"/>
    <w:rsid w:val="007D134E"/>
    <w:rsid w:val="007D1F4E"/>
    <w:rsid w:val="007E6949"/>
    <w:rsid w:val="00810863"/>
    <w:rsid w:val="00813CA2"/>
    <w:rsid w:val="00820D08"/>
    <w:rsid w:val="00825DDF"/>
    <w:rsid w:val="008324F2"/>
    <w:rsid w:val="00854D4A"/>
    <w:rsid w:val="00863CB5"/>
    <w:rsid w:val="008756A2"/>
    <w:rsid w:val="00882CC8"/>
    <w:rsid w:val="008A19D3"/>
    <w:rsid w:val="008B64FF"/>
    <w:rsid w:val="008D00EA"/>
    <w:rsid w:val="008D6590"/>
    <w:rsid w:val="008E0164"/>
    <w:rsid w:val="008E6560"/>
    <w:rsid w:val="008F5452"/>
    <w:rsid w:val="008F5941"/>
    <w:rsid w:val="0090325C"/>
    <w:rsid w:val="009067AC"/>
    <w:rsid w:val="009250B2"/>
    <w:rsid w:val="009438DF"/>
    <w:rsid w:val="00946CB2"/>
    <w:rsid w:val="00970B58"/>
    <w:rsid w:val="00972CB1"/>
    <w:rsid w:val="00997ACB"/>
    <w:rsid w:val="009A66A4"/>
    <w:rsid w:val="009C0CA8"/>
    <w:rsid w:val="009C4BFB"/>
    <w:rsid w:val="00A04F9C"/>
    <w:rsid w:val="00A06429"/>
    <w:rsid w:val="00A132A2"/>
    <w:rsid w:val="00A13A0A"/>
    <w:rsid w:val="00A202B4"/>
    <w:rsid w:val="00A261DC"/>
    <w:rsid w:val="00A311B9"/>
    <w:rsid w:val="00A33ADD"/>
    <w:rsid w:val="00A366B3"/>
    <w:rsid w:val="00A62B87"/>
    <w:rsid w:val="00A73D3D"/>
    <w:rsid w:val="00A76252"/>
    <w:rsid w:val="00A77812"/>
    <w:rsid w:val="00A82E5D"/>
    <w:rsid w:val="00A854D6"/>
    <w:rsid w:val="00AB23A5"/>
    <w:rsid w:val="00AB3ECE"/>
    <w:rsid w:val="00AB4C7B"/>
    <w:rsid w:val="00AC01ED"/>
    <w:rsid w:val="00AE32E6"/>
    <w:rsid w:val="00AF07BF"/>
    <w:rsid w:val="00AF1A4C"/>
    <w:rsid w:val="00AF27B1"/>
    <w:rsid w:val="00B22BBD"/>
    <w:rsid w:val="00B30C61"/>
    <w:rsid w:val="00B71519"/>
    <w:rsid w:val="00B72684"/>
    <w:rsid w:val="00B7769D"/>
    <w:rsid w:val="00B86D49"/>
    <w:rsid w:val="00B93687"/>
    <w:rsid w:val="00B96292"/>
    <w:rsid w:val="00BA40A5"/>
    <w:rsid w:val="00BB5943"/>
    <w:rsid w:val="00BC1F54"/>
    <w:rsid w:val="00BC49B5"/>
    <w:rsid w:val="00BC67CD"/>
    <w:rsid w:val="00BE79FC"/>
    <w:rsid w:val="00BF390A"/>
    <w:rsid w:val="00C12F0B"/>
    <w:rsid w:val="00C16A6C"/>
    <w:rsid w:val="00C174DB"/>
    <w:rsid w:val="00C41C1D"/>
    <w:rsid w:val="00C44FAD"/>
    <w:rsid w:val="00C45106"/>
    <w:rsid w:val="00C63896"/>
    <w:rsid w:val="00C77023"/>
    <w:rsid w:val="00CA05C3"/>
    <w:rsid w:val="00CB6B02"/>
    <w:rsid w:val="00CC201B"/>
    <w:rsid w:val="00CC40CF"/>
    <w:rsid w:val="00CC7559"/>
    <w:rsid w:val="00CE74A7"/>
    <w:rsid w:val="00D03F3B"/>
    <w:rsid w:val="00D260CF"/>
    <w:rsid w:val="00D86A15"/>
    <w:rsid w:val="00D95D61"/>
    <w:rsid w:val="00DB5A31"/>
    <w:rsid w:val="00DD5D4E"/>
    <w:rsid w:val="00DE2872"/>
    <w:rsid w:val="00DE31AF"/>
    <w:rsid w:val="00DE6C3F"/>
    <w:rsid w:val="00DF336B"/>
    <w:rsid w:val="00DF5937"/>
    <w:rsid w:val="00E01780"/>
    <w:rsid w:val="00E35E0D"/>
    <w:rsid w:val="00E47A73"/>
    <w:rsid w:val="00E6152C"/>
    <w:rsid w:val="00E85409"/>
    <w:rsid w:val="00E85C1E"/>
    <w:rsid w:val="00E97749"/>
    <w:rsid w:val="00EA6F8C"/>
    <w:rsid w:val="00EB39DD"/>
    <w:rsid w:val="00EC0837"/>
    <w:rsid w:val="00ED0226"/>
    <w:rsid w:val="00ED5554"/>
    <w:rsid w:val="00F0578A"/>
    <w:rsid w:val="00F20551"/>
    <w:rsid w:val="00F25439"/>
    <w:rsid w:val="00F35A4E"/>
    <w:rsid w:val="00F431FF"/>
    <w:rsid w:val="00F5045F"/>
    <w:rsid w:val="00F5429A"/>
    <w:rsid w:val="00F82FB2"/>
    <w:rsid w:val="00F92BED"/>
    <w:rsid w:val="00FA7DD2"/>
    <w:rsid w:val="00FB4A49"/>
    <w:rsid w:val="00FC6D54"/>
    <w:rsid w:val="00FD7C30"/>
    <w:rsid w:val="00FF3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BB7ADB0"/>
  <w15:chartTrackingRefBased/>
  <w15:docId w15:val="{36670FCA-1C8D-7E4D-88D4-05A96D19D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863"/>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B7769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7769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B7769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7769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B7769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B7769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B7769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B7769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B7769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6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6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776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6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6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6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6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6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69D"/>
    <w:rPr>
      <w:rFonts w:eastAsiaTheme="majorEastAsia" w:cstheme="majorBidi"/>
      <w:color w:val="272727" w:themeColor="text1" w:themeTint="D8"/>
    </w:rPr>
  </w:style>
  <w:style w:type="paragraph" w:styleId="Title">
    <w:name w:val="Title"/>
    <w:basedOn w:val="Normal"/>
    <w:next w:val="Normal"/>
    <w:link w:val="TitleChar"/>
    <w:uiPriority w:val="10"/>
    <w:qFormat/>
    <w:rsid w:val="00B7769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776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69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776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69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B7769D"/>
    <w:rPr>
      <w:i/>
      <w:iCs/>
      <w:color w:val="404040" w:themeColor="text1" w:themeTint="BF"/>
    </w:rPr>
  </w:style>
  <w:style w:type="paragraph" w:styleId="ListParagraph">
    <w:name w:val="List Paragraph"/>
    <w:basedOn w:val="Normal"/>
    <w:uiPriority w:val="1"/>
    <w:qFormat/>
    <w:rsid w:val="00B7769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B7769D"/>
    <w:rPr>
      <w:i/>
      <w:iCs/>
      <w:color w:val="0F4761" w:themeColor="accent1" w:themeShade="BF"/>
    </w:rPr>
  </w:style>
  <w:style w:type="paragraph" w:styleId="IntenseQuote">
    <w:name w:val="Intense Quote"/>
    <w:basedOn w:val="Normal"/>
    <w:next w:val="Normal"/>
    <w:link w:val="IntenseQuoteChar"/>
    <w:uiPriority w:val="30"/>
    <w:qFormat/>
    <w:rsid w:val="00B7769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B7769D"/>
    <w:rPr>
      <w:i/>
      <w:iCs/>
      <w:color w:val="0F4761" w:themeColor="accent1" w:themeShade="BF"/>
    </w:rPr>
  </w:style>
  <w:style w:type="character" w:styleId="IntenseReference">
    <w:name w:val="Intense Reference"/>
    <w:basedOn w:val="DefaultParagraphFont"/>
    <w:uiPriority w:val="32"/>
    <w:qFormat/>
    <w:rsid w:val="00B7769D"/>
    <w:rPr>
      <w:b/>
      <w:bCs/>
      <w:smallCaps/>
      <w:color w:val="0F4761" w:themeColor="accent1" w:themeShade="BF"/>
      <w:spacing w:val="5"/>
    </w:rPr>
  </w:style>
  <w:style w:type="paragraph" w:styleId="FootnoteText">
    <w:name w:val="footnote text"/>
    <w:basedOn w:val="Normal"/>
    <w:link w:val="FootnoteTextChar"/>
    <w:uiPriority w:val="99"/>
    <w:unhideWhenUsed/>
    <w:rsid w:val="00B7769D"/>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rsid w:val="00B7769D"/>
    <w:rPr>
      <w:sz w:val="20"/>
      <w:szCs w:val="20"/>
    </w:rPr>
  </w:style>
  <w:style w:type="character" w:styleId="FootnoteReference">
    <w:name w:val="footnote reference"/>
    <w:basedOn w:val="DefaultParagraphFont"/>
    <w:uiPriority w:val="99"/>
    <w:semiHidden/>
    <w:unhideWhenUsed/>
    <w:rsid w:val="00B7769D"/>
    <w:rPr>
      <w:vertAlign w:val="superscript"/>
    </w:rPr>
  </w:style>
  <w:style w:type="character" w:customStyle="1" w:styleId="textrun">
    <w:name w:val="textrun"/>
    <w:basedOn w:val="DefaultParagraphFont"/>
    <w:rsid w:val="00B7769D"/>
  </w:style>
  <w:style w:type="character" w:customStyle="1" w:styleId="eop">
    <w:name w:val="eop"/>
    <w:basedOn w:val="DefaultParagraphFont"/>
    <w:rsid w:val="00B7769D"/>
  </w:style>
  <w:style w:type="paragraph" w:styleId="BodyText">
    <w:name w:val="Body Text"/>
    <w:basedOn w:val="Normal"/>
    <w:link w:val="BodyTextChar"/>
    <w:uiPriority w:val="1"/>
    <w:qFormat/>
    <w:rsid w:val="00825DDF"/>
    <w:pPr>
      <w:autoSpaceDE w:val="0"/>
      <w:autoSpaceDN w:val="0"/>
      <w:adjustRightInd w:val="0"/>
      <w:spacing w:line="258" w:lineRule="exact"/>
      <w:ind w:left="23"/>
    </w:pPr>
    <w:rPr>
      <w:rFonts w:eastAsiaTheme="minorHAnsi"/>
      <w:lang w:eastAsia="en-US"/>
      <w14:ligatures w14:val="standardContextual"/>
    </w:rPr>
  </w:style>
  <w:style w:type="character" w:customStyle="1" w:styleId="BodyTextChar">
    <w:name w:val="Body Text Char"/>
    <w:basedOn w:val="DefaultParagraphFont"/>
    <w:link w:val="BodyText"/>
    <w:uiPriority w:val="1"/>
    <w:rsid w:val="00825DDF"/>
    <w:rPr>
      <w:rFonts w:ascii="Times New Roman" w:hAnsi="Times New Roman" w:cs="Times New Roman"/>
      <w:kern w:val="0"/>
    </w:rPr>
  </w:style>
  <w:style w:type="character" w:customStyle="1" w:styleId="apple-converted-space">
    <w:name w:val="apple-converted-space"/>
    <w:basedOn w:val="DefaultParagraphFont"/>
    <w:rsid w:val="00825DDF"/>
  </w:style>
  <w:style w:type="paragraph" w:customStyle="1" w:styleId="p1">
    <w:name w:val="p1"/>
    <w:basedOn w:val="Normal"/>
    <w:rsid w:val="00825DDF"/>
    <w:rPr>
      <w:rFonts w:ascii="Helvetica" w:hAnsi="Helvetica"/>
      <w:color w:val="000000"/>
      <w:sz w:val="15"/>
      <w:szCs w:val="15"/>
    </w:rPr>
  </w:style>
  <w:style w:type="paragraph" w:styleId="Footer">
    <w:name w:val="footer"/>
    <w:basedOn w:val="Normal"/>
    <w:link w:val="FooterChar"/>
    <w:uiPriority w:val="99"/>
    <w:unhideWhenUsed/>
    <w:rsid w:val="001321E4"/>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1321E4"/>
  </w:style>
  <w:style w:type="character" w:styleId="PageNumber">
    <w:name w:val="page number"/>
    <w:basedOn w:val="DefaultParagraphFont"/>
    <w:uiPriority w:val="99"/>
    <w:semiHidden/>
    <w:unhideWhenUsed/>
    <w:rsid w:val="001321E4"/>
  </w:style>
  <w:style w:type="paragraph" w:customStyle="1" w:styleId="content-meta-dataauthors">
    <w:name w:val="content-meta-data__authors"/>
    <w:basedOn w:val="Normal"/>
    <w:rsid w:val="00B93687"/>
    <w:pPr>
      <w:spacing w:before="100" w:beforeAutospacing="1" w:after="100" w:afterAutospacing="1"/>
    </w:pPr>
  </w:style>
  <w:style w:type="character" w:styleId="Hyperlink">
    <w:name w:val="Hyperlink"/>
    <w:basedOn w:val="DefaultParagraphFont"/>
    <w:uiPriority w:val="99"/>
    <w:unhideWhenUsed/>
    <w:rsid w:val="00B93687"/>
    <w:rPr>
      <w:color w:val="0000FF"/>
      <w:u w:val="single"/>
    </w:rPr>
  </w:style>
  <w:style w:type="character" w:styleId="FollowedHyperlink">
    <w:name w:val="FollowedHyperlink"/>
    <w:basedOn w:val="DefaultParagraphFont"/>
    <w:uiPriority w:val="99"/>
    <w:semiHidden/>
    <w:unhideWhenUsed/>
    <w:rsid w:val="00B93687"/>
    <w:rPr>
      <w:color w:val="96607D" w:themeColor="followedHyperlink"/>
      <w:u w:val="single"/>
    </w:rPr>
  </w:style>
  <w:style w:type="character" w:styleId="UnresolvedMention">
    <w:name w:val="Unresolved Mention"/>
    <w:basedOn w:val="DefaultParagraphFont"/>
    <w:uiPriority w:val="99"/>
    <w:semiHidden/>
    <w:unhideWhenUsed/>
    <w:rsid w:val="00B93687"/>
    <w:rPr>
      <w:color w:val="605E5C"/>
      <w:shd w:val="clear" w:color="auto" w:fill="E1DFDD"/>
    </w:rPr>
  </w:style>
  <w:style w:type="character" w:styleId="Emphasis">
    <w:name w:val="Emphasis"/>
    <w:basedOn w:val="DefaultParagraphFont"/>
    <w:uiPriority w:val="20"/>
    <w:qFormat/>
    <w:rsid w:val="00ED5554"/>
    <w:rPr>
      <w:i/>
      <w:iCs/>
    </w:rPr>
  </w:style>
  <w:style w:type="character" w:customStyle="1" w:styleId="contributors">
    <w:name w:val="contributors"/>
    <w:basedOn w:val="DefaultParagraphFont"/>
    <w:rsid w:val="000E4B7A"/>
  </w:style>
  <w:style w:type="character" w:customStyle="1" w:styleId="maintitle">
    <w:name w:val="maintitle"/>
    <w:basedOn w:val="DefaultParagraphFont"/>
    <w:rsid w:val="000E4B7A"/>
  </w:style>
  <w:style w:type="character" w:customStyle="1" w:styleId="editors">
    <w:name w:val="editors"/>
    <w:basedOn w:val="DefaultParagraphFont"/>
    <w:rsid w:val="000E4B7A"/>
  </w:style>
  <w:style w:type="character" w:customStyle="1" w:styleId="series-title">
    <w:name w:val="series-title"/>
    <w:basedOn w:val="DefaultParagraphFont"/>
    <w:rsid w:val="000E4B7A"/>
  </w:style>
  <w:style w:type="character" w:customStyle="1" w:styleId="print-publication-date">
    <w:name w:val="print-publication-date"/>
    <w:basedOn w:val="DefaultParagraphFont"/>
    <w:rsid w:val="000E4B7A"/>
  </w:style>
  <w:style w:type="character" w:customStyle="1" w:styleId="online-edition">
    <w:name w:val="online-edition"/>
    <w:basedOn w:val="DefaultParagraphFont"/>
    <w:rsid w:val="000E4B7A"/>
  </w:style>
  <w:style w:type="character" w:customStyle="1" w:styleId="containing-site">
    <w:name w:val="containing-site"/>
    <w:basedOn w:val="DefaultParagraphFont"/>
    <w:rsid w:val="000E4B7A"/>
  </w:style>
  <w:style w:type="character" w:customStyle="1" w:styleId="online-publication-date">
    <w:name w:val="online-publication-date"/>
    <w:basedOn w:val="DefaultParagraphFont"/>
    <w:rsid w:val="000E4B7A"/>
  </w:style>
  <w:style w:type="character" w:customStyle="1" w:styleId="accessed-date">
    <w:name w:val="accessed-date"/>
    <w:basedOn w:val="DefaultParagraphFont"/>
    <w:rsid w:val="000E4B7A"/>
  </w:style>
  <w:style w:type="character" w:styleId="Strong">
    <w:name w:val="Strong"/>
    <w:basedOn w:val="DefaultParagraphFont"/>
    <w:uiPriority w:val="22"/>
    <w:qFormat/>
    <w:rsid w:val="00F92BED"/>
    <w:rPr>
      <w:b/>
      <w:bCs/>
    </w:rPr>
  </w:style>
  <w:style w:type="character" w:customStyle="1" w:styleId="publisher-location">
    <w:name w:val="publisher-location"/>
    <w:basedOn w:val="DefaultParagraphFont"/>
    <w:rsid w:val="00B22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uwtsd.idm.oclc.org/10.1093/acprof:oso/9780195072921.001.0001"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94-007-6729-4_41-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93/oxfordhb/9780199385195.013.48" TargetMode="External"/><Relationship Id="rId4" Type="http://schemas.openxmlformats.org/officeDocument/2006/relationships/settings" Target="settings.xml"/><Relationship Id="rId9" Type="http://schemas.openxmlformats.org/officeDocument/2006/relationships/hyperlink" Target="https://philpapers.org/asearch.pl?pub=513"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93/oxfordhb/9780199385195.013.48" TargetMode="External"/><Relationship Id="rId2" Type="http://schemas.openxmlformats.org/officeDocument/2006/relationships/hyperlink" Target="https://philpapers.org/asearch.pl?pub=513" TargetMode="External"/><Relationship Id="rId1" Type="http://schemas.openxmlformats.org/officeDocument/2006/relationships/hyperlink" Target="https://philpapers.org/asearch.pl?pub=799" TargetMode="External"/><Relationship Id="rId4" Type="http://schemas.openxmlformats.org/officeDocument/2006/relationships/hyperlink" Target="https://doi.org/10.1093/mind/fzaf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A7093-AB37-6044-81F8-E15092651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6046</Words>
  <Characters>31443</Characters>
  <Application>Microsoft Office Word</Application>
  <DocSecurity>0</DocSecurity>
  <Lines>499</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Kenny</dc:creator>
  <cp:keywords/>
  <dc:description/>
  <cp:lastModifiedBy>Ed Kenny</cp:lastModifiedBy>
  <cp:revision>2</cp:revision>
  <cp:lastPrinted>2026-04-26T16:11:00Z</cp:lastPrinted>
  <dcterms:created xsi:type="dcterms:W3CDTF">2026-04-26T22:56:00Z</dcterms:created>
  <dcterms:modified xsi:type="dcterms:W3CDTF">2026-04-26T22:56:00Z</dcterms:modified>
</cp:coreProperties>
</file>