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C4C33" w14:textId="0103475D" w:rsidR="00EF59F3" w:rsidRPr="00EF59F3" w:rsidRDefault="00EF59F3">
      <w:pPr>
        <w:pStyle w:val="Heading1"/>
        <w:rPr>
          <w:rFonts w:ascii="Times New Roman" w:hAnsi="Times New Roman" w:cs="Times New Roman"/>
          <w:b/>
          <w:bCs/>
          <w:color w:val="auto"/>
          <w:sz w:val="52"/>
          <w:szCs w:val="52"/>
        </w:rPr>
      </w:pPr>
      <w:r w:rsidRPr="00EF59F3">
        <w:rPr>
          <w:rFonts w:ascii="Times New Roman" w:hAnsi="Times New Roman" w:cs="Times New Roman"/>
          <w:b/>
          <w:bCs/>
          <w:color w:val="auto"/>
          <w:sz w:val="52"/>
          <w:szCs w:val="52"/>
        </w:rPr>
        <w:t xml:space="preserve">                        </w:t>
      </w:r>
      <w:r w:rsidRPr="00EF59F3">
        <w:rPr>
          <w:rFonts w:ascii="Times New Roman" w:hAnsi="Times New Roman" w:cs="Times New Roman"/>
          <w:b/>
          <w:bCs/>
          <w:color w:val="auto"/>
          <w:sz w:val="52"/>
          <w:szCs w:val="52"/>
        </w:rPr>
        <w:t>LCBB5008</w:t>
      </w:r>
      <w:r w:rsidRPr="00EF59F3">
        <w:rPr>
          <w:rFonts w:ascii="Times New Roman" w:hAnsi="Times New Roman" w:cs="Times New Roman"/>
          <w:b/>
          <w:bCs/>
          <w:color w:val="auto"/>
          <w:sz w:val="52"/>
          <w:szCs w:val="52"/>
        </w:rPr>
        <w:t xml:space="preserve">       </w:t>
      </w:r>
    </w:p>
    <w:p w14:paraId="44FD8AC5" w14:textId="29279905" w:rsidR="00192124" w:rsidRPr="00EF59F3" w:rsidRDefault="00EF59F3">
      <w:pPr>
        <w:pStyle w:val="Heading1"/>
        <w:rPr>
          <w:rFonts w:ascii="Times New Roman" w:hAnsi="Times New Roman" w:cs="Times New Roman"/>
          <w:b/>
          <w:bCs/>
          <w:color w:val="auto"/>
          <w:sz w:val="52"/>
          <w:szCs w:val="52"/>
        </w:rPr>
      </w:pPr>
      <w:r w:rsidRPr="00EF59F3">
        <w:rPr>
          <w:rFonts w:ascii="Times New Roman" w:hAnsi="Times New Roman" w:cs="Times New Roman"/>
          <w:b/>
          <w:bCs/>
          <w:color w:val="auto"/>
          <w:sz w:val="52"/>
          <w:szCs w:val="52"/>
        </w:rPr>
        <w:t xml:space="preserve">              </w:t>
      </w:r>
      <w:r w:rsidRPr="00EF59F3">
        <w:rPr>
          <w:rFonts w:ascii="Times New Roman" w:hAnsi="Times New Roman" w:cs="Times New Roman"/>
          <w:b/>
          <w:bCs/>
          <w:color w:val="auto"/>
          <w:sz w:val="52"/>
          <w:szCs w:val="52"/>
        </w:rPr>
        <w:t>Management Economics</w:t>
      </w:r>
      <w:r w:rsidRPr="00EF59F3">
        <w:rPr>
          <w:rFonts w:ascii="Times New Roman" w:hAnsi="Times New Roman" w:cs="Times New Roman"/>
          <w:b/>
          <w:bCs/>
          <w:color w:val="auto"/>
          <w:sz w:val="52"/>
          <w:szCs w:val="52"/>
        </w:rPr>
        <w:t xml:space="preserve">    </w:t>
      </w:r>
    </w:p>
    <w:p w14:paraId="4DC18E84" w14:textId="77777777" w:rsidR="00192124" w:rsidRPr="00EF59F3" w:rsidRDefault="00192124">
      <w:pPr>
        <w:pStyle w:val="Heading1"/>
        <w:rPr>
          <w:rFonts w:ascii="Times New Roman" w:hAnsi="Times New Roman" w:cs="Times New Roman"/>
          <w:b/>
          <w:bCs/>
          <w:color w:val="auto"/>
          <w:sz w:val="52"/>
          <w:szCs w:val="52"/>
        </w:rPr>
      </w:pPr>
    </w:p>
    <w:p w14:paraId="15854DD3" w14:textId="77777777" w:rsidR="00192124" w:rsidRPr="00EF59F3" w:rsidRDefault="00192124">
      <w:pPr>
        <w:pStyle w:val="Heading1"/>
        <w:rPr>
          <w:rFonts w:ascii="Times New Roman" w:hAnsi="Times New Roman" w:cs="Times New Roman"/>
          <w:b/>
          <w:bCs/>
          <w:color w:val="auto"/>
          <w:sz w:val="40"/>
          <w:szCs w:val="40"/>
        </w:rPr>
      </w:pPr>
    </w:p>
    <w:p w14:paraId="50BAAF91" w14:textId="77777777" w:rsidR="00EF59F3" w:rsidRDefault="00EF59F3">
      <w:pPr>
        <w:pStyle w:val="Title"/>
        <w:jc w:val="center"/>
      </w:pPr>
    </w:p>
    <w:p w14:paraId="5ED94B59" w14:textId="77777777" w:rsidR="00EF59F3" w:rsidRDefault="00EF59F3">
      <w:pPr>
        <w:pStyle w:val="Title"/>
        <w:jc w:val="center"/>
      </w:pPr>
    </w:p>
    <w:p w14:paraId="33FED6A3" w14:textId="77777777" w:rsidR="00EF59F3" w:rsidRDefault="00EF59F3">
      <w:pPr>
        <w:pStyle w:val="Title"/>
        <w:jc w:val="center"/>
      </w:pPr>
    </w:p>
    <w:p w14:paraId="36075266" w14:textId="512C8533" w:rsidR="00192124" w:rsidRPr="00EF59F3" w:rsidRDefault="00000000">
      <w:pPr>
        <w:pStyle w:val="Title"/>
        <w:jc w:val="center"/>
        <w:rPr>
          <w:sz w:val="52"/>
          <w:szCs w:val="52"/>
        </w:rPr>
      </w:pPr>
      <w:r w:rsidRPr="00EF59F3">
        <w:rPr>
          <w:sz w:val="52"/>
          <w:szCs w:val="52"/>
        </w:rPr>
        <w:t>Impact of COVID-19 on UK Fuel Markets</w:t>
      </w:r>
    </w:p>
    <w:p w14:paraId="51F0D61D" w14:textId="77777777" w:rsidR="00192124" w:rsidRDefault="00192124">
      <w:pPr>
        <w:rPr>
          <w:sz w:val="52"/>
          <w:szCs w:val="52"/>
        </w:rPr>
      </w:pPr>
    </w:p>
    <w:p w14:paraId="26547AA7" w14:textId="77777777" w:rsidR="00EF59F3" w:rsidRDefault="00EF59F3">
      <w:pPr>
        <w:rPr>
          <w:sz w:val="52"/>
          <w:szCs w:val="52"/>
        </w:rPr>
      </w:pPr>
    </w:p>
    <w:p w14:paraId="0133BFD9" w14:textId="04F17E20" w:rsidR="00EF59F3" w:rsidRPr="00EF59F3" w:rsidRDefault="00EF59F3" w:rsidP="00EF59F3">
      <w:pPr>
        <w:spacing w:after="0" w:line="360" w:lineRule="auto"/>
        <w:jc w:val="both"/>
        <w:rPr>
          <w:rFonts w:ascii="Times New Roman" w:eastAsia="Times New Roman" w:hAnsi="Times New Roman" w:cs="Times New Roman"/>
          <w:sz w:val="32"/>
          <w:szCs w:val="32"/>
          <w:lang w:val="en" w:eastAsia="en-US"/>
        </w:rPr>
      </w:pPr>
      <w:r w:rsidRPr="00EF59F3">
        <w:rPr>
          <w:rFonts w:ascii="Times New Roman" w:eastAsia="Times New Roman" w:hAnsi="Times New Roman" w:cs="Times New Roman"/>
          <w:sz w:val="32"/>
          <w:szCs w:val="32"/>
          <w:lang w:val="en" w:eastAsia="en-US"/>
        </w:rPr>
        <w:t>Module name: Management Economics</w:t>
      </w:r>
    </w:p>
    <w:p w14:paraId="3953A9EB" w14:textId="2CCF45B2" w:rsidR="00EF59F3" w:rsidRPr="00EF59F3" w:rsidRDefault="00EF59F3" w:rsidP="00EF59F3">
      <w:pPr>
        <w:spacing w:after="0" w:line="360" w:lineRule="auto"/>
        <w:jc w:val="both"/>
        <w:rPr>
          <w:rFonts w:ascii="Times New Roman" w:eastAsia="Times New Roman" w:hAnsi="Times New Roman" w:cs="Times New Roman"/>
          <w:sz w:val="32"/>
          <w:szCs w:val="32"/>
          <w:lang w:val="en" w:eastAsia="en-US"/>
        </w:rPr>
      </w:pPr>
      <w:r w:rsidRPr="00EF59F3">
        <w:rPr>
          <w:rFonts w:ascii="Times New Roman" w:eastAsia="Times New Roman" w:hAnsi="Times New Roman" w:cs="Times New Roman"/>
          <w:sz w:val="32"/>
          <w:szCs w:val="32"/>
          <w:lang w:val="en" w:eastAsia="en-US"/>
        </w:rPr>
        <w:t>Module ID: LCBB5008</w:t>
      </w:r>
    </w:p>
    <w:p w14:paraId="59AA7E27" w14:textId="035B7B61" w:rsidR="00EF59F3" w:rsidRPr="00EF59F3" w:rsidRDefault="00EF59F3" w:rsidP="00EF59F3">
      <w:pPr>
        <w:spacing w:after="0" w:line="360" w:lineRule="auto"/>
        <w:jc w:val="both"/>
        <w:rPr>
          <w:rFonts w:ascii="Times New Roman" w:eastAsia="Times New Roman" w:hAnsi="Times New Roman" w:cs="Times New Roman"/>
          <w:sz w:val="32"/>
          <w:szCs w:val="32"/>
          <w:lang w:val="en" w:eastAsia="en-US"/>
        </w:rPr>
      </w:pPr>
      <w:r w:rsidRPr="00EF59F3">
        <w:rPr>
          <w:rFonts w:ascii="Times New Roman" w:eastAsia="Times New Roman" w:hAnsi="Times New Roman" w:cs="Times New Roman"/>
          <w:sz w:val="32"/>
          <w:szCs w:val="32"/>
          <w:lang w:val="en" w:eastAsia="en-US"/>
        </w:rPr>
        <w:t xml:space="preserve">Assessment Title: Assessment </w:t>
      </w:r>
      <w:r>
        <w:rPr>
          <w:rFonts w:ascii="Times New Roman" w:eastAsia="Times New Roman" w:hAnsi="Times New Roman" w:cs="Times New Roman"/>
          <w:sz w:val="32"/>
          <w:szCs w:val="32"/>
          <w:lang w:val="en" w:eastAsia="en-US"/>
        </w:rPr>
        <w:t xml:space="preserve">1 </w:t>
      </w:r>
      <w:r w:rsidRPr="00EF59F3">
        <w:rPr>
          <w:rFonts w:ascii="Times New Roman" w:eastAsia="Times New Roman" w:hAnsi="Times New Roman" w:cs="Times New Roman"/>
          <w:sz w:val="32"/>
          <w:szCs w:val="32"/>
          <w:lang w:val="en" w:eastAsia="en-US"/>
        </w:rPr>
        <w:t>Management Economics</w:t>
      </w:r>
    </w:p>
    <w:p w14:paraId="7CB6850B" w14:textId="77777777" w:rsidR="00EF59F3" w:rsidRPr="00EF59F3" w:rsidRDefault="00EF59F3" w:rsidP="00EF59F3">
      <w:pPr>
        <w:keepNext/>
        <w:keepLines/>
        <w:spacing w:after="60" w:line="360" w:lineRule="auto"/>
        <w:rPr>
          <w:rFonts w:ascii="Times New Roman" w:eastAsia="Times New Roman" w:hAnsi="Times New Roman" w:cs="Times New Roman"/>
          <w:sz w:val="32"/>
          <w:szCs w:val="32"/>
          <w:lang w:val="en" w:eastAsia="en-US"/>
        </w:rPr>
      </w:pPr>
      <w:r w:rsidRPr="00EF59F3">
        <w:rPr>
          <w:rFonts w:ascii="Times New Roman" w:eastAsia="Times New Roman" w:hAnsi="Times New Roman" w:cs="Times New Roman"/>
          <w:sz w:val="32"/>
          <w:szCs w:val="32"/>
          <w:lang w:val="en" w:eastAsia="en-US"/>
        </w:rPr>
        <w:t>Student Name: Florentina Fistoleanu</w:t>
      </w:r>
    </w:p>
    <w:p w14:paraId="1320FB8F" w14:textId="011ADFE6" w:rsidR="00EF59F3" w:rsidRPr="00EF59F3" w:rsidRDefault="00EF59F3" w:rsidP="00EF59F3">
      <w:pPr>
        <w:rPr>
          <w:sz w:val="52"/>
          <w:szCs w:val="52"/>
        </w:rPr>
      </w:pPr>
      <w:r w:rsidRPr="00EF59F3">
        <w:rPr>
          <w:rFonts w:ascii="Times New Roman" w:eastAsia="Times New Roman" w:hAnsi="Times New Roman" w:cs="Times New Roman"/>
          <w:sz w:val="32"/>
          <w:szCs w:val="32"/>
          <w:lang w:val="en" w:eastAsia="en-US"/>
        </w:rPr>
        <w:t>Student ID: 2115309</w:t>
      </w:r>
    </w:p>
    <w:p w14:paraId="1F53062E" w14:textId="77777777" w:rsidR="00192124" w:rsidRPr="00EF59F3" w:rsidRDefault="00192124">
      <w:pPr>
        <w:rPr>
          <w:sz w:val="52"/>
          <w:szCs w:val="52"/>
        </w:rPr>
      </w:pPr>
    </w:p>
    <w:p w14:paraId="4F20DEEA" w14:textId="77777777" w:rsidR="00192124" w:rsidRDefault="00192124"/>
    <w:p w14:paraId="3B14866F" w14:textId="77777777" w:rsidR="00192124" w:rsidRDefault="00192124"/>
    <w:p w14:paraId="1D76187C" w14:textId="77777777" w:rsidR="00192124" w:rsidRDefault="00192124"/>
    <w:p w14:paraId="5695FD73" w14:textId="77777777" w:rsidR="00192124" w:rsidRDefault="00192124"/>
    <w:p w14:paraId="53290BA7" w14:textId="77777777" w:rsidR="00192124" w:rsidRDefault="00192124"/>
    <w:p w14:paraId="1882C576" w14:textId="77777777" w:rsidR="00192124" w:rsidRDefault="00192124"/>
    <w:p w14:paraId="6BDDF4B0" w14:textId="77777777" w:rsidR="00192124" w:rsidRDefault="00000000">
      <w:pPr>
        <w:keepNext/>
        <w:keepLines/>
        <w:pBdr>
          <w:top w:val="nil"/>
          <w:left w:val="nil"/>
          <w:bottom w:val="nil"/>
          <w:right w:val="nil"/>
          <w:between w:val="nil"/>
        </w:pBdr>
        <w:spacing w:before="240" w:after="0"/>
        <w:rPr>
          <w:color w:val="2F5496"/>
          <w:sz w:val="32"/>
          <w:szCs w:val="32"/>
        </w:rPr>
      </w:pPr>
      <w:r>
        <w:rPr>
          <w:color w:val="2F5496"/>
          <w:sz w:val="32"/>
          <w:szCs w:val="32"/>
        </w:rPr>
        <w:lastRenderedPageBreak/>
        <w:t>Table of Contents</w:t>
      </w:r>
    </w:p>
    <w:sdt>
      <w:sdtPr>
        <w:id w:val="-474910683"/>
        <w:docPartObj>
          <w:docPartGallery w:val="Table of Contents"/>
          <w:docPartUnique/>
        </w:docPartObj>
      </w:sdtPr>
      <w:sdtContent>
        <w:p w14:paraId="3D010650" w14:textId="77777777" w:rsidR="00192124" w:rsidRDefault="00000000">
          <w:pPr>
            <w:pBdr>
              <w:top w:val="nil"/>
              <w:left w:val="nil"/>
              <w:bottom w:val="nil"/>
              <w:right w:val="nil"/>
              <w:between w:val="nil"/>
            </w:pBdr>
            <w:tabs>
              <w:tab w:val="right" w:leader="dot" w:pos="9062"/>
            </w:tabs>
            <w:spacing w:after="100"/>
            <w:rPr>
              <w:color w:val="000000"/>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3</w:t>
            </w:r>
          </w:hyperlink>
        </w:p>
        <w:p w14:paraId="6B5C06FF" w14:textId="77777777" w:rsidR="00192124" w:rsidRDefault="00000000">
          <w:pPr>
            <w:pBdr>
              <w:top w:val="nil"/>
              <w:left w:val="nil"/>
              <w:bottom w:val="nil"/>
              <w:right w:val="nil"/>
              <w:between w:val="nil"/>
            </w:pBdr>
            <w:tabs>
              <w:tab w:val="right" w:leader="dot" w:pos="9062"/>
            </w:tabs>
            <w:spacing w:after="100"/>
            <w:rPr>
              <w:color w:val="000000"/>
            </w:rPr>
          </w:pPr>
          <w:hyperlink w:anchor="_30j0zll">
            <w:r>
              <w:rPr>
                <w:color w:val="000000"/>
              </w:rPr>
              <w:t>The Causes of Fuel Demand-Supply Imbalance</w:t>
            </w:r>
            <w:r>
              <w:rPr>
                <w:color w:val="000000"/>
              </w:rPr>
              <w:tab/>
              <w:t>3</w:t>
            </w:r>
          </w:hyperlink>
        </w:p>
        <w:p w14:paraId="44855FF8" w14:textId="77777777" w:rsidR="00192124" w:rsidRDefault="00000000">
          <w:pPr>
            <w:pBdr>
              <w:top w:val="nil"/>
              <w:left w:val="nil"/>
              <w:bottom w:val="nil"/>
              <w:right w:val="nil"/>
              <w:between w:val="nil"/>
            </w:pBdr>
            <w:tabs>
              <w:tab w:val="right" w:leader="dot" w:pos="9062"/>
            </w:tabs>
            <w:spacing w:after="100"/>
            <w:ind w:left="220"/>
            <w:rPr>
              <w:color w:val="000000"/>
            </w:rPr>
          </w:pPr>
          <w:hyperlink w:anchor="_1fob9te">
            <w:r>
              <w:rPr>
                <w:color w:val="000000"/>
              </w:rPr>
              <w:t>Additional Economic Problems</w:t>
            </w:r>
            <w:r>
              <w:rPr>
                <w:color w:val="000000"/>
              </w:rPr>
              <w:tab/>
              <w:t>4</w:t>
            </w:r>
          </w:hyperlink>
        </w:p>
        <w:p w14:paraId="4BBF8655" w14:textId="77777777" w:rsidR="00192124" w:rsidRDefault="00000000">
          <w:pPr>
            <w:pBdr>
              <w:top w:val="nil"/>
              <w:left w:val="nil"/>
              <w:bottom w:val="nil"/>
              <w:right w:val="nil"/>
              <w:between w:val="nil"/>
            </w:pBdr>
            <w:tabs>
              <w:tab w:val="right" w:leader="dot" w:pos="9062"/>
            </w:tabs>
            <w:spacing w:after="100"/>
            <w:ind w:left="220"/>
            <w:rPr>
              <w:color w:val="000000"/>
            </w:rPr>
          </w:pPr>
          <w:hyperlink w:anchor="_3znysh7">
            <w:r>
              <w:rPr>
                <w:color w:val="000000"/>
              </w:rPr>
              <w:t>The UK fuel crisis case study also highlights a few other fundamental economic issues.</w:t>
            </w:r>
            <w:r>
              <w:rPr>
                <w:color w:val="000000"/>
              </w:rPr>
              <w:tab/>
              <w:t>5</w:t>
            </w:r>
          </w:hyperlink>
        </w:p>
        <w:p w14:paraId="0D915189" w14:textId="77777777" w:rsidR="00192124" w:rsidRDefault="00000000">
          <w:pPr>
            <w:pBdr>
              <w:top w:val="nil"/>
              <w:left w:val="nil"/>
              <w:bottom w:val="nil"/>
              <w:right w:val="nil"/>
              <w:between w:val="nil"/>
            </w:pBdr>
            <w:tabs>
              <w:tab w:val="right" w:leader="dot" w:pos="9062"/>
            </w:tabs>
            <w:spacing w:after="100"/>
            <w:ind w:left="220"/>
            <w:rPr>
              <w:color w:val="000000"/>
            </w:rPr>
          </w:pPr>
          <w:hyperlink w:anchor="_2et92p0">
            <w:r>
              <w:rPr>
                <w:color w:val="000000"/>
              </w:rPr>
              <w:t>Economic Inequality</w:t>
            </w:r>
            <w:r>
              <w:rPr>
                <w:color w:val="000000"/>
              </w:rPr>
              <w:tab/>
              <w:t>5</w:t>
            </w:r>
          </w:hyperlink>
        </w:p>
        <w:p w14:paraId="1AF1A267" w14:textId="77777777" w:rsidR="00192124" w:rsidRDefault="00000000">
          <w:pPr>
            <w:pBdr>
              <w:top w:val="nil"/>
              <w:left w:val="nil"/>
              <w:bottom w:val="nil"/>
              <w:right w:val="nil"/>
              <w:between w:val="nil"/>
            </w:pBdr>
            <w:tabs>
              <w:tab w:val="right" w:leader="dot" w:pos="9062"/>
            </w:tabs>
            <w:spacing w:after="100"/>
            <w:ind w:left="220"/>
            <w:rPr>
              <w:color w:val="000000"/>
            </w:rPr>
          </w:pPr>
          <w:hyperlink w:anchor="_tyjcwt">
            <w:r>
              <w:rPr>
                <w:color w:val="000000"/>
              </w:rPr>
              <w:t>Additional Solutions</w:t>
            </w:r>
            <w:r>
              <w:rPr>
                <w:color w:val="000000"/>
              </w:rPr>
              <w:tab/>
              <w:t>5</w:t>
            </w:r>
          </w:hyperlink>
        </w:p>
        <w:p w14:paraId="42F014A5" w14:textId="77777777" w:rsidR="00192124" w:rsidRDefault="00000000">
          <w:pPr>
            <w:pBdr>
              <w:top w:val="nil"/>
              <w:left w:val="nil"/>
              <w:bottom w:val="nil"/>
              <w:right w:val="nil"/>
              <w:between w:val="nil"/>
            </w:pBdr>
            <w:tabs>
              <w:tab w:val="right" w:leader="dot" w:pos="9062"/>
            </w:tabs>
            <w:spacing w:after="100"/>
            <w:rPr>
              <w:color w:val="000000"/>
            </w:rPr>
          </w:pPr>
          <w:hyperlink w:anchor="_3dy6vkm">
            <w:r>
              <w:rPr>
                <w:color w:val="000000"/>
              </w:rPr>
              <w:t>The Relevance of Demand Supply Theory</w:t>
            </w:r>
            <w:r>
              <w:rPr>
                <w:color w:val="000000"/>
              </w:rPr>
              <w:tab/>
              <w:t>6</w:t>
            </w:r>
          </w:hyperlink>
        </w:p>
        <w:p w14:paraId="0F54E5DF" w14:textId="77777777" w:rsidR="00192124" w:rsidRDefault="00000000">
          <w:pPr>
            <w:pBdr>
              <w:top w:val="nil"/>
              <w:left w:val="nil"/>
              <w:bottom w:val="nil"/>
              <w:right w:val="nil"/>
              <w:between w:val="nil"/>
            </w:pBdr>
            <w:tabs>
              <w:tab w:val="right" w:leader="dot" w:pos="9062"/>
            </w:tabs>
            <w:spacing w:after="100"/>
            <w:rPr>
              <w:color w:val="000000"/>
            </w:rPr>
          </w:pPr>
          <w:hyperlink w:anchor="_1t3h5sf">
            <w:r>
              <w:rPr>
                <w:color w:val="000000"/>
              </w:rPr>
              <w:t>Illustration of Fuel Demand Elasticity Dynamics</w:t>
            </w:r>
            <w:r>
              <w:rPr>
                <w:color w:val="000000"/>
              </w:rPr>
              <w:tab/>
              <w:t>7</w:t>
            </w:r>
          </w:hyperlink>
        </w:p>
        <w:p w14:paraId="47034D04" w14:textId="77777777" w:rsidR="00192124" w:rsidRDefault="00000000">
          <w:pPr>
            <w:pBdr>
              <w:top w:val="nil"/>
              <w:left w:val="nil"/>
              <w:bottom w:val="nil"/>
              <w:right w:val="nil"/>
              <w:between w:val="nil"/>
            </w:pBdr>
            <w:tabs>
              <w:tab w:val="right" w:leader="dot" w:pos="9062"/>
            </w:tabs>
            <w:spacing w:after="100"/>
            <w:rPr>
              <w:color w:val="000000"/>
            </w:rPr>
          </w:pPr>
          <w:hyperlink w:anchor="_4d34og8">
            <w:r>
              <w:rPr>
                <w:color w:val="000000"/>
              </w:rPr>
              <w:t>Modeling fuel market equilibrium impacts</w:t>
            </w:r>
            <w:r>
              <w:rPr>
                <w:color w:val="000000"/>
              </w:rPr>
              <w:tab/>
              <w:t>7</w:t>
            </w:r>
          </w:hyperlink>
        </w:p>
        <w:p w14:paraId="64AE6459" w14:textId="77777777" w:rsidR="00192124" w:rsidRDefault="00000000">
          <w:pPr>
            <w:pBdr>
              <w:top w:val="nil"/>
              <w:left w:val="nil"/>
              <w:bottom w:val="nil"/>
              <w:right w:val="nil"/>
              <w:between w:val="nil"/>
            </w:pBdr>
            <w:tabs>
              <w:tab w:val="right" w:leader="dot" w:pos="9062"/>
            </w:tabs>
            <w:spacing w:after="100"/>
            <w:rPr>
              <w:color w:val="000000"/>
            </w:rPr>
          </w:pPr>
          <w:hyperlink w:anchor="_2s8eyo1">
            <w:r>
              <w:rPr>
                <w:color w:val="000000"/>
              </w:rPr>
              <w:t>Extending fuel supply-demand laws</w:t>
            </w:r>
            <w:r>
              <w:rPr>
                <w:color w:val="000000"/>
              </w:rPr>
              <w:tab/>
              <w:t>9</w:t>
            </w:r>
          </w:hyperlink>
        </w:p>
        <w:p w14:paraId="114C98A1" w14:textId="77777777" w:rsidR="00192124" w:rsidRDefault="00000000">
          <w:pPr>
            <w:pBdr>
              <w:top w:val="nil"/>
              <w:left w:val="nil"/>
              <w:bottom w:val="nil"/>
              <w:right w:val="nil"/>
              <w:between w:val="nil"/>
            </w:pBdr>
            <w:tabs>
              <w:tab w:val="right" w:leader="dot" w:pos="9062"/>
            </w:tabs>
            <w:spacing w:after="100"/>
            <w:rPr>
              <w:color w:val="000000"/>
            </w:rPr>
          </w:pPr>
          <w:hyperlink w:anchor="_17dp8vu">
            <w:r>
              <w:rPr>
                <w:color w:val="000000"/>
              </w:rPr>
              <w:t>Fuel Demand Elasticity &amp; Consumer Behavior</w:t>
            </w:r>
            <w:r>
              <w:rPr>
                <w:color w:val="000000"/>
              </w:rPr>
              <w:tab/>
              <w:t>9</w:t>
            </w:r>
          </w:hyperlink>
        </w:p>
        <w:p w14:paraId="42881A5A" w14:textId="77777777" w:rsidR="00192124" w:rsidRDefault="00000000">
          <w:pPr>
            <w:pBdr>
              <w:top w:val="nil"/>
              <w:left w:val="nil"/>
              <w:bottom w:val="nil"/>
              <w:right w:val="nil"/>
              <w:between w:val="nil"/>
            </w:pBdr>
            <w:tabs>
              <w:tab w:val="right" w:leader="dot" w:pos="9062"/>
            </w:tabs>
            <w:spacing w:after="100"/>
            <w:rPr>
              <w:color w:val="000000"/>
            </w:rPr>
          </w:pPr>
          <w:hyperlink w:anchor="_3rdcrjn">
            <w:r>
              <w:rPr>
                <w:color w:val="000000"/>
              </w:rPr>
              <w:t>Recommendations to Enhance Fuel System Resilience</w:t>
            </w:r>
            <w:r>
              <w:rPr>
                <w:color w:val="000000"/>
              </w:rPr>
              <w:tab/>
              <w:t>10</w:t>
            </w:r>
          </w:hyperlink>
        </w:p>
        <w:p w14:paraId="7A67BB92" w14:textId="77777777" w:rsidR="00192124" w:rsidRDefault="00000000">
          <w:pPr>
            <w:pBdr>
              <w:top w:val="nil"/>
              <w:left w:val="nil"/>
              <w:bottom w:val="nil"/>
              <w:right w:val="nil"/>
              <w:between w:val="nil"/>
            </w:pBdr>
            <w:tabs>
              <w:tab w:val="right" w:leader="dot" w:pos="9062"/>
            </w:tabs>
            <w:spacing w:after="100"/>
            <w:rPr>
              <w:color w:val="000000"/>
            </w:rPr>
          </w:pPr>
          <w:hyperlink w:anchor="_26in1rg">
            <w:r>
              <w:rPr>
                <w:color w:val="000000"/>
              </w:rPr>
              <w:t>Summary</w:t>
            </w:r>
            <w:r>
              <w:rPr>
                <w:color w:val="000000"/>
              </w:rPr>
              <w:tab/>
              <w:t>12</w:t>
            </w:r>
          </w:hyperlink>
        </w:p>
        <w:p w14:paraId="7893B7D0" w14:textId="77777777" w:rsidR="00192124" w:rsidRDefault="00000000">
          <w:pPr>
            <w:pBdr>
              <w:top w:val="nil"/>
              <w:left w:val="nil"/>
              <w:bottom w:val="nil"/>
              <w:right w:val="nil"/>
              <w:between w:val="nil"/>
            </w:pBdr>
            <w:tabs>
              <w:tab w:val="right" w:leader="dot" w:pos="9062"/>
            </w:tabs>
            <w:spacing w:after="100"/>
            <w:rPr>
              <w:color w:val="000000"/>
            </w:rPr>
          </w:pPr>
          <w:hyperlink w:anchor="_lnxbz9">
            <w:r>
              <w:rPr>
                <w:color w:val="000000"/>
              </w:rPr>
              <w:t>References</w:t>
            </w:r>
            <w:r>
              <w:rPr>
                <w:color w:val="000000"/>
              </w:rPr>
              <w:tab/>
              <w:t>12</w:t>
            </w:r>
          </w:hyperlink>
        </w:p>
        <w:p w14:paraId="55FF966E" w14:textId="77777777" w:rsidR="00192124" w:rsidRDefault="00000000">
          <w:pPr>
            <w:pBdr>
              <w:top w:val="nil"/>
              <w:left w:val="nil"/>
              <w:bottom w:val="nil"/>
              <w:right w:val="nil"/>
              <w:between w:val="nil"/>
            </w:pBdr>
            <w:tabs>
              <w:tab w:val="right" w:leader="dot" w:pos="9062"/>
            </w:tabs>
            <w:spacing w:after="100"/>
            <w:rPr>
              <w:color w:val="000000"/>
            </w:rPr>
          </w:pPr>
          <w:hyperlink w:anchor="_35nkun2">
            <w:r>
              <w:rPr>
                <w:color w:val="000000"/>
              </w:rPr>
              <w:t>Appendix</w:t>
            </w:r>
            <w:r>
              <w:rPr>
                <w:color w:val="000000"/>
              </w:rPr>
              <w:tab/>
              <w:t>15</w:t>
            </w:r>
          </w:hyperlink>
        </w:p>
        <w:p w14:paraId="493ADB25" w14:textId="77777777" w:rsidR="00192124" w:rsidRDefault="00000000">
          <w:r>
            <w:fldChar w:fldCharType="end"/>
          </w:r>
        </w:p>
      </w:sdtContent>
    </w:sdt>
    <w:p w14:paraId="71F5E478" w14:textId="77777777" w:rsidR="00192124" w:rsidRDefault="00192124"/>
    <w:p w14:paraId="014ABB1F" w14:textId="77777777" w:rsidR="00192124" w:rsidRDefault="00192124"/>
    <w:p w14:paraId="2AF93A8D" w14:textId="77777777" w:rsidR="00192124" w:rsidRDefault="00192124"/>
    <w:p w14:paraId="36480618" w14:textId="77777777" w:rsidR="00192124" w:rsidRDefault="00192124"/>
    <w:p w14:paraId="041EA804" w14:textId="77777777" w:rsidR="00192124" w:rsidRDefault="00192124"/>
    <w:p w14:paraId="272062CB" w14:textId="77777777" w:rsidR="00192124" w:rsidRDefault="00192124"/>
    <w:p w14:paraId="207AC836" w14:textId="77777777" w:rsidR="00192124" w:rsidRDefault="00192124"/>
    <w:p w14:paraId="215F7784" w14:textId="77777777" w:rsidR="00192124" w:rsidRDefault="00192124"/>
    <w:p w14:paraId="6678C9C2" w14:textId="77777777" w:rsidR="00192124" w:rsidRDefault="00192124">
      <w:pPr>
        <w:pStyle w:val="Heading1"/>
      </w:pPr>
      <w:bookmarkStart w:id="0" w:name="_gjdgxs" w:colFirst="0" w:colLast="0"/>
      <w:bookmarkEnd w:id="0"/>
    </w:p>
    <w:p w14:paraId="42E10A44" w14:textId="77777777" w:rsidR="00192124" w:rsidRDefault="00192124"/>
    <w:p w14:paraId="4E53B708" w14:textId="77777777" w:rsidR="00192124" w:rsidRDefault="00192124"/>
    <w:p w14:paraId="7CA1900F" w14:textId="77777777" w:rsidR="00192124" w:rsidRDefault="00192124"/>
    <w:p w14:paraId="5D208DB4" w14:textId="77777777" w:rsidR="00192124" w:rsidRDefault="00000000">
      <w:pPr>
        <w:pStyle w:val="Heading1"/>
      </w:pPr>
      <w:r>
        <w:t>Introduction</w:t>
      </w:r>
    </w:p>
    <w:p w14:paraId="44E90EC7" w14:textId="77777777" w:rsidR="00192124" w:rsidRDefault="00000000">
      <w:pPr>
        <w:spacing w:line="360" w:lineRule="auto"/>
        <w:jc w:val="both"/>
        <w:rPr>
          <w:sz w:val="24"/>
          <w:szCs w:val="24"/>
        </w:rPr>
      </w:pPr>
      <w:r>
        <w:rPr>
          <w:sz w:val="24"/>
          <w:szCs w:val="24"/>
        </w:rPr>
        <w:t xml:space="preserve">The COVID-19 epidemic caused severe disruptions to economies and supply chains worldwide, including temporary fuel shortages in UK petrol stations during September 2021. This report analyses the crisis using microeconomic principles such as supply-demand models and market </w:t>
      </w:r>
      <w:r>
        <w:rPr>
          <w:sz w:val="24"/>
          <w:szCs w:val="24"/>
        </w:rPr>
        <w:lastRenderedPageBreak/>
        <w:t>equilibrium analysis. It also uses elasticity theory and marginal cost principles. The report assesses the underlying causes and their consequences on consumer behavior and pricing, as well as welfare impacts. Economic perspectives are used to inform recommendations that aim to improve system resilience. The lessons learned from safeguarding the provision of essential goods are applicable across all domains.</w:t>
      </w:r>
    </w:p>
    <w:p w14:paraId="3BE8C0B5" w14:textId="77777777" w:rsidR="00192124" w:rsidRDefault="00000000">
      <w:pPr>
        <w:pStyle w:val="Heading1"/>
      </w:pPr>
      <w:bookmarkStart w:id="1" w:name="_30j0zll" w:colFirst="0" w:colLast="0"/>
      <w:bookmarkEnd w:id="1"/>
      <w:r>
        <w:t>The Causes of Fuel Demand-Supply Imbalance</w:t>
      </w:r>
    </w:p>
    <w:p w14:paraId="6B35C67A" w14:textId="77777777" w:rsidR="00192124" w:rsidRDefault="00000000">
      <w:pPr>
        <w:spacing w:line="360" w:lineRule="auto"/>
        <w:jc w:val="both"/>
        <w:rPr>
          <w:sz w:val="24"/>
          <w:szCs w:val="24"/>
        </w:rPr>
      </w:pPr>
      <w:r>
        <w:rPr>
          <w:sz w:val="24"/>
          <w:szCs w:val="24"/>
        </w:rPr>
        <w:t>The panic-buying of consumers in September 2021 was the direct cause of the petrol shortage. The ripple effect was caused by several economic factors.</w:t>
      </w:r>
    </w:p>
    <w:p w14:paraId="090C37A6" w14:textId="77777777" w:rsidR="00192124" w:rsidRDefault="00000000">
      <w:pPr>
        <w:numPr>
          <w:ilvl w:val="0"/>
          <w:numId w:val="1"/>
        </w:numPr>
        <w:spacing w:line="360" w:lineRule="auto"/>
        <w:jc w:val="both"/>
      </w:pPr>
      <w:r>
        <w:rPr>
          <w:sz w:val="24"/>
          <w:szCs w:val="24"/>
        </w:rPr>
        <w:t>Pandemic Supply Chain Disruption: Global delays in container ships, ports, and land transport filtered through to UK fuel distribution problems. COVID-19 has also changed consumer spending patterns to favor retail/energy products over services.</w:t>
      </w:r>
    </w:p>
    <w:p w14:paraId="34BFA290" w14:textId="77777777" w:rsidR="00192124" w:rsidRDefault="00000000">
      <w:pPr>
        <w:numPr>
          <w:ilvl w:val="0"/>
          <w:numId w:val="1"/>
        </w:numPr>
        <w:spacing w:line="360" w:lineRule="auto"/>
        <w:jc w:val="both"/>
      </w:pPr>
      <w:r>
        <w:rPr>
          <w:sz w:val="24"/>
          <w:szCs w:val="24"/>
        </w:rPr>
        <w:t>Workforce Shortages – Brexit and pandemic impact severely reduced the availability of truck drivers, which is critical to delivering petrol at filling stations. This was more than the inventory buffer capacity.</w:t>
      </w:r>
    </w:p>
    <w:p w14:paraId="36CC3E30" w14:textId="77777777" w:rsidR="00192124" w:rsidRDefault="00000000">
      <w:pPr>
        <w:numPr>
          <w:ilvl w:val="0"/>
          <w:numId w:val="1"/>
        </w:numPr>
        <w:spacing w:line="360" w:lineRule="auto"/>
        <w:jc w:val="both"/>
      </w:pPr>
      <w:r>
        <w:rPr>
          <w:sz w:val="24"/>
          <w:szCs w:val="24"/>
        </w:rPr>
        <w:t>Import Dependence - Despite increased domestic infrastructure, UK fuel systems stability remains vulnerable to global chaos due to sizable import dependency.</w:t>
      </w:r>
    </w:p>
    <w:p w14:paraId="547A830A" w14:textId="77777777" w:rsidR="00192124" w:rsidRDefault="00000000">
      <w:pPr>
        <w:numPr>
          <w:ilvl w:val="0"/>
          <w:numId w:val="1"/>
        </w:numPr>
        <w:spacing w:line="360" w:lineRule="auto"/>
        <w:jc w:val="both"/>
      </w:pPr>
      <w:r>
        <w:rPr>
          <w:sz w:val="24"/>
          <w:szCs w:val="24"/>
        </w:rPr>
        <w:t>Before the constrained supply of fuel could react, sudden spikes in demand for a fuel that is largely price-inelastic, led to tipping point scarcity. We then examine changes in consumer behavior through an equilibrium economics perspective.</w:t>
      </w:r>
    </w:p>
    <w:p w14:paraId="5CF30389" w14:textId="534C2912" w:rsidR="00192124" w:rsidRDefault="00000000">
      <w:pPr>
        <w:spacing w:line="360" w:lineRule="auto"/>
        <w:jc w:val="both"/>
        <w:rPr>
          <w:sz w:val="24"/>
          <w:szCs w:val="24"/>
        </w:rPr>
      </w:pPr>
      <w:r>
        <w:rPr>
          <w:sz w:val="24"/>
          <w:szCs w:val="24"/>
        </w:rPr>
        <w:t>Although panic buying was likely the cause of temporary scarcity, several interrelated factors made domestic fuel infrastructure susceptible to disruption cascades. Due to the UK's reliance on just-in-time distribution channels, and its lean buffer stocks strategies, fault lines could quickly manifest during an exogenous event (Chopra &amp; Sodhi, 2014). The fragility of the UK's oil and petroleum products was exacerbated by its high dependence on imports. Over 75% of UK crude oil/petroleum is imported (O'Brien &amp; Hope, 2022) despite efforts to increase strategic reserves and refinery capacity since 2000.</w:t>
      </w:r>
      <w:bookmarkStart w:id="2" w:name="_1fob9te" w:colFirst="0" w:colLast="0"/>
      <w:bookmarkEnd w:id="2"/>
      <w:r>
        <w:rPr>
          <w:sz w:val="24"/>
          <w:szCs w:val="24"/>
        </w:rPr>
        <w:t>The combination of structural weaknesses around overexposure to imports and limitations in labor capacity was the catalyst for crisis ignition when further catalyzed with just-in-time fragility risks (Chopra &amp; Sodhi, 2014). To achieve enhanced resilience, it is necessary to</w:t>
      </w:r>
      <w:r w:rsidR="00446316">
        <w:rPr>
          <w:sz w:val="24"/>
          <w:szCs w:val="24"/>
        </w:rPr>
        <w:t xml:space="preserve"> </w:t>
      </w:r>
      <w:r>
        <w:rPr>
          <w:sz w:val="24"/>
          <w:szCs w:val="24"/>
        </w:rPr>
        <w:t>confront criticisms about excessive</w:t>
      </w:r>
      <w:r w:rsidR="00446316">
        <w:rPr>
          <w:sz w:val="24"/>
          <w:szCs w:val="24"/>
        </w:rPr>
        <w:t xml:space="preserve"> </w:t>
      </w:r>
      <w:r>
        <w:rPr>
          <w:sz w:val="24"/>
          <w:szCs w:val="24"/>
        </w:rPr>
        <w:lastRenderedPageBreak/>
        <w:t>redundancy. Costs of inventory buffers, domestic production, and wage growth are amortized by society. The trade-offs involved in policy decisions are complex and involve public, union, and private interests. No simple solution exists, but empirical data on supply and demand should be used to inform debates that weigh the pros and cons of various interventions such as strategic stockpiling.</w:t>
      </w:r>
    </w:p>
    <w:p w14:paraId="71DB826C" w14:textId="77777777" w:rsidR="00192124" w:rsidRDefault="00000000">
      <w:pPr>
        <w:pStyle w:val="Heading2"/>
      </w:pPr>
      <w:r>
        <w:t>Additional Economic Problems</w:t>
      </w:r>
    </w:p>
    <w:p w14:paraId="0D275968" w14:textId="77777777" w:rsidR="00192124" w:rsidRDefault="00000000">
      <w:pPr>
        <w:spacing w:line="360" w:lineRule="auto"/>
        <w:jc w:val="both"/>
        <w:rPr>
          <w:sz w:val="24"/>
          <w:szCs w:val="24"/>
        </w:rPr>
      </w:pPr>
      <w:r>
        <w:rPr>
          <w:sz w:val="24"/>
          <w:szCs w:val="24"/>
        </w:rPr>
        <w:t>The pandemic revealed the fragility of models of just-in-time logistics that place efficiency above resilience (Ivanov, 2021). The social costs of supply-demand mismatches resulting from sudden shocks are significant. While margins may be higher in stable conditions, they can also increase under unstable conditions. The estimated total loss of output from the fuel crisis in 2021 is £2.7 billion. Multiplier effects are still being felt (Kanda &amp; Kivimaa, 2022). To embed redundancy and enable agility, it is necessary to review meta-level priorities.</w:t>
      </w:r>
    </w:p>
    <w:p w14:paraId="399D9B1C" w14:textId="77777777" w:rsidR="00192124" w:rsidRDefault="00000000">
      <w:pPr>
        <w:spacing w:line="360" w:lineRule="auto"/>
        <w:jc w:val="both"/>
        <w:rPr>
          <w:sz w:val="24"/>
          <w:szCs w:val="24"/>
        </w:rPr>
      </w:pPr>
      <w:r>
        <w:rPr>
          <w:sz w:val="24"/>
          <w:szCs w:val="24"/>
        </w:rPr>
        <w:t>The UK fuel shortage is a good example of how unbridled competition in the market can lead to fragility contagions, which undermines stability in essential sectors when exogenous crises occur. Regulations that enforce minimum buffers for suppliers add to operating costs, but they also hedge systemic risk (Sterman &amp; Dogan, 2015). Governance must strike a balance between efficiency incentives in normal conditions and building capacity for abnormal adversity. Pandemic effects have affected this balance in domains ranging from global shipping and domestic energy.</w:t>
      </w:r>
    </w:p>
    <w:p w14:paraId="6E546114" w14:textId="77777777" w:rsidR="00192124" w:rsidRDefault="00000000">
      <w:pPr>
        <w:spacing w:line="360" w:lineRule="auto"/>
        <w:jc w:val="both"/>
        <w:rPr>
          <w:sz w:val="24"/>
          <w:szCs w:val="24"/>
        </w:rPr>
      </w:pPr>
      <w:r>
        <w:rPr>
          <w:sz w:val="24"/>
          <w:szCs w:val="24"/>
        </w:rPr>
        <w:t>But if you only mandate emergency stockpiles, it could be a mistake to overcorrect without calibrating policy levers that reduce usage. Interventions that focus on demand, such as promoting public transportation, remote working, or lift sharing, can also extend fuel stock levels until stability is restored (Mwai, et. al., 2022). Temporary direct assistance to disadvantaged groups can ease social consequences in the adjustment phase. It is wise to pursue multidimensional flexibility.</w:t>
      </w:r>
    </w:p>
    <w:p w14:paraId="361D294A" w14:textId="77777777" w:rsidR="00192124" w:rsidRDefault="00000000">
      <w:pPr>
        <w:pStyle w:val="Heading2"/>
      </w:pPr>
      <w:bookmarkStart w:id="3" w:name="_3znysh7" w:colFirst="0" w:colLast="0"/>
      <w:bookmarkEnd w:id="3"/>
      <w:r>
        <w:t>The UK fuel crisis case study also highlights a few other fundamental economic issues.</w:t>
      </w:r>
    </w:p>
    <w:p w14:paraId="17C5BA73" w14:textId="77777777" w:rsidR="00192124" w:rsidRDefault="00000000">
      <w:pPr>
        <w:spacing w:line="360" w:lineRule="auto"/>
        <w:jc w:val="both"/>
        <w:rPr>
          <w:sz w:val="24"/>
          <w:szCs w:val="24"/>
        </w:rPr>
      </w:pPr>
      <w:r>
        <w:rPr>
          <w:sz w:val="24"/>
          <w:szCs w:val="24"/>
        </w:rPr>
        <w:t>Resource Misallocation - Stockpiling and panic buying of petrol-starved businesses, and critical services for fuel supplies during a certain period. Misallocation of resources led to a reduction in productivity and inconvenience for consumers. The strategic allocation of resources could have reduced distortions.</w:t>
      </w:r>
    </w:p>
    <w:p w14:paraId="178E9AF5" w14:textId="77777777" w:rsidR="00192124" w:rsidRDefault="00000000">
      <w:pPr>
        <w:spacing w:line="360" w:lineRule="auto"/>
        <w:jc w:val="both"/>
        <w:rPr>
          <w:sz w:val="24"/>
          <w:szCs w:val="24"/>
        </w:rPr>
      </w:pPr>
      <w:r>
        <w:rPr>
          <w:sz w:val="24"/>
          <w:szCs w:val="24"/>
        </w:rPr>
        <w:lastRenderedPageBreak/>
        <w:t>If fuel shortages and prices rise, they could also trigger inflationary pressures that would spread to the rest of the economy. Fuel costs are rising, which leads to higher production and transport expenses as well as heating costs across the supply chain. It can lead to spiraling wages and prices.</w:t>
      </w:r>
    </w:p>
    <w:p w14:paraId="54DB5FED" w14:textId="77777777" w:rsidR="00192124" w:rsidRDefault="00000000">
      <w:pPr>
        <w:pStyle w:val="Heading2"/>
      </w:pPr>
      <w:bookmarkStart w:id="4" w:name="_2et92p0" w:colFirst="0" w:colLast="0"/>
      <w:bookmarkEnd w:id="4"/>
      <w:r>
        <w:t>Economic Inequality</w:t>
      </w:r>
    </w:p>
    <w:p w14:paraId="7EFBE667" w14:textId="77777777" w:rsidR="00192124" w:rsidRDefault="00000000">
      <w:pPr>
        <w:spacing w:line="360" w:lineRule="auto"/>
        <w:jc w:val="both"/>
        <w:rPr>
          <w:sz w:val="24"/>
          <w:szCs w:val="24"/>
        </w:rPr>
      </w:pPr>
      <w:r>
        <w:rPr>
          <w:sz w:val="24"/>
          <w:szCs w:val="24"/>
        </w:rPr>
        <w:t>The rising petrol prices were a greater burden for poorer consumers who had older, less fuel-efficient vehicles. For those who depend on their cars for essential trips or work, there are few alternatives. This shows the impact of shortages on inequality.</w:t>
      </w:r>
    </w:p>
    <w:p w14:paraId="20C2FF6C" w14:textId="77777777" w:rsidR="00192124" w:rsidRDefault="00000000">
      <w:pPr>
        <w:pStyle w:val="Heading2"/>
      </w:pPr>
      <w:bookmarkStart w:id="5" w:name="_tyjcwt" w:colFirst="0" w:colLast="0"/>
      <w:bookmarkEnd w:id="5"/>
      <w:r>
        <w:t>Additional Solutions</w:t>
      </w:r>
    </w:p>
    <w:p w14:paraId="73CD8B67" w14:textId="77777777" w:rsidR="00192124" w:rsidRDefault="00000000">
      <w:pPr>
        <w:spacing w:line="360" w:lineRule="auto"/>
        <w:jc w:val="both"/>
        <w:rPr>
          <w:sz w:val="24"/>
          <w:szCs w:val="24"/>
        </w:rPr>
      </w:pPr>
      <w:r>
        <w:rPr>
          <w:sz w:val="24"/>
          <w:szCs w:val="24"/>
        </w:rPr>
        <w:t>The use of constructive dialogue to explore resonant viewpoints is a way to find nuanced solutions. (Christakis, 2022). The fuel crisis has revealed gaps that policymakers need to address. Positive progress depends on tackling complex challenges with compassion, pragmatism, and cooperation. As no single viewpoint has a monopoly over wisdom, it is prudent to synthesize insights from across the ideological spectrum. In the end, enhancing systemic resilience requires collective commitment.</w:t>
      </w:r>
    </w:p>
    <w:p w14:paraId="0B9B569E" w14:textId="2A7CFD04" w:rsidR="00192124" w:rsidRPr="00446316" w:rsidRDefault="00000000" w:rsidP="00446316">
      <w:pPr>
        <w:spacing w:line="360" w:lineRule="auto"/>
        <w:rPr>
          <w:b/>
          <w:sz w:val="24"/>
          <w:szCs w:val="24"/>
        </w:rPr>
      </w:pPr>
      <w:r>
        <w:rPr>
          <w:b/>
          <w:sz w:val="24"/>
          <w:szCs w:val="24"/>
        </w:rPr>
        <w:t>Petrol Voucher Schemes</w:t>
      </w:r>
      <w:r>
        <w:rPr>
          <w:sz w:val="24"/>
          <w:szCs w:val="24"/>
        </w:rPr>
        <w:br/>
        <w:t>During shortages, temporary government fuel vouchers could help ease financial difficulties. Means-testing determines eligibility.</w:t>
      </w:r>
    </w:p>
    <w:p w14:paraId="6156974E" w14:textId="77777777" w:rsidR="00192124" w:rsidRDefault="00000000">
      <w:pPr>
        <w:spacing w:line="360" w:lineRule="auto"/>
        <w:jc w:val="both"/>
        <w:rPr>
          <w:b/>
          <w:sz w:val="24"/>
          <w:szCs w:val="24"/>
        </w:rPr>
      </w:pPr>
      <w:r>
        <w:rPr>
          <w:b/>
          <w:sz w:val="24"/>
          <w:szCs w:val="24"/>
        </w:rPr>
        <w:t xml:space="preserve">Progressive Fuel Levies </w:t>
      </w:r>
    </w:p>
    <w:p w14:paraId="51F7761C" w14:textId="77777777" w:rsidR="00192124" w:rsidRDefault="00000000">
      <w:pPr>
        <w:spacing w:line="360" w:lineRule="auto"/>
        <w:jc w:val="both"/>
        <w:rPr>
          <w:b/>
          <w:sz w:val="24"/>
          <w:szCs w:val="24"/>
        </w:rPr>
      </w:pPr>
      <w:r>
        <w:rPr>
          <w:sz w:val="24"/>
          <w:szCs w:val="24"/>
        </w:rPr>
        <w:t>By implementing graduated fuel taxes for higher income groups, financial buffers are created to minimize future shortage risk. Combining road pricing with progressive fuel levies allows for equitable policy funding.</w:t>
      </w:r>
    </w:p>
    <w:p w14:paraId="1D7AE3CB" w14:textId="77777777" w:rsidR="00192124" w:rsidRDefault="00000000">
      <w:pPr>
        <w:pStyle w:val="Heading1"/>
      </w:pPr>
      <w:bookmarkStart w:id="6" w:name="_3dy6vkm" w:colFirst="0" w:colLast="0"/>
      <w:bookmarkEnd w:id="6"/>
      <w:r>
        <w:t>The Relevance of Demand Supply Theory</w:t>
      </w:r>
    </w:p>
    <w:p w14:paraId="0E81B180" w14:textId="77777777" w:rsidR="00192124" w:rsidRDefault="00000000">
      <w:pPr>
        <w:spacing w:line="360" w:lineRule="auto"/>
        <w:jc w:val="both"/>
        <w:rPr>
          <w:sz w:val="24"/>
          <w:szCs w:val="24"/>
        </w:rPr>
      </w:pPr>
      <w:r>
        <w:rPr>
          <w:sz w:val="24"/>
          <w:szCs w:val="24"/>
        </w:rPr>
        <w:t>The application of demand-supply theories to fuel markets such as petrol and diesel has many benefits beyond determining the price and effects. Its analytical and predictive capabilities help decision-makers in the government, industry, and civic sectors to deal with transient dynamics.</w:t>
      </w:r>
    </w:p>
    <w:p w14:paraId="632124D4" w14:textId="0C5D13A4" w:rsidR="00192124" w:rsidRDefault="00000000">
      <w:pPr>
        <w:spacing w:line="360" w:lineRule="auto"/>
        <w:jc w:val="both"/>
        <w:rPr>
          <w:sz w:val="24"/>
          <w:szCs w:val="24"/>
        </w:rPr>
      </w:pPr>
      <w:r>
        <w:rPr>
          <w:sz w:val="24"/>
          <w:szCs w:val="24"/>
        </w:rPr>
        <w:t xml:space="preserve">Demand-supply data is particularly useful for long-term planning of infrastructure and policies around emerging trends in goods substitution. Incorporating estimated shifts in consumer </w:t>
      </w:r>
      <w:r>
        <w:rPr>
          <w:sz w:val="24"/>
          <w:szCs w:val="24"/>
        </w:rPr>
        <w:lastRenderedPageBreak/>
        <w:t>adoption towards electric vehicles and alternative public transport under scenarios of sustained high petrol prices provides credible forecasts for future mobility patterns and fuel requirements (Wadud, 2021). Planners can adjust capacity investments in line with envisioned equilibrium levels a decade ahead, rather than continue to spend on assumptions made before the crisis.</w:t>
      </w:r>
    </w:p>
    <w:p w14:paraId="43E31C8C" w14:textId="77777777" w:rsidR="00192124" w:rsidRDefault="00000000">
      <w:pPr>
        <w:pStyle w:val="Heading1"/>
      </w:pPr>
      <w:bookmarkStart w:id="7" w:name="_1t3h5sf" w:colFirst="0" w:colLast="0"/>
      <w:bookmarkEnd w:id="7"/>
      <w:r>
        <w:t>Illustration of Fuel Demand Elasticity Dynamics</w:t>
      </w:r>
    </w:p>
    <w:p w14:paraId="7ACB05B7" w14:textId="77777777" w:rsidR="00192124" w:rsidRDefault="00000000">
      <w:pPr>
        <w:spacing w:line="360" w:lineRule="auto"/>
        <w:jc w:val="both"/>
        <w:rPr>
          <w:sz w:val="24"/>
          <w:szCs w:val="24"/>
        </w:rPr>
      </w:pPr>
      <w:r>
        <w:rPr>
          <w:sz w:val="24"/>
          <w:szCs w:val="24"/>
        </w:rPr>
        <w:t>According to mainstream economic theory, over short periods, fuel demand is highly inelastic, and consumption volume changes little despite price fluctuations. In September 2021, drivers waited in long queues as petrol prices soared to over £1.50 a liter. They were anxious to ensure a limited supply. Fuel consumption will eventually adjust if the price is high.</w:t>
      </w:r>
    </w:p>
    <w:p w14:paraId="59A73C08" w14:textId="77777777" w:rsidR="00192124" w:rsidRDefault="00000000">
      <w:pPr>
        <w:spacing w:line="360" w:lineRule="auto"/>
        <w:jc w:val="both"/>
        <w:rPr>
          <w:sz w:val="24"/>
          <w:szCs w:val="24"/>
        </w:rPr>
      </w:pPr>
      <w:r>
        <w:rPr>
          <w:sz w:val="24"/>
          <w:szCs w:val="24"/>
        </w:rPr>
        <w:t>In 2008, when oil prices spiked to $140 per barrel in the US, US gasoline consumption dropped by nearly 7% from 2007-2012, as consumers switched to more fuel-efficient vehicles and public transportation alternatives (Baumeister &amp; Kilian, 2016). Even substantial fuel price increases of 60% only reduce automobile travel by 5% in the first year, according to studies. This highlights the relatively inelastic behavior tendencies that are innately linked to embedded mobility standards enabled by private transportation access.</w:t>
      </w:r>
    </w:p>
    <w:p w14:paraId="7FB6F72A" w14:textId="77777777" w:rsidR="00192124" w:rsidRDefault="00000000">
      <w:pPr>
        <w:spacing w:line="360" w:lineRule="auto"/>
        <w:jc w:val="both"/>
        <w:rPr>
          <w:sz w:val="24"/>
          <w:szCs w:val="24"/>
        </w:rPr>
      </w:pPr>
      <w:r>
        <w:rPr>
          <w:sz w:val="24"/>
          <w:szCs w:val="24"/>
        </w:rPr>
        <w:t>In contrast, the demand for discretionary services is far more elastic than that of essential vehicle fuel. In a study of US air travel, for example, it was found that leisure fares were four times more sensitive than business fares to price changes (Wittman &amp; Belobaba 2009). It is in line with consumer discretion. Vacations can be delayed if ticket prices rise, while business travel remains a constant imperative. Fuel price increases also reduce airline margins and limit capacity. Discretionary sectors are therefore vulnerable to both supply and demand shifts. This is unlike the inelastic, partially insulated fuel markets.</w:t>
      </w:r>
    </w:p>
    <w:p w14:paraId="2934F48E" w14:textId="77777777" w:rsidR="00192124" w:rsidRDefault="00000000">
      <w:pPr>
        <w:pStyle w:val="Heading1"/>
      </w:pPr>
      <w:bookmarkStart w:id="8" w:name="_4d34og8" w:colFirst="0" w:colLast="0"/>
      <w:bookmarkEnd w:id="8"/>
      <w:r>
        <w:t>Modeling fuel market equilibrium impacts</w:t>
      </w:r>
    </w:p>
    <w:p w14:paraId="6F96AD72" w14:textId="77777777" w:rsidR="00192124" w:rsidRDefault="00000000">
      <w:pPr>
        <w:spacing w:line="360" w:lineRule="auto"/>
        <w:jc w:val="both"/>
        <w:rPr>
          <w:sz w:val="24"/>
          <w:szCs w:val="24"/>
        </w:rPr>
      </w:pPr>
      <w:r>
        <w:rPr>
          <w:sz w:val="24"/>
          <w:szCs w:val="24"/>
        </w:rPr>
        <w:t>The fuel crisis demonstrated the predictive power of the supply-demand equilibrium theory popularized by Paul Samuelson, a seminal economist. The intersection of the marginal consumer demand curve and the producer supply curve is where equilibrium price and quantity are reached. Welfare costs are imposed by deviations - shortages erode consumer surpluses while gluts reduce provider profits.</w:t>
      </w:r>
    </w:p>
    <w:p w14:paraId="0288E1A8" w14:textId="77777777" w:rsidR="00192124" w:rsidRDefault="00000000">
      <w:pPr>
        <w:spacing w:line="360" w:lineRule="auto"/>
        <w:jc w:val="both"/>
        <w:rPr>
          <w:sz w:val="24"/>
          <w:szCs w:val="24"/>
        </w:rPr>
      </w:pPr>
      <w:r>
        <w:rPr>
          <w:sz w:val="24"/>
          <w:szCs w:val="24"/>
        </w:rPr>
        <w:lastRenderedPageBreak/>
        <w:t>Table 1 from the Appendix shows the equilibrium of the gasoline market before and after the panic buying episode in 2021 using hypothetical schedules. Initial price P1 represents optimal stability. Demand (D1) equals willingness to pay, and supply (S1) reflects marginal seller production costs. Surpluses are a sign of efficiency.</w:t>
      </w:r>
    </w:p>
    <w:p w14:paraId="5845AB98" w14:textId="77777777" w:rsidR="00192124" w:rsidRDefault="00000000">
      <w:pPr>
        <w:spacing w:line="360" w:lineRule="auto"/>
        <w:jc w:val="both"/>
        <w:rPr>
          <w:sz w:val="24"/>
          <w:szCs w:val="24"/>
        </w:rPr>
      </w:pPr>
      <w:r>
        <w:rPr>
          <w:sz w:val="24"/>
          <w:szCs w:val="24"/>
        </w:rPr>
        <w:t>As stockouts began to occur, the balance began to unravel. Demand increased due to fear of scarcity (D2). Driver shortages and high input prices constrained supply (S2). The new equilibrium is not optimal - the quantity is limited by queueing, and not by price, while costs are soaring to P2. The consumer surplus disappears and producers profit from scarcity premiums. But the deadweight loss is also increasing, reducing net benefit.</w:t>
      </w:r>
    </w:p>
    <w:p w14:paraId="03D4BD97" w14:textId="77777777" w:rsidR="00192124" w:rsidRDefault="00000000">
      <w:pPr>
        <w:spacing w:line="360" w:lineRule="auto"/>
        <w:jc w:val="both"/>
        <w:rPr>
          <w:sz w:val="24"/>
          <w:szCs w:val="24"/>
        </w:rPr>
      </w:pPr>
      <w:r>
        <w:rPr>
          <w:sz w:val="24"/>
          <w:szCs w:val="24"/>
        </w:rPr>
        <w:t>The framework is useful for policy analysis. For example, fuel tax reductions could be used to encourage supply. Public messaging can also attempt to moderate irrational enthusiasm by quantifying the impact of panic buying on demand. The assumptions in equilibrium modeling have limitations. Next, we examine concepts of fuel demand elasticity that can also help us understand consumer behavior in times of supply crunch.</w:t>
      </w:r>
    </w:p>
    <w:p w14:paraId="137A0C65" w14:textId="77777777" w:rsidR="00192124" w:rsidRDefault="00000000">
      <w:pPr>
        <w:spacing w:line="360" w:lineRule="auto"/>
        <w:jc w:val="both"/>
        <w:rPr>
          <w:sz w:val="24"/>
          <w:szCs w:val="24"/>
        </w:rPr>
      </w:pPr>
      <w:r>
        <w:rPr>
          <w:sz w:val="24"/>
          <w:szCs w:val="24"/>
        </w:rPr>
        <w:t>The supply and demand mental model is useful, but empirical evidence on the actual movements of the curves during the crisis are still developing. Recent behavioral economic insights suggest that panic-buying manias might not follow textbook assumptions about rationality (Yuen, et. al., 2020). Herd mentalities based on fear can spread suddenly, overpowering the cognitive ability to process long-term economic interests. The magnitude of the demand swings shown in Table 1 from the Appendix is subjectively estimated.</w:t>
      </w:r>
    </w:p>
    <w:p w14:paraId="715859A2" w14:textId="17BB362A" w:rsidR="00192124" w:rsidRDefault="00000000">
      <w:pPr>
        <w:spacing w:line="360" w:lineRule="auto"/>
        <w:jc w:val="both"/>
        <w:rPr>
          <w:sz w:val="24"/>
          <w:szCs w:val="24"/>
        </w:rPr>
      </w:pPr>
      <w:r>
        <w:rPr>
          <w:sz w:val="24"/>
          <w:szCs w:val="24"/>
        </w:rPr>
        <w:t>The predictive directionality inherent in equilibrium analysis is still valuable to the scope of potential market reactions. Fuel's inelastic distribution profile, for example, predicted the likelihood of outsized price increases relative to the volume sold. This prediction was confirmed in reality. Krishnamurthy's research (2020) suggests that panic buying episodes can lead to temporary gluts, rather than shortages. This is contrary to what one might expect. While equilibrium modeling can help intuit first-order crises, real-world data collection is crucial for policy calibration.</w:t>
      </w:r>
    </w:p>
    <w:p w14:paraId="65738F04" w14:textId="77777777" w:rsidR="00192124" w:rsidRDefault="00000000">
      <w:pPr>
        <w:pStyle w:val="Heading1"/>
      </w:pPr>
      <w:bookmarkStart w:id="9" w:name="_2s8eyo1" w:colFirst="0" w:colLast="0"/>
      <w:bookmarkEnd w:id="9"/>
      <w:r>
        <w:t>Extending fuel supply-demand laws</w:t>
      </w:r>
    </w:p>
    <w:p w14:paraId="1D426D56" w14:textId="77777777" w:rsidR="00192124" w:rsidRDefault="00000000">
      <w:pPr>
        <w:spacing w:line="360" w:lineRule="auto"/>
        <w:jc w:val="both"/>
        <w:rPr>
          <w:sz w:val="24"/>
          <w:szCs w:val="24"/>
        </w:rPr>
      </w:pPr>
      <w:r>
        <w:rPr>
          <w:sz w:val="24"/>
          <w:szCs w:val="24"/>
        </w:rPr>
        <w:t>The following are some additional fundamental theorems about supply-demand analysis:</w:t>
      </w:r>
    </w:p>
    <w:p w14:paraId="186950C4" w14:textId="77777777" w:rsidR="00192124" w:rsidRDefault="00000000">
      <w:pPr>
        <w:numPr>
          <w:ilvl w:val="0"/>
          <w:numId w:val="2"/>
        </w:numPr>
        <w:spacing w:line="360" w:lineRule="auto"/>
        <w:jc w:val="both"/>
        <w:rPr>
          <w:sz w:val="24"/>
          <w:szCs w:val="24"/>
        </w:rPr>
      </w:pPr>
      <w:r>
        <w:rPr>
          <w:sz w:val="24"/>
          <w:szCs w:val="24"/>
        </w:rPr>
        <w:lastRenderedPageBreak/>
        <w:t>The net effect of simultaneous shifts in two curves is ambiguous if the relative magnitudes are not taken into account. In September 2021, fuel supply declined as driver availability decreased but demand simultaneously spiked up. More severe supply contractions coupled with a more persistent panic demand imbalance caused shortages.</w:t>
      </w:r>
    </w:p>
    <w:p w14:paraId="1B4C1E7C" w14:textId="77777777" w:rsidR="00192124" w:rsidRDefault="00000000">
      <w:pPr>
        <w:numPr>
          <w:ilvl w:val="0"/>
          <w:numId w:val="2"/>
        </w:numPr>
        <w:spacing w:line="360" w:lineRule="auto"/>
        <w:jc w:val="both"/>
        <w:rPr>
          <w:sz w:val="24"/>
          <w:szCs w:val="24"/>
        </w:rPr>
      </w:pPr>
      <w:r>
        <w:rPr>
          <w:sz w:val="24"/>
          <w:szCs w:val="24"/>
        </w:rPr>
        <w:t>For accurate equilibrium models, it is important to incorporate reliable behavioral assumptions about demand-supply fluctuations (Sterman &amp; Dogan, 2015). It was not possible to predict the extraordinary panic-buying mania that occurred. So future forecast scenarios must allow probability-weighting of extreme shock events that reshape standard relationships between variables unexpectedly.</w:t>
      </w:r>
    </w:p>
    <w:p w14:paraId="523A4620" w14:textId="77777777" w:rsidR="00192124" w:rsidRDefault="00000000">
      <w:pPr>
        <w:numPr>
          <w:ilvl w:val="0"/>
          <w:numId w:val="2"/>
        </w:numPr>
        <w:spacing w:line="360" w:lineRule="auto"/>
        <w:jc w:val="both"/>
        <w:rPr>
          <w:sz w:val="24"/>
          <w:szCs w:val="24"/>
        </w:rPr>
      </w:pPr>
      <w:r>
        <w:rPr>
          <w:sz w:val="24"/>
          <w:szCs w:val="24"/>
        </w:rPr>
        <w:t>Depending on the context, there may be an asymmetry between the speed of supply and demand responses. Fuel demand may spike much faster than complex adjustment delays in increasing import capacity, for example. This creates volatility up until the synchronization. Stability is achieved by a policy that takes into account these nuances of demand-supply dynamics.</w:t>
      </w:r>
    </w:p>
    <w:p w14:paraId="20A1139E" w14:textId="77777777" w:rsidR="00192124" w:rsidRDefault="00000000">
      <w:pPr>
        <w:pStyle w:val="Heading1"/>
      </w:pPr>
      <w:bookmarkStart w:id="10" w:name="_17dp8vu" w:colFirst="0" w:colLast="0"/>
      <w:bookmarkEnd w:id="10"/>
      <w:r>
        <w:t>Fuel Demand Elasticity &amp; Consumer Behavior</w:t>
      </w:r>
    </w:p>
    <w:p w14:paraId="5E7A4DA4" w14:textId="77777777" w:rsidR="00192124" w:rsidRDefault="00000000">
      <w:pPr>
        <w:spacing w:line="360" w:lineRule="auto"/>
        <w:jc w:val="both"/>
        <w:rPr>
          <w:sz w:val="24"/>
          <w:szCs w:val="24"/>
        </w:rPr>
      </w:pPr>
      <w:r>
        <w:rPr>
          <w:sz w:val="24"/>
          <w:szCs w:val="24"/>
        </w:rPr>
        <w:t>The basic economic theory of elasticity of demand helped explain some aspects of the consumer rush dynamics, despite scaremongering headlines. In particular, the demand for vehicle fuel is highly inelastic in the short term. This means that even at dramatically higher prices, the volumes demanded do not change much.</w:t>
      </w:r>
    </w:p>
    <w:p w14:paraId="15018417" w14:textId="77777777" w:rsidR="00192124" w:rsidRDefault="00000000">
      <w:pPr>
        <w:spacing w:line="360" w:lineRule="auto"/>
        <w:jc w:val="both"/>
        <w:rPr>
          <w:sz w:val="24"/>
          <w:szCs w:val="24"/>
        </w:rPr>
      </w:pPr>
      <w:r>
        <w:rPr>
          <w:sz w:val="24"/>
          <w:szCs w:val="24"/>
        </w:rPr>
        <w:t>This inelasticity is caused by several factors. Fuel is essential for mobility, car owners have no substitutes, and it's a small portion of household budgets, limiting the sensitivity to price changes. In 2021, consumers filled up their tanks and jerrycans with reckless abandon as uncertainty about supply loomed, regardless of the cost ballooning above £1.50 per gallon.</w:t>
      </w:r>
    </w:p>
    <w:p w14:paraId="225DFF20" w14:textId="69C71F71" w:rsidR="00192124" w:rsidRDefault="00000000">
      <w:pPr>
        <w:spacing w:line="360" w:lineRule="auto"/>
        <w:jc w:val="both"/>
        <w:rPr>
          <w:sz w:val="24"/>
          <w:szCs w:val="24"/>
        </w:rPr>
      </w:pPr>
      <w:r>
        <w:rPr>
          <w:sz w:val="24"/>
          <w:szCs w:val="24"/>
        </w:rPr>
        <w:t xml:space="preserve">Individually, such actions are rational in the Maslow hierarchy because they prioritize physiological needs before safety and esteem. The aggregate externality costs of panic buying are estimated to be £1 billion for just one week's peak. Behavioral economics goes beyond equilibrium models to explore these complex social dilemmas. Integrating insights across disciplines illuminates solution pathways.Nevertheless, there is still skepticism about the viability of nudging in the absence of structural and regulatory reforms (Skov et. al., 2022). To </w:t>
      </w:r>
      <w:r>
        <w:rPr>
          <w:sz w:val="24"/>
          <w:szCs w:val="24"/>
        </w:rPr>
        <w:lastRenderedPageBreak/>
        <w:t>achieve social equilibrium, hybrid approaches are likely to be required. These will combine behavioral tools that can help form adaptive preferences with economic levers such as price elasticities and demand-supply. Holistic, interdisciplinary solutions require open-mindedness and a willingness to integrate behavioral science into legacy policy conventions.</w:t>
      </w:r>
    </w:p>
    <w:p w14:paraId="0B1122C7" w14:textId="77777777" w:rsidR="00192124" w:rsidRDefault="00000000">
      <w:pPr>
        <w:pStyle w:val="Heading1"/>
      </w:pPr>
      <w:bookmarkStart w:id="11" w:name="_3rdcrjn" w:colFirst="0" w:colLast="0"/>
      <w:bookmarkEnd w:id="11"/>
      <w:r>
        <w:t>Recommendations to Enhance Fuel System Resilience</w:t>
      </w:r>
    </w:p>
    <w:p w14:paraId="2B6FEFF4" w14:textId="77777777" w:rsidR="00192124" w:rsidRDefault="00000000">
      <w:pPr>
        <w:spacing w:line="360" w:lineRule="auto"/>
        <w:jc w:val="both"/>
        <w:rPr>
          <w:sz w:val="24"/>
          <w:szCs w:val="24"/>
        </w:rPr>
      </w:pPr>
      <w:r>
        <w:rPr>
          <w:sz w:val="24"/>
          <w:szCs w:val="24"/>
        </w:rPr>
        <w:t>The outlined proposals may offer a pragmatic solution for the near term, but the root causes of the systemic fragility must be addressed for long-term stability. When geopolitical forces disrupted the mobility of workers, the UK's logistics sector was vulnerable. Over the years, chronic underinvestment in domestic production capacity forced a dependence on imports. To rebalance these dynamics, long-term changes are required.</w:t>
      </w:r>
    </w:p>
    <w:p w14:paraId="00553E4F" w14:textId="77777777" w:rsidR="00192124" w:rsidRDefault="00000000">
      <w:pPr>
        <w:spacing w:line="360" w:lineRule="auto"/>
        <w:jc w:val="both"/>
        <w:rPr>
          <w:sz w:val="24"/>
          <w:szCs w:val="24"/>
        </w:rPr>
      </w:pPr>
      <w:r>
        <w:rPr>
          <w:sz w:val="24"/>
          <w:szCs w:val="24"/>
        </w:rPr>
        <w:t>In particular, strategies that identify and streamline talent acquisition in occupations with a persistent shortage of drivers can help build a sustainable workforce (Ruhs, 2021). It is possible to balance labor access efficiency with the scaling up of domestic training. Furthermore, accelerating licensing for new energy storage, production, and distribution infrastructure clustered in strategic zones breaks down historical bottlenecks (Sovacool, et al., 2020). Priority funding and tax incentives speed up progress.</w:t>
      </w:r>
    </w:p>
    <w:p w14:paraId="614407EE" w14:textId="77777777" w:rsidR="00192124" w:rsidRDefault="00000000">
      <w:pPr>
        <w:spacing w:line="360" w:lineRule="auto"/>
        <w:jc w:val="both"/>
        <w:rPr>
          <w:sz w:val="24"/>
          <w:szCs w:val="24"/>
        </w:rPr>
      </w:pPr>
      <w:r>
        <w:rPr>
          <w:sz w:val="24"/>
          <w:szCs w:val="24"/>
        </w:rPr>
        <w:t>The future should include renewable energy transitions, mobility decentralization, and technologies ranging from vehicle-grid connectivity to peer-to-peer electric charging networks. (Mwasilu and colleagues, 2014). Localization embedded in infrastructure creates resilience at the community level to external volatility. Digitally coordinated platforms that match potential lift-shares promote efficient resource pooling and save energy and costs. The pursuit of ambitious sustainability goals while retaining pragmatism will lead to cross-cutting gains in stability.</w:t>
      </w:r>
    </w:p>
    <w:p w14:paraId="09F12E40" w14:textId="77777777" w:rsidR="00192124" w:rsidRDefault="00000000">
      <w:pPr>
        <w:spacing w:line="360" w:lineRule="auto"/>
        <w:jc w:val="both"/>
        <w:rPr>
          <w:sz w:val="24"/>
          <w:szCs w:val="24"/>
        </w:rPr>
      </w:pPr>
      <w:r>
        <w:rPr>
          <w:sz w:val="24"/>
          <w:szCs w:val="24"/>
        </w:rPr>
        <w:t>The narrowly avoided crisis of 2021 serves as a wake-up call for a comprehensive overhaul of legacy assumptions about mobility and energy security. To move the dial, industry, government, and society must work together with a collective vision for the long term. The time of reactionary inertia is over. Bold ideas, backed up by evidence and enterprise, must seize this momentous watershed to build back better in a resilient future.</w:t>
      </w:r>
    </w:p>
    <w:p w14:paraId="048807A0" w14:textId="77777777" w:rsidR="00192124" w:rsidRDefault="00000000">
      <w:pPr>
        <w:numPr>
          <w:ilvl w:val="0"/>
          <w:numId w:val="3"/>
        </w:numPr>
        <w:spacing w:line="360" w:lineRule="auto"/>
        <w:jc w:val="both"/>
        <w:rPr>
          <w:sz w:val="24"/>
          <w:szCs w:val="24"/>
        </w:rPr>
      </w:pPr>
      <w:r>
        <w:rPr>
          <w:sz w:val="24"/>
          <w:szCs w:val="24"/>
        </w:rPr>
        <w:t>Improve storage infrastructure and expand fuel reserves to meet 6 months of demand, as per industry best practices.</w:t>
      </w:r>
    </w:p>
    <w:p w14:paraId="71992557" w14:textId="77777777" w:rsidR="00192124" w:rsidRDefault="00000000">
      <w:pPr>
        <w:numPr>
          <w:ilvl w:val="0"/>
          <w:numId w:val="3"/>
        </w:numPr>
        <w:spacing w:line="360" w:lineRule="auto"/>
        <w:jc w:val="both"/>
        <w:rPr>
          <w:sz w:val="24"/>
          <w:szCs w:val="24"/>
        </w:rPr>
      </w:pPr>
      <w:r>
        <w:rPr>
          <w:sz w:val="24"/>
          <w:szCs w:val="24"/>
        </w:rPr>
        <w:lastRenderedPageBreak/>
        <w:t>Spend targeted visa programs to increase the number of drivers by 150,000 in 2 years, and parallel talent development for domestic drivers.</w:t>
      </w:r>
    </w:p>
    <w:p w14:paraId="1B3A7EDB" w14:textId="77777777" w:rsidR="00192124" w:rsidRDefault="00000000">
      <w:pPr>
        <w:numPr>
          <w:ilvl w:val="0"/>
          <w:numId w:val="3"/>
        </w:numPr>
        <w:spacing w:line="360" w:lineRule="auto"/>
        <w:jc w:val="both"/>
        <w:rPr>
          <w:sz w:val="24"/>
          <w:szCs w:val="24"/>
        </w:rPr>
      </w:pPr>
      <w:r>
        <w:rPr>
          <w:sz w:val="24"/>
          <w:szCs w:val="24"/>
        </w:rPr>
        <w:t>Support temporary consumer subsidies to help curb the panic buying of fuels.</w:t>
      </w:r>
    </w:p>
    <w:p w14:paraId="2E2161F7" w14:textId="77777777" w:rsidR="00192124" w:rsidRDefault="00000000">
      <w:pPr>
        <w:numPr>
          <w:ilvl w:val="0"/>
          <w:numId w:val="3"/>
        </w:numPr>
        <w:spacing w:line="360" w:lineRule="auto"/>
        <w:jc w:val="both"/>
        <w:rPr>
          <w:sz w:val="24"/>
          <w:szCs w:val="24"/>
        </w:rPr>
      </w:pPr>
      <w:r>
        <w:rPr>
          <w:sz w:val="24"/>
          <w:szCs w:val="24"/>
        </w:rPr>
        <w:t>Establish a dedicated Energy Supply Communications Office to ensure public information is maintained during volatile times.</w:t>
      </w:r>
    </w:p>
    <w:p w14:paraId="51B8025E" w14:textId="77777777" w:rsidR="00192124" w:rsidRDefault="00000000">
      <w:pPr>
        <w:numPr>
          <w:ilvl w:val="0"/>
          <w:numId w:val="3"/>
        </w:numPr>
        <w:spacing w:line="360" w:lineRule="auto"/>
        <w:jc w:val="both"/>
        <w:rPr>
          <w:sz w:val="24"/>
          <w:szCs w:val="24"/>
        </w:rPr>
      </w:pPr>
      <w:r>
        <w:rPr>
          <w:sz w:val="24"/>
          <w:szCs w:val="24"/>
        </w:rPr>
        <w:t>Provide tax relief and emergency credit lines to stabilize cash flows for fuel importers/distributors through turmoil.</w:t>
      </w:r>
    </w:p>
    <w:p w14:paraId="1B3FAE7C" w14:textId="77777777" w:rsidR="00192124" w:rsidRDefault="00000000">
      <w:pPr>
        <w:numPr>
          <w:ilvl w:val="0"/>
          <w:numId w:val="3"/>
        </w:numPr>
        <w:spacing w:line="360" w:lineRule="auto"/>
        <w:jc w:val="both"/>
        <w:rPr>
          <w:sz w:val="24"/>
          <w:szCs w:val="24"/>
        </w:rPr>
      </w:pPr>
      <w:r>
        <w:rPr>
          <w:sz w:val="24"/>
          <w:szCs w:val="24"/>
        </w:rPr>
        <w:t>Create a national real-time monitoring dashboard for petrol inventories, leveraging advanced forecasting algorithms and predictive analytics.</w:t>
      </w:r>
    </w:p>
    <w:p w14:paraId="58949EF5" w14:textId="77777777" w:rsidR="00192124" w:rsidRDefault="00000000">
      <w:pPr>
        <w:pStyle w:val="Heading1"/>
      </w:pPr>
      <w:bookmarkStart w:id="12" w:name="_26in1rg" w:colFirst="0" w:colLast="0"/>
      <w:bookmarkEnd w:id="12"/>
      <w:r>
        <w:t>Summary</w:t>
      </w:r>
    </w:p>
    <w:p w14:paraId="58A301C8" w14:textId="77777777" w:rsidR="00192124" w:rsidRDefault="00000000">
      <w:pPr>
        <w:spacing w:line="360" w:lineRule="auto"/>
        <w:jc w:val="both"/>
        <w:rPr>
          <w:sz w:val="24"/>
          <w:szCs w:val="24"/>
        </w:rPr>
      </w:pPr>
      <w:r>
        <w:rPr>
          <w:sz w:val="24"/>
          <w:szCs w:val="24"/>
        </w:rPr>
        <w:t>The UK fuel crisis of 2021 offers important lessons for improving system stability and resilience through an integrated perspective that crosses economics, behavioral sciences, operations research, and more. For societies that are experiencing increased volatility, it is prudent to balance efficiency with redundancy.</w:t>
      </w:r>
    </w:p>
    <w:p w14:paraId="00883B43" w14:textId="77777777" w:rsidR="00192124" w:rsidRDefault="00000000">
      <w:pPr>
        <w:spacing w:line="360" w:lineRule="auto"/>
        <w:jc w:val="both"/>
        <w:rPr>
          <w:sz w:val="24"/>
          <w:szCs w:val="24"/>
        </w:rPr>
      </w:pPr>
      <w:r>
        <w:rPr>
          <w:sz w:val="24"/>
          <w:szCs w:val="24"/>
        </w:rPr>
        <w:t>The pressure points in the domestic petrol system were identified by detailed diagnostics, using tools such as multi-period modeling of demand and supply, scenario analysis, and market equilibrium principles. Just-in-time fiscal optimization, inadequate import buffers, and storage infrastructure were overpowered by Brexit, pandemics, and panic-buying disruptions. Prices and inequality risk soared, while welfare decreased.</w:t>
      </w:r>
    </w:p>
    <w:p w14:paraId="05563882" w14:textId="77777777" w:rsidR="00192124" w:rsidRDefault="00000000">
      <w:pPr>
        <w:spacing w:line="360" w:lineRule="auto"/>
        <w:jc w:val="both"/>
        <w:rPr>
          <w:sz w:val="24"/>
          <w:szCs w:val="24"/>
        </w:rPr>
      </w:pPr>
      <w:r>
        <w:rPr>
          <w:sz w:val="24"/>
          <w:szCs w:val="24"/>
        </w:rPr>
        <w:t>The solutions proposed are based on a cooperative approach to policy, which aims to increase flexibility and provide temporary relief to vulnerable groups. Near-term, the measures aimed at resolving acute instabilities include measures involving a boost of reserves, immigration, price levers, communication, and provider viability. Parallel structural shifts over the long term should localize/renew energy production and accelerate transitional technologies in transport and mobility towards sustainability.</w:t>
      </w:r>
    </w:p>
    <w:p w14:paraId="5D6B9C69" w14:textId="77777777" w:rsidR="00192124" w:rsidRDefault="00000000">
      <w:pPr>
        <w:pStyle w:val="Heading1"/>
      </w:pPr>
      <w:bookmarkStart w:id="13" w:name="_lnxbz9" w:colFirst="0" w:colLast="0"/>
      <w:bookmarkEnd w:id="13"/>
      <w:r>
        <w:t>References</w:t>
      </w:r>
    </w:p>
    <w:p w14:paraId="045C517F"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Burn-Callander, R. (2022) UK still short of 100,000 HGV drivers, say industry chiefs. Daily Telegraph, 11 November.</w:t>
      </w:r>
    </w:p>
    <w:p w14:paraId="64AF3772"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lastRenderedPageBreak/>
        <w:t>Campbell-Arvai, V. (2021) Food waste behavior during the COVID-19 pandemic. Environmental System and Decisions, 41, 72–79.</w:t>
      </w:r>
    </w:p>
    <w:p w14:paraId="30EF071A"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Christakis, N. (2022) The Constitution of Knowledge. Harper Collins, 7 December.</w:t>
      </w:r>
    </w:p>
    <w:p w14:paraId="5CF03F7E"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Chopra, S. and Sodhi, M. (2014) Reducing the Risk of Supply Chain Disruptions. MIT Sloan Management Review. 1 March.</w:t>
      </w:r>
    </w:p>
    <w:p w14:paraId="07C0B6D1"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Cordes, K. Y., Castro, S. L., &amp; Cezar Ribeiro, L. (2022) COVID‐19 pandemic effects on supply chains. Wiley Interdisciplinary Reviews: Climate Change, 13(1), e758, 5 December.</w:t>
      </w:r>
    </w:p>
    <w:p w14:paraId="073234F0"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Evans, J. (2021) Petrol station crisis saw economy lose £1 billion in a week and cost motorists £178 million. Mirror.com, 12 November.</w:t>
      </w:r>
    </w:p>
    <w:p w14:paraId="2C2599D4"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 xml:space="preserve">HM Government (2022) HGV driver shortages, Available at: </w:t>
      </w:r>
      <w:hyperlink r:id="rId5">
        <w:r>
          <w:rPr>
            <w:color w:val="0563C1"/>
            <w:sz w:val="24"/>
            <w:szCs w:val="24"/>
            <w:u w:val="single"/>
          </w:rPr>
          <w:t>https://www.gov.uk/government/news/overnment-action-eases-pressures-on-hgv-driver-shortages--2</w:t>
        </w:r>
      </w:hyperlink>
      <w:r>
        <w:rPr>
          <w:color w:val="000000"/>
          <w:sz w:val="24"/>
          <w:szCs w:val="24"/>
        </w:rPr>
        <w:t>. [2 December 2022].</w:t>
      </w:r>
    </w:p>
    <w:p w14:paraId="398B2E29"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 xml:space="preserve">Institute for Government (2021) Institute for Government analysis of ONS, Business Impact of COVID-19 Survey (BICS). Available at: </w:t>
      </w:r>
      <w:hyperlink r:id="rId6">
        <w:r>
          <w:rPr>
            <w:color w:val="0563C1"/>
            <w:sz w:val="24"/>
            <w:szCs w:val="24"/>
            <w:u w:val="single"/>
          </w:rPr>
          <w:t>https://www.instituteforgovernment.org.uk/publication/supply-chains</w:t>
        </w:r>
      </w:hyperlink>
      <w:r>
        <w:rPr>
          <w:color w:val="000000"/>
          <w:sz w:val="24"/>
          <w:szCs w:val="24"/>
        </w:rPr>
        <w:t>. [29 November 2022].</w:t>
      </w:r>
    </w:p>
    <w:p w14:paraId="2B76B410"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Ivanov, D. (2021) Supply chain sustainability: Resilience, adaptability, and smart change management. Annals of Operations Research.</w:t>
      </w:r>
    </w:p>
    <w:p w14:paraId="03E68323"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Kanda, W., &amp; Kivimaa, P. (2022). What opportunities could the disruption of global supply chains offer for sustainability transitions research and practice?. Geoforum, 136, 184-188, 25 November.</w:t>
      </w:r>
    </w:p>
    <w:p w14:paraId="3D418778"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Krishnamurthy, R. (2020) How to use behavioral science to avoid a second wave of panic buying. Harvard Business Review. 15 December.</w:t>
      </w:r>
    </w:p>
    <w:p w14:paraId="15F6D173"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McFarlane, B. et al. (2022). The psychology of panic buying during COVID-19. American Psychologist, 77(5), 762–775.</w:t>
      </w:r>
    </w:p>
    <w:p w14:paraId="38CDEDDD"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McKinnon, A. (2022) Labour challenges in UK logistics and possible responses from industry and government. International Journal of Logistics Research and Applications. November</w:t>
      </w:r>
    </w:p>
    <w:p w14:paraId="4F2AFCE5"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Mwasilu, F. et al. (2014) Electric vehicles and smart grid interaction: A review on vehicle to grid and renewable energy sources integration. Renewable and Sustainable Energy Reviews, 34, 501-516, 17 December.</w:t>
      </w:r>
    </w:p>
    <w:p w14:paraId="3F34AD37"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lastRenderedPageBreak/>
        <w:t xml:space="preserve">O’Brien, N. and Hope, K. (2022) UK North Sea oil and gas production lowest since 1970s. Financial Times. Available at: </w:t>
      </w:r>
      <w:hyperlink r:id="rId7">
        <w:r>
          <w:rPr>
            <w:color w:val="0563C1"/>
            <w:sz w:val="24"/>
            <w:szCs w:val="24"/>
            <w:u w:val="single"/>
          </w:rPr>
          <w:t>https://www.ft.com/content/ac2c1934-3a4d-40a2-aaa6-96858e9b8c4b</w:t>
        </w:r>
      </w:hyperlink>
      <w:r>
        <w:rPr>
          <w:color w:val="000000"/>
          <w:sz w:val="24"/>
          <w:szCs w:val="24"/>
        </w:rPr>
        <w:t>. [18 December 2022].</w:t>
      </w:r>
    </w:p>
    <w:p w14:paraId="62E5F085"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Samson A. (2020) The Behavioral Economics Guide 2020. [15 November 2022].</w:t>
      </w:r>
    </w:p>
    <w:p w14:paraId="2A48FA7B"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Skov, L. R., et al. (2022). Nudging Campus Canteen Customers to Healthier Food Choices: A Field Experiment Applying Behavioral Science. International journal of environmental research and public health, 19(8), 4453, 2 December.</w:t>
      </w:r>
    </w:p>
    <w:p w14:paraId="4CBE0432"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Stanovich, K. E., &amp; West, R. F. (2018). Teaching rationality in an irrational world. Educational Psychologist, 53(3), 137-157, 22 November.</w:t>
      </w:r>
    </w:p>
    <w:p w14:paraId="30B3BEE4"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Sterman J. and Dogan G. (2015) “I’m Not Hoarding, I’m Just Stocking Up Before the Hoarders Get Here.”: Behavioral Causes of Phantom Ordering in Supply Chains. Journal of Operations Management 39-40 (2015) 6–22. [12 December 2022].</w:t>
      </w:r>
    </w:p>
    <w:p w14:paraId="7AAF0AAA"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Sturgeon, T. et al (2022) Global value chains, the anti‐globalization backlash, and COVID‐19: Business as usual or time for change?. Industrial and Corporate Change, 31(2), 245–259, 3 December.</w:t>
      </w:r>
    </w:p>
    <w:p w14:paraId="283913CB" w14:textId="77777777" w:rsidR="00192124" w:rsidRDefault="00000000">
      <w:pPr>
        <w:numPr>
          <w:ilvl w:val="0"/>
          <w:numId w:val="4"/>
        </w:numPr>
        <w:pBdr>
          <w:top w:val="nil"/>
          <w:left w:val="nil"/>
          <w:bottom w:val="nil"/>
          <w:right w:val="nil"/>
          <w:between w:val="nil"/>
        </w:pBdr>
        <w:spacing w:after="0" w:line="360" w:lineRule="auto"/>
        <w:jc w:val="both"/>
        <w:rPr>
          <w:color w:val="000000"/>
          <w:sz w:val="24"/>
          <w:szCs w:val="24"/>
        </w:rPr>
      </w:pPr>
      <w:r>
        <w:rPr>
          <w:color w:val="000000"/>
          <w:sz w:val="24"/>
          <w:szCs w:val="24"/>
        </w:rPr>
        <w:t>Yuen, K. et al. (2020). The psychological causes of panic buying following a health crisis. International Journal of Environmental Research and Public Health, 17(13), 4913, 25 November.</w:t>
      </w:r>
    </w:p>
    <w:p w14:paraId="30B92C49" w14:textId="77777777" w:rsidR="00192124" w:rsidRDefault="00000000">
      <w:pPr>
        <w:numPr>
          <w:ilvl w:val="0"/>
          <w:numId w:val="4"/>
        </w:numPr>
        <w:pBdr>
          <w:top w:val="nil"/>
          <w:left w:val="nil"/>
          <w:bottom w:val="nil"/>
          <w:right w:val="nil"/>
          <w:between w:val="nil"/>
        </w:pBdr>
        <w:spacing w:line="360" w:lineRule="auto"/>
        <w:jc w:val="both"/>
        <w:rPr>
          <w:color w:val="000000"/>
          <w:sz w:val="24"/>
          <w:szCs w:val="24"/>
        </w:rPr>
      </w:pPr>
      <w:r>
        <w:rPr>
          <w:color w:val="000000"/>
          <w:sz w:val="24"/>
          <w:szCs w:val="24"/>
        </w:rPr>
        <w:t xml:space="preserve">Zaremba, R. (2022) When the panic started: a brief history of fuel crises in the UK. National World. Available at: </w:t>
      </w:r>
      <w:hyperlink r:id="rId8">
        <w:r>
          <w:rPr>
            <w:color w:val="0563C1"/>
            <w:sz w:val="24"/>
            <w:szCs w:val="24"/>
            <w:u w:val="single"/>
          </w:rPr>
          <w:t>https://www.nationalworld.com/news/politics/history-of-uk-fuel-crises-panic-buying-petrol-shortages-and-mile-long-queues-at-the-pumps-3415793</w:t>
        </w:r>
      </w:hyperlink>
      <w:r>
        <w:rPr>
          <w:color w:val="000000"/>
          <w:sz w:val="24"/>
          <w:szCs w:val="24"/>
        </w:rPr>
        <w:t xml:space="preserve"> [30 November 2022].</w:t>
      </w:r>
    </w:p>
    <w:p w14:paraId="4AE4C8AE" w14:textId="77777777" w:rsidR="00192124" w:rsidRDefault="00192124">
      <w:pPr>
        <w:spacing w:line="360" w:lineRule="auto"/>
        <w:jc w:val="both"/>
        <w:rPr>
          <w:sz w:val="24"/>
          <w:szCs w:val="24"/>
        </w:rPr>
      </w:pPr>
    </w:p>
    <w:p w14:paraId="45F3A516" w14:textId="77777777" w:rsidR="00192124" w:rsidRDefault="00192124">
      <w:pPr>
        <w:spacing w:line="360" w:lineRule="auto"/>
        <w:jc w:val="both"/>
        <w:rPr>
          <w:sz w:val="24"/>
          <w:szCs w:val="24"/>
        </w:rPr>
      </w:pPr>
    </w:p>
    <w:p w14:paraId="2F1109B8" w14:textId="77777777" w:rsidR="00192124" w:rsidRDefault="00192124">
      <w:pPr>
        <w:spacing w:line="360" w:lineRule="auto"/>
        <w:jc w:val="both"/>
        <w:rPr>
          <w:sz w:val="24"/>
          <w:szCs w:val="24"/>
        </w:rPr>
      </w:pPr>
    </w:p>
    <w:p w14:paraId="3BAEB1AF" w14:textId="77777777" w:rsidR="00192124" w:rsidRDefault="00192124">
      <w:pPr>
        <w:spacing w:line="360" w:lineRule="auto"/>
        <w:jc w:val="both"/>
        <w:rPr>
          <w:sz w:val="24"/>
          <w:szCs w:val="24"/>
        </w:rPr>
      </w:pPr>
    </w:p>
    <w:p w14:paraId="37E3583F" w14:textId="77777777" w:rsidR="00192124" w:rsidRDefault="00192124">
      <w:pPr>
        <w:spacing w:line="360" w:lineRule="auto"/>
        <w:jc w:val="both"/>
        <w:rPr>
          <w:sz w:val="24"/>
          <w:szCs w:val="24"/>
        </w:rPr>
      </w:pPr>
    </w:p>
    <w:p w14:paraId="27BD4247" w14:textId="77777777" w:rsidR="00192124" w:rsidRDefault="00192124">
      <w:pPr>
        <w:spacing w:line="360" w:lineRule="auto"/>
        <w:jc w:val="both"/>
        <w:rPr>
          <w:sz w:val="24"/>
          <w:szCs w:val="24"/>
        </w:rPr>
      </w:pPr>
    </w:p>
    <w:p w14:paraId="22A46C05" w14:textId="77777777" w:rsidR="00192124" w:rsidRDefault="00192124">
      <w:pPr>
        <w:spacing w:line="360" w:lineRule="auto"/>
        <w:jc w:val="both"/>
        <w:rPr>
          <w:sz w:val="24"/>
          <w:szCs w:val="24"/>
        </w:rPr>
      </w:pPr>
    </w:p>
    <w:p w14:paraId="18D0C792" w14:textId="77777777" w:rsidR="00192124" w:rsidRDefault="00000000">
      <w:pPr>
        <w:pStyle w:val="Heading1"/>
      </w:pPr>
      <w:bookmarkStart w:id="14" w:name="_35nkun2" w:colFirst="0" w:colLast="0"/>
      <w:bookmarkEnd w:id="14"/>
      <w:r>
        <w:lastRenderedPageBreak/>
        <w:t xml:space="preserve">Appendix </w:t>
      </w:r>
    </w:p>
    <w:p w14:paraId="1C84F805" w14:textId="77777777" w:rsidR="00192124" w:rsidRDefault="00000000">
      <w:pPr>
        <w:spacing w:line="360" w:lineRule="auto"/>
        <w:jc w:val="both"/>
        <w:rPr>
          <w:sz w:val="24"/>
          <w:szCs w:val="24"/>
        </w:rPr>
      </w:pPr>
      <w:r>
        <w:rPr>
          <w:sz w:val="24"/>
          <w:szCs w:val="24"/>
        </w:rPr>
        <w:t>Table 1. Fuel Market Equilibrium Analysis</w:t>
      </w:r>
    </w:p>
    <w:tbl>
      <w:tblPr>
        <w:tblStyle w:val="a"/>
        <w:tblW w:w="7034"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2914"/>
        <w:gridCol w:w="1234"/>
        <w:gridCol w:w="2886"/>
      </w:tblGrid>
      <w:tr w:rsidR="00192124" w14:paraId="68AFFF1F" w14:textId="77777777">
        <w:trPr>
          <w:tblHeader/>
        </w:trPr>
        <w:tc>
          <w:tcPr>
            <w:tcW w:w="291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342B9256" w14:textId="77777777" w:rsidR="00192124" w:rsidRDefault="00000000">
            <w:pPr>
              <w:spacing w:line="360" w:lineRule="auto"/>
              <w:jc w:val="both"/>
              <w:rPr>
                <w:b/>
                <w:sz w:val="24"/>
                <w:szCs w:val="24"/>
              </w:rPr>
            </w:pPr>
            <w:r>
              <w:rPr>
                <w:b/>
                <w:sz w:val="24"/>
                <w:szCs w:val="24"/>
              </w:rPr>
              <w:t>Metric</w:t>
            </w:r>
          </w:p>
        </w:tc>
        <w:tc>
          <w:tcPr>
            <w:tcW w:w="123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0699C1C4" w14:textId="77777777" w:rsidR="00192124" w:rsidRDefault="00000000">
            <w:pPr>
              <w:spacing w:line="360" w:lineRule="auto"/>
              <w:jc w:val="both"/>
              <w:rPr>
                <w:b/>
                <w:sz w:val="24"/>
                <w:szCs w:val="24"/>
              </w:rPr>
            </w:pPr>
            <w:r>
              <w:rPr>
                <w:b/>
                <w:sz w:val="24"/>
                <w:szCs w:val="24"/>
              </w:rPr>
              <w:t>Before Crisis</w:t>
            </w:r>
          </w:p>
        </w:tc>
        <w:tc>
          <w:tcPr>
            <w:tcW w:w="2886"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53AB2B7B" w14:textId="77777777" w:rsidR="00192124" w:rsidRDefault="00000000">
            <w:pPr>
              <w:spacing w:line="360" w:lineRule="auto"/>
              <w:jc w:val="both"/>
              <w:rPr>
                <w:b/>
                <w:sz w:val="24"/>
                <w:szCs w:val="24"/>
              </w:rPr>
            </w:pPr>
            <w:r>
              <w:rPr>
                <w:b/>
                <w:sz w:val="24"/>
                <w:szCs w:val="24"/>
              </w:rPr>
              <w:t>During Crisis</w:t>
            </w:r>
          </w:p>
        </w:tc>
      </w:tr>
      <w:tr w:rsidR="00192124" w14:paraId="49C03E68" w14:textId="77777777">
        <w:tc>
          <w:tcPr>
            <w:tcW w:w="291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42DB489D" w14:textId="77777777" w:rsidR="00192124" w:rsidRDefault="00000000">
            <w:pPr>
              <w:spacing w:line="360" w:lineRule="auto"/>
              <w:jc w:val="both"/>
              <w:rPr>
                <w:sz w:val="24"/>
                <w:szCs w:val="24"/>
              </w:rPr>
            </w:pPr>
            <w:r>
              <w:rPr>
                <w:sz w:val="24"/>
                <w:szCs w:val="24"/>
              </w:rPr>
              <w:t>Equilibrium Fuel Price</w:t>
            </w:r>
          </w:p>
        </w:tc>
        <w:tc>
          <w:tcPr>
            <w:tcW w:w="123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717D8EA4" w14:textId="77777777" w:rsidR="00192124" w:rsidRDefault="00000000">
            <w:pPr>
              <w:spacing w:line="360" w:lineRule="auto"/>
              <w:jc w:val="both"/>
              <w:rPr>
                <w:sz w:val="24"/>
                <w:szCs w:val="24"/>
              </w:rPr>
            </w:pPr>
            <w:r>
              <w:rPr>
                <w:sz w:val="24"/>
                <w:szCs w:val="24"/>
              </w:rPr>
              <w:t>£P1</w:t>
            </w:r>
          </w:p>
        </w:tc>
        <w:tc>
          <w:tcPr>
            <w:tcW w:w="2886"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78D62116" w14:textId="77777777" w:rsidR="00192124" w:rsidRDefault="00000000">
            <w:pPr>
              <w:spacing w:line="360" w:lineRule="auto"/>
              <w:jc w:val="both"/>
              <w:rPr>
                <w:sz w:val="24"/>
                <w:szCs w:val="24"/>
              </w:rPr>
            </w:pPr>
            <w:r>
              <w:rPr>
                <w:sz w:val="24"/>
                <w:szCs w:val="24"/>
              </w:rPr>
              <w:t>£P2 (Higher price)</w:t>
            </w:r>
          </w:p>
        </w:tc>
      </w:tr>
      <w:tr w:rsidR="00192124" w14:paraId="6BDC1953" w14:textId="77777777">
        <w:tc>
          <w:tcPr>
            <w:tcW w:w="291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6F26E788" w14:textId="77777777" w:rsidR="00192124" w:rsidRDefault="00000000">
            <w:pPr>
              <w:spacing w:line="360" w:lineRule="auto"/>
              <w:jc w:val="both"/>
              <w:rPr>
                <w:sz w:val="24"/>
                <w:szCs w:val="24"/>
              </w:rPr>
            </w:pPr>
            <w:r>
              <w:rPr>
                <w:sz w:val="24"/>
                <w:szCs w:val="24"/>
              </w:rPr>
              <w:t>Equilibrium Fuel Quantity</w:t>
            </w:r>
          </w:p>
        </w:tc>
        <w:tc>
          <w:tcPr>
            <w:tcW w:w="123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428D3EBF" w14:textId="77777777" w:rsidR="00192124" w:rsidRDefault="00000000">
            <w:pPr>
              <w:spacing w:line="360" w:lineRule="auto"/>
              <w:jc w:val="both"/>
              <w:rPr>
                <w:sz w:val="24"/>
                <w:szCs w:val="24"/>
              </w:rPr>
            </w:pPr>
            <w:r>
              <w:rPr>
                <w:sz w:val="24"/>
                <w:szCs w:val="24"/>
              </w:rPr>
              <w:t>Q1</w:t>
            </w:r>
          </w:p>
        </w:tc>
        <w:tc>
          <w:tcPr>
            <w:tcW w:w="2886"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3FAD066B" w14:textId="77777777" w:rsidR="00192124" w:rsidRDefault="00000000">
            <w:pPr>
              <w:spacing w:line="360" w:lineRule="auto"/>
              <w:jc w:val="both"/>
              <w:rPr>
                <w:sz w:val="24"/>
                <w:szCs w:val="24"/>
              </w:rPr>
            </w:pPr>
            <w:r>
              <w:rPr>
                <w:sz w:val="24"/>
                <w:szCs w:val="24"/>
              </w:rPr>
              <w:t>Rationed/Queued (Lower)</w:t>
            </w:r>
          </w:p>
        </w:tc>
      </w:tr>
      <w:tr w:rsidR="00192124" w14:paraId="2401367B" w14:textId="77777777">
        <w:tc>
          <w:tcPr>
            <w:tcW w:w="291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75C478EA" w14:textId="77777777" w:rsidR="00192124" w:rsidRDefault="00000000">
            <w:pPr>
              <w:spacing w:line="360" w:lineRule="auto"/>
              <w:jc w:val="both"/>
              <w:rPr>
                <w:sz w:val="24"/>
                <w:szCs w:val="24"/>
              </w:rPr>
            </w:pPr>
            <w:r>
              <w:rPr>
                <w:sz w:val="24"/>
                <w:szCs w:val="24"/>
              </w:rPr>
              <w:t>Consumer Fuel Demand</w:t>
            </w:r>
          </w:p>
        </w:tc>
        <w:tc>
          <w:tcPr>
            <w:tcW w:w="123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0D5F9B47" w14:textId="77777777" w:rsidR="00192124" w:rsidRDefault="00000000">
            <w:pPr>
              <w:spacing w:line="360" w:lineRule="auto"/>
              <w:jc w:val="both"/>
              <w:rPr>
                <w:sz w:val="24"/>
                <w:szCs w:val="24"/>
              </w:rPr>
            </w:pPr>
            <w:r>
              <w:rPr>
                <w:sz w:val="24"/>
                <w:szCs w:val="24"/>
              </w:rPr>
              <w:t>D1</w:t>
            </w:r>
          </w:p>
        </w:tc>
        <w:tc>
          <w:tcPr>
            <w:tcW w:w="2886"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27D4A66C" w14:textId="77777777" w:rsidR="00192124" w:rsidRDefault="00000000">
            <w:pPr>
              <w:spacing w:line="360" w:lineRule="auto"/>
              <w:jc w:val="both"/>
              <w:rPr>
                <w:sz w:val="24"/>
                <w:szCs w:val="24"/>
              </w:rPr>
            </w:pPr>
            <w:r>
              <w:rPr>
                <w:sz w:val="24"/>
                <w:szCs w:val="24"/>
              </w:rPr>
              <w:t>D2 (Increased "Panic Buying")</w:t>
            </w:r>
          </w:p>
        </w:tc>
      </w:tr>
      <w:tr w:rsidR="00192124" w14:paraId="000714B3" w14:textId="77777777">
        <w:tc>
          <w:tcPr>
            <w:tcW w:w="291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5D93DDD4" w14:textId="77777777" w:rsidR="00192124" w:rsidRDefault="00000000">
            <w:pPr>
              <w:spacing w:line="360" w:lineRule="auto"/>
              <w:jc w:val="both"/>
              <w:rPr>
                <w:sz w:val="24"/>
                <w:szCs w:val="24"/>
              </w:rPr>
            </w:pPr>
            <w:r>
              <w:rPr>
                <w:sz w:val="24"/>
                <w:szCs w:val="24"/>
              </w:rPr>
              <w:t>Fuel Supply</w:t>
            </w:r>
          </w:p>
        </w:tc>
        <w:tc>
          <w:tcPr>
            <w:tcW w:w="123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0CB2035B" w14:textId="77777777" w:rsidR="00192124" w:rsidRDefault="00000000">
            <w:pPr>
              <w:spacing w:line="360" w:lineRule="auto"/>
              <w:jc w:val="both"/>
              <w:rPr>
                <w:sz w:val="24"/>
                <w:szCs w:val="24"/>
              </w:rPr>
            </w:pPr>
            <w:r>
              <w:rPr>
                <w:sz w:val="24"/>
                <w:szCs w:val="24"/>
              </w:rPr>
              <w:t>S1</w:t>
            </w:r>
          </w:p>
        </w:tc>
        <w:tc>
          <w:tcPr>
            <w:tcW w:w="2886"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24377EC5" w14:textId="77777777" w:rsidR="00192124" w:rsidRDefault="00000000">
            <w:pPr>
              <w:spacing w:line="360" w:lineRule="auto"/>
              <w:jc w:val="both"/>
              <w:rPr>
                <w:sz w:val="24"/>
                <w:szCs w:val="24"/>
              </w:rPr>
            </w:pPr>
            <w:r>
              <w:rPr>
                <w:sz w:val="24"/>
                <w:szCs w:val="24"/>
              </w:rPr>
              <w:t>S2 (Constrained supply)</w:t>
            </w:r>
          </w:p>
        </w:tc>
      </w:tr>
      <w:tr w:rsidR="00192124" w14:paraId="63263DC8" w14:textId="77777777">
        <w:tc>
          <w:tcPr>
            <w:tcW w:w="291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2AB1D54B" w14:textId="77777777" w:rsidR="00192124" w:rsidRDefault="00000000">
            <w:pPr>
              <w:spacing w:line="360" w:lineRule="auto"/>
              <w:jc w:val="both"/>
              <w:rPr>
                <w:sz w:val="24"/>
                <w:szCs w:val="24"/>
              </w:rPr>
            </w:pPr>
            <w:r>
              <w:rPr>
                <w:sz w:val="24"/>
                <w:szCs w:val="24"/>
              </w:rPr>
              <w:t>Consumer Surplus</w:t>
            </w:r>
          </w:p>
        </w:tc>
        <w:tc>
          <w:tcPr>
            <w:tcW w:w="123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035075EB" w14:textId="77777777" w:rsidR="00192124" w:rsidRDefault="00000000">
            <w:pPr>
              <w:spacing w:line="360" w:lineRule="auto"/>
              <w:jc w:val="both"/>
              <w:rPr>
                <w:sz w:val="24"/>
                <w:szCs w:val="24"/>
              </w:rPr>
            </w:pPr>
            <w:r>
              <w:rPr>
                <w:sz w:val="24"/>
                <w:szCs w:val="24"/>
              </w:rPr>
              <w:t>Present</w:t>
            </w:r>
          </w:p>
        </w:tc>
        <w:tc>
          <w:tcPr>
            <w:tcW w:w="2886"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40C8670D" w14:textId="77777777" w:rsidR="00192124" w:rsidRDefault="00000000">
            <w:pPr>
              <w:spacing w:line="360" w:lineRule="auto"/>
              <w:jc w:val="both"/>
              <w:rPr>
                <w:sz w:val="24"/>
                <w:szCs w:val="24"/>
              </w:rPr>
            </w:pPr>
            <w:r>
              <w:rPr>
                <w:sz w:val="24"/>
                <w:szCs w:val="24"/>
              </w:rPr>
              <w:t>Absent</w:t>
            </w:r>
          </w:p>
        </w:tc>
      </w:tr>
      <w:tr w:rsidR="00192124" w14:paraId="478C9D49" w14:textId="77777777">
        <w:tc>
          <w:tcPr>
            <w:tcW w:w="291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4D1D0D41" w14:textId="77777777" w:rsidR="00192124" w:rsidRDefault="00000000">
            <w:pPr>
              <w:spacing w:line="360" w:lineRule="auto"/>
              <w:jc w:val="both"/>
              <w:rPr>
                <w:sz w:val="24"/>
                <w:szCs w:val="24"/>
              </w:rPr>
            </w:pPr>
            <w:r>
              <w:rPr>
                <w:sz w:val="24"/>
                <w:szCs w:val="24"/>
              </w:rPr>
              <w:t>Producer/Seller Surplus</w:t>
            </w:r>
          </w:p>
        </w:tc>
        <w:tc>
          <w:tcPr>
            <w:tcW w:w="123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6E924A28" w14:textId="77777777" w:rsidR="00192124" w:rsidRDefault="00000000">
            <w:pPr>
              <w:spacing w:line="360" w:lineRule="auto"/>
              <w:jc w:val="both"/>
              <w:rPr>
                <w:sz w:val="24"/>
                <w:szCs w:val="24"/>
              </w:rPr>
            </w:pPr>
            <w:r>
              <w:rPr>
                <w:sz w:val="24"/>
                <w:szCs w:val="24"/>
              </w:rPr>
              <w:t>Present</w:t>
            </w:r>
          </w:p>
        </w:tc>
        <w:tc>
          <w:tcPr>
            <w:tcW w:w="2886"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7D33CEAC" w14:textId="77777777" w:rsidR="00192124" w:rsidRDefault="00000000">
            <w:pPr>
              <w:spacing w:line="360" w:lineRule="auto"/>
              <w:jc w:val="both"/>
              <w:rPr>
                <w:sz w:val="24"/>
                <w:szCs w:val="24"/>
              </w:rPr>
            </w:pPr>
            <w:r>
              <w:rPr>
                <w:sz w:val="24"/>
                <w:szCs w:val="24"/>
              </w:rPr>
              <w:t>Increased</w:t>
            </w:r>
          </w:p>
        </w:tc>
      </w:tr>
      <w:tr w:rsidR="00192124" w14:paraId="4383D548" w14:textId="77777777">
        <w:tc>
          <w:tcPr>
            <w:tcW w:w="291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787ADCA6" w14:textId="77777777" w:rsidR="00192124" w:rsidRDefault="00000000">
            <w:pPr>
              <w:spacing w:line="360" w:lineRule="auto"/>
              <w:jc w:val="both"/>
              <w:rPr>
                <w:sz w:val="24"/>
                <w:szCs w:val="24"/>
              </w:rPr>
            </w:pPr>
            <w:r>
              <w:rPr>
                <w:sz w:val="24"/>
                <w:szCs w:val="24"/>
              </w:rPr>
              <w:t>Resource Allocation Efficiency</w:t>
            </w:r>
          </w:p>
        </w:tc>
        <w:tc>
          <w:tcPr>
            <w:tcW w:w="1234"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1C6FB20F" w14:textId="77777777" w:rsidR="00192124" w:rsidRDefault="00000000">
            <w:pPr>
              <w:spacing w:line="360" w:lineRule="auto"/>
              <w:jc w:val="both"/>
              <w:rPr>
                <w:sz w:val="24"/>
                <w:szCs w:val="24"/>
              </w:rPr>
            </w:pPr>
            <w:r>
              <w:rPr>
                <w:sz w:val="24"/>
                <w:szCs w:val="24"/>
              </w:rPr>
              <w:t>Optimal</w:t>
            </w:r>
          </w:p>
        </w:tc>
        <w:tc>
          <w:tcPr>
            <w:tcW w:w="2886" w:type="dxa"/>
            <w:tcBorders>
              <w:top w:val="single" w:sz="6" w:space="0" w:color="D5D3D1"/>
              <w:left w:val="single" w:sz="6" w:space="0" w:color="D5D3D1"/>
              <w:bottom w:val="single" w:sz="6" w:space="0" w:color="D5D3D1"/>
              <w:right w:val="single" w:sz="6" w:space="0" w:color="D5D3D1"/>
            </w:tcBorders>
            <w:shd w:val="clear" w:color="auto" w:fill="FFFFFF"/>
            <w:vAlign w:val="center"/>
          </w:tcPr>
          <w:p w14:paraId="040EB6B4" w14:textId="77777777" w:rsidR="00192124" w:rsidRDefault="00000000">
            <w:pPr>
              <w:spacing w:line="360" w:lineRule="auto"/>
              <w:jc w:val="both"/>
              <w:rPr>
                <w:sz w:val="24"/>
                <w:szCs w:val="24"/>
              </w:rPr>
            </w:pPr>
            <w:r>
              <w:rPr>
                <w:sz w:val="24"/>
                <w:szCs w:val="24"/>
              </w:rPr>
              <w:t>Deadweight Loss Incurred</w:t>
            </w:r>
          </w:p>
        </w:tc>
      </w:tr>
    </w:tbl>
    <w:p w14:paraId="339A0658" w14:textId="77777777" w:rsidR="00192124" w:rsidRDefault="00192124">
      <w:pPr>
        <w:spacing w:line="360" w:lineRule="auto"/>
        <w:jc w:val="both"/>
        <w:rPr>
          <w:sz w:val="24"/>
          <w:szCs w:val="24"/>
        </w:rPr>
      </w:pPr>
    </w:p>
    <w:sectPr w:rsidR="00192124">
      <w:pgSz w:w="11906" w:h="16838"/>
      <w:pgMar w:top="1417" w:right="1417" w:bottom="1417" w:left="1417"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D0B96"/>
    <w:multiLevelType w:val="multilevel"/>
    <w:tmpl w:val="4ADAFAC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581E42AD"/>
    <w:multiLevelType w:val="multilevel"/>
    <w:tmpl w:val="54FE14D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5D775642"/>
    <w:multiLevelType w:val="multilevel"/>
    <w:tmpl w:val="C08655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F3F5D6C"/>
    <w:multiLevelType w:val="multilevel"/>
    <w:tmpl w:val="8BBE83E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399203226">
    <w:abstractNumId w:val="3"/>
  </w:num>
  <w:num w:numId="2" w16cid:durableId="1986660092">
    <w:abstractNumId w:val="0"/>
  </w:num>
  <w:num w:numId="3" w16cid:durableId="924612887">
    <w:abstractNumId w:val="1"/>
  </w:num>
  <w:num w:numId="4" w16cid:durableId="19062628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124"/>
    <w:rsid w:val="00192124"/>
    <w:rsid w:val="00446316"/>
    <w:rsid w:val="00EF5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1303A"/>
  <w15:docId w15:val="{BA9DD305-DE5A-43D9-A7E9-2FCCCDED6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ro-RO"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world.com/news/politics/history-of-uk-fuel-crises-panic-buying-petrol-shortages-and-mile-long-queues-at-the-pumps-3415793" TargetMode="External"/><Relationship Id="rId3" Type="http://schemas.openxmlformats.org/officeDocument/2006/relationships/settings" Target="settings.xml"/><Relationship Id="rId7" Type="http://schemas.openxmlformats.org/officeDocument/2006/relationships/hyperlink" Target="https://www.ft.com/content/ac2c1934-3a4d-40a2-aaa6-96858e9b8c4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stituteforgovernment.org.uk/publication/supply-chains" TargetMode="External"/><Relationship Id="rId5" Type="http://schemas.openxmlformats.org/officeDocument/2006/relationships/hyperlink" Target="https://www.gov.uk/government/news/overnment-action-eases-pressures-on-hgv-driver-shortages--2"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Pages>
  <Words>3655</Words>
  <Characters>20837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Florentina Fistoleanu (2115309)</cp:lastModifiedBy>
  <cp:revision>3</cp:revision>
  <dcterms:created xsi:type="dcterms:W3CDTF">2023-12-20T13:40:00Z</dcterms:created>
  <dcterms:modified xsi:type="dcterms:W3CDTF">2023-12-20T13:56:00Z</dcterms:modified>
</cp:coreProperties>
</file>