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7C05F" w14:textId="2C6BB1DD" w:rsidR="00601571" w:rsidRDefault="00601571">
      <w:r>
        <w:tab/>
      </w:r>
    </w:p>
    <w:sdt>
      <w:sdtPr>
        <w:id w:val="-2099704814"/>
        <w:docPartObj>
          <w:docPartGallery w:val="Cover Pages"/>
          <w:docPartUnique/>
        </w:docPartObj>
      </w:sdtPr>
      <w:sdtContent>
        <w:p w14:paraId="071578E9" w14:textId="2EBC474A" w:rsidR="00611C4A" w:rsidRDefault="00611C4A">
          <w:r>
            <w:rPr>
              <w:noProof/>
            </w:rPr>
            <mc:AlternateContent>
              <mc:Choice Requires="wpg">
                <w:drawing>
                  <wp:anchor distT="0" distB="0" distL="114300" distR="114300" simplePos="0" relativeHeight="251662336" behindDoc="0" locked="0" layoutInCell="1" allowOverlap="1" wp14:anchorId="5DCC2962" wp14:editId="7C5C6A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682AD2"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07E9CCE" wp14:editId="14523FD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98FA70F" w14:textId="079D57BD" w:rsidR="00611C4A" w:rsidRDefault="00611C4A">
                                    <w:pPr>
                                      <w:pStyle w:val="NoSpacing"/>
                                      <w:jc w:val="right"/>
                                      <w:rPr>
                                        <w:color w:val="595959" w:themeColor="text1" w:themeTint="A6"/>
                                        <w:sz w:val="28"/>
                                        <w:szCs w:val="28"/>
                                      </w:rPr>
                                    </w:pPr>
                                    <w:r>
                                      <w:rPr>
                                        <w:color w:val="595959" w:themeColor="text1" w:themeTint="A6"/>
                                        <w:sz w:val="28"/>
                                        <w:szCs w:val="28"/>
                                      </w:rPr>
                                      <w:t>Jack Banner (2200212)</w:t>
                                    </w:r>
                                  </w:p>
                                </w:sdtContent>
                              </w:sdt>
                              <w:p w14:paraId="4708CD34" w14:textId="3B1D8F46" w:rsidR="00611C4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D0130">
                                      <w:rPr>
                                        <w:color w:val="595959" w:themeColor="text1" w:themeTint="A6"/>
                                        <w:sz w:val="18"/>
                                        <w:szCs w:val="18"/>
                                      </w:rPr>
                                      <w:t>2200212@student.</w:t>
                                    </w:r>
                                    <w:r w:rsidR="007E15F3">
                                      <w:rPr>
                                        <w:color w:val="595959" w:themeColor="text1" w:themeTint="A6"/>
                                        <w:sz w:val="18"/>
                                        <w:szCs w:val="18"/>
                                      </w:rPr>
                                      <w: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07E9CCE"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98FA70F" w14:textId="079D57BD" w:rsidR="00611C4A" w:rsidRDefault="00611C4A">
                              <w:pPr>
                                <w:pStyle w:val="NoSpacing"/>
                                <w:jc w:val="right"/>
                                <w:rPr>
                                  <w:color w:val="595959" w:themeColor="text1" w:themeTint="A6"/>
                                  <w:sz w:val="28"/>
                                  <w:szCs w:val="28"/>
                                </w:rPr>
                              </w:pPr>
                              <w:r>
                                <w:rPr>
                                  <w:color w:val="595959" w:themeColor="text1" w:themeTint="A6"/>
                                  <w:sz w:val="28"/>
                                  <w:szCs w:val="28"/>
                                </w:rPr>
                                <w:t>Jack Banner (2200212)</w:t>
                              </w:r>
                            </w:p>
                          </w:sdtContent>
                        </w:sdt>
                        <w:p w14:paraId="4708CD34" w14:textId="3B1D8F46" w:rsidR="00611C4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D0130">
                                <w:rPr>
                                  <w:color w:val="595959" w:themeColor="text1" w:themeTint="A6"/>
                                  <w:sz w:val="18"/>
                                  <w:szCs w:val="18"/>
                                </w:rPr>
                                <w:t>2200212@student.</w:t>
                              </w:r>
                              <w:r w:rsidR="007E15F3">
                                <w:rPr>
                                  <w:color w:val="595959" w:themeColor="text1" w:themeTint="A6"/>
                                  <w:sz w:val="18"/>
                                  <w:szCs w:val="18"/>
                                </w:rPr>
                                <w: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C16735D" wp14:editId="6A7A066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51F60" w14:textId="060352DE" w:rsidR="00611C4A"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11C4A">
                                      <w:rPr>
                                        <w:caps/>
                                        <w:color w:val="4472C4" w:themeColor="accent1"/>
                                        <w:sz w:val="64"/>
                                        <w:szCs w:val="64"/>
                                      </w:rPr>
                                      <w:t>Assignment 1</w:t>
                                    </w:r>
                                    <w:r w:rsidR="00611C4A">
                                      <w:rPr>
                                        <w:caps/>
                                        <w:color w:val="4472C4" w:themeColor="accent1"/>
                                        <w:sz w:val="64"/>
                                        <w:szCs w:val="64"/>
                                      </w:rPr>
                                      <w:br/>
                                      <w:t xml:space="preserve"> Supporting paper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41A5DA" w14:textId="5E5BAE01" w:rsidR="00611C4A" w:rsidRDefault="00DD0130">
                                    <w:pPr>
                                      <w:jc w:val="right"/>
                                      <w:rPr>
                                        <w:smallCaps/>
                                        <w:color w:val="404040" w:themeColor="text1" w:themeTint="BF"/>
                                        <w:sz w:val="36"/>
                                        <w:szCs w:val="36"/>
                                      </w:rPr>
                                    </w:pPr>
                                    <w:r>
                                      <w:rPr>
                                        <w:color w:val="404040" w:themeColor="text1" w:themeTint="BF"/>
                                        <w:sz w:val="36"/>
                                        <w:szCs w:val="36"/>
                                      </w:rPr>
                                      <w:t>BMPL5010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C16735D"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C751F60" w14:textId="060352DE" w:rsidR="00611C4A"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11C4A">
                                <w:rPr>
                                  <w:caps/>
                                  <w:color w:val="4472C4" w:themeColor="accent1"/>
                                  <w:sz w:val="64"/>
                                  <w:szCs w:val="64"/>
                                </w:rPr>
                                <w:t>Assignment 1</w:t>
                              </w:r>
                              <w:r w:rsidR="00611C4A">
                                <w:rPr>
                                  <w:caps/>
                                  <w:color w:val="4472C4" w:themeColor="accent1"/>
                                  <w:sz w:val="64"/>
                                  <w:szCs w:val="64"/>
                                </w:rPr>
                                <w:br/>
                                <w:t xml:space="preserve"> Supporting paper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41A5DA" w14:textId="5E5BAE01" w:rsidR="00611C4A" w:rsidRDefault="00DD0130">
                              <w:pPr>
                                <w:jc w:val="right"/>
                                <w:rPr>
                                  <w:smallCaps/>
                                  <w:color w:val="404040" w:themeColor="text1" w:themeTint="BF"/>
                                  <w:sz w:val="36"/>
                                  <w:szCs w:val="36"/>
                                </w:rPr>
                              </w:pPr>
                              <w:r>
                                <w:rPr>
                                  <w:color w:val="404040" w:themeColor="text1" w:themeTint="BF"/>
                                  <w:sz w:val="36"/>
                                  <w:szCs w:val="36"/>
                                </w:rPr>
                                <w:t>BMPL5010</w:t>
                              </w:r>
                            </w:p>
                          </w:sdtContent>
                        </w:sdt>
                      </w:txbxContent>
                    </v:textbox>
                    <w10:wrap type="square" anchorx="page" anchory="page"/>
                  </v:shape>
                </w:pict>
              </mc:Fallback>
            </mc:AlternateContent>
          </w:r>
        </w:p>
        <w:p w14:paraId="5E5787A5" w14:textId="1FE1B65C" w:rsidR="00611C4A" w:rsidRDefault="00611C4A">
          <w:r>
            <w:br w:type="page"/>
          </w:r>
        </w:p>
      </w:sdtContent>
    </w:sdt>
    <w:sdt>
      <w:sdtPr>
        <w:rPr>
          <w:rFonts w:asciiTheme="minorHAnsi" w:eastAsiaTheme="minorHAnsi" w:hAnsiTheme="minorHAnsi" w:cstheme="minorBidi"/>
          <w:color w:val="auto"/>
          <w:sz w:val="22"/>
          <w:szCs w:val="22"/>
          <w:lang w:val="en-GB"/>
        </w:rPr>
        <w:id w:val="-1992557835"/>
        <w:docPartObj>
          <w:docPartGallery w:val="Table of Contents"/>
          <w:docPartUnique/>
        </w:docPartObj>
      </w:sdtPr>
      <w:sdtEndPr>
        <w:rPr>
          <w:b/>
          <w:bCs/>
          <w:noProof/>
        </w:rPr>
      </w:sdtEndPr>
      <w:sdtContent>
        <w:p w14:paraId="162EF85E" w14:textId="158FB1A0" w:rsidR="005D7D6B" w:rsidRDefault="005D7D6B">
          <w:pPr>
            <w:pStyle w:val="TOCHeading"/>
          </w:pPr>
          <w:r>
            <w:t>Contents</w:t>
          </w:r>
        </w:p>
        <w:p w14:paraId="006C8324" w14:textId="484E2DCC" w:rsidR="00CC473A" w:rsidRDefault="005D7D6B">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0726004" w:history="1">
            <w:r w:rsidR="00CC473A" w:rsidRPr="005D2F01">
              <w:rPr>
                <w:rStyle w:val="Hyperlink"/>
                <w:noProof/>
              </w:rPr>
              <w:t>Main Body</w:t>
            </w:r>
            <w:r w:rsidR="00CC473A">
              <w:rPr>
                <w:noProof/>
                <w:webHidden/>
              </w:rPr>
              <w:tab/>
            </w:r>
            <w:r w:rsidR="00CC473A">
              <w:rPr>
                <w:noProof/>
                <w:webHidden/>
              </w:rPr>
              <w:fldChar w:fldCharType="begin"/>
            </w:r>
            <w:r w:rsidR="00CC473A">
              <w:rPr>
                <w:noProof/>
                <w:webHidden/>
              </w:rPr>
              <w:instrText xml:space="preserve"> PAGEREF _Toc160726004 \h </w:instrText>
            </w:r>
            <w:r w:rsidR="00CC473A">
              <w:rPr>
                <w:noProof/>
                <w:webHidden/>
              </w:rPr>
            </w:r>
            <w:r w:rsidR="00CC473A">
              <w:rPr>
                <w:noProof/>
                <w:webHidden/>
              </w:rPr>
              <w:fldChar w:fldCharType="separate"/>
            </w:r>
            <w:r w:rsidR="00CC473A">
              <w:rPr>
                <w:noProof/>
                <w:webHidden/>
              </w:rPr>
              <w:t>2</w:t>
            </w:r>
            <w:r w:rsidR="00CC473A">
              <w:rPr>
                <w:noProof/>
                <w:webHidden/>
              </w:rPr>
              <w:fldChar w:fldCharType="end"/>
            </w:r>
          </w:hyperlink>
        </w:p>
        <w:p w14:paraId="5DEFB70C" w14:textId="2203EF34" w:rsidR="00CC473A" w:rsidRDefault="00000000">
          <w:pPr>
            <w:pStyle w:val="TOC1"/>
            <w:tabs>
              <w:tab w:val="right" w:leader="dot" w:pos="9016"/>
            </w:tabs>
            <w:rPr>
              <w:rFonts w:eastAsiaTheme="minorEastAsia"/>
              <w:noProof/>
              <w:kern w:val="2"/>
              <w:sz w:val="24"/>
              <w:szCs w:val="24"/>
              <w:lang w:eastAsia="en-GB"/>
              <w14:ligatures w14:val="standardContextual"/>
            </w:rPr>
          </w:pPr>
          <w:hyperlink w:anchor="_Toc160726005" w:history="1">
            <w:r w:rsidR="00CC473A" w:rsidRPr="005D2F01">
              <w:rPr>
                <w:rStyle w:val="Hyperlink"/>
                <w:noProof/>
              </w:rPr>
              <w:t>Bibliography</w:t>
            </w:r>
            <w:r w:rsidR="00CC473A">
              <w:rPr>
                <w:noProof/>
                <w:webHidden/>
              </w:rPr>
              <w:tab/>
            </w:r>
            <w:r w:rsidR="00CC473A">
              <w:rPr>
                <w:noProof/>
                <w:webHidden/>
              </w:rPr>
              <w:fldChar w:fldCharType="begin"/>
            </w:r>
            <w:r w:rsidR="00CC473A">
              <w:rPr>
                <w:noProof/>
                <w:webHidden/>
              </w:rPr>
              <w:instrText xml:space="preserve"> PAGEREF _Toc160726005 \h </w:instrText>
            </w:r>
            <w:r w:rsidR="00CC473A">
              <w:rPr>
                <w:noProof/>
                <w:webHidden/>
              </w:rPr>
            </w:r>
            <w:r w:rsidR="00CC473A">
              <w:rPr>
                <w:noProof/>
                <w:webHidden/>
              </w:rPr>
              <w:fldChar w:fldCharType="separate"/>
            </w:r>
            <w:r w:rsidR="00CC473A">
              <w:rPr>
                <w:noProof/>
                <w:webHidden/>
              </w:rPr>
              <w:t>4</w:t>
            </w:r>
            <w:r w:rsidR="00CC473A">
              <w:rPr>
                <w:noProof/>
                <w:webHidden/>
              </w:rPr>
              <w:fldChar w:fldCharType="end"/>
            </w:r>
          </w:hyperlink>
        </w:p>
        <w:p w14:paraId="22FAE659" w14:textId="504E1F53" w:rsidR="005D7D6B" w:rsidRDefault="005D7D6B">
          <w:r>
            <w:rPr>
              <w:b/>
              <w:bCs/>
              <w:noProof/>
            </w:rPr>
            <w:fldChar w:fldCharType="end"/>
          </w:r>
        </w:p>
      </w:sdtContent>
    </w:sdt>
    <w:p w14:paraId="1BE61CC4" w14:textId="6FC05494" w:rsidR="005D7D6B" w:rsidRDefault="005D7D6B"/>
    <w:p w14:paraId="40799AE4" w14:textId="77777777" w:rsidR="005D7D6B" w:rsidRDefault="005D7D6B">
      <w:r>
        <w:br w:type="page"/>
      </w:r>
    </w:p>
    <w:p w14:paraId="261E3412" w14:textId="36C85E24" w:rsidR="007871F3" w:rsidRDefault="005D7D6B" w:rsidP="005D7D6B">
      <w:pPr>
        <w:pStyle w:val="Heading1"/>
      </w:pPr>
      <w:bookmarkStart w:id="0" w:name="_Toc160726004"/>
      <w:r>
        <w:lastRenderedPageBreak/>
        <w:t>Main Body</w:t>
      </w:r>
      <w:bookmarkEnd w:id="0"/>
    </w:p>
    <w:p w14:paraId="30B0A7CD" w14:textId="3F614D17" w:rsidR="00210488" w:rsidRPr="005F2270" w:rsidRDefault="00EC474F">
      <w:r w:rsidRPr="005F2270">
        <w:t>In the world of criminology, there are two longstanding, conflicting ideas. The argument is whether criminals are born having been dealt a hand by biological factors or made through nurture and their environment.</w:t>
      </w:r>
      <w:r w:rsidR="00B004B0" w:rsidRPr="005F2270">
        <w:t xml:space="preserve"> Here, we </w:t>
      </w:r>
      <w:r w:rsidR="00206037" w:rsidRPr="005F2270">
        <w:t>will</w:t>
      </w:r>
      <w:r w:rsidR="00B004B0" w:rsidRPr="005F2270">
        <w:t xml:space="preserve"> explore the </w:t>
      </w:r>
      <w:r w:rsidR="00BB0B6F" w:rsidRPr="005F2270">
        <w:t>made criminal concepts</w:t>
      </w:r>
      <w:r w:rsidR="00DD7D7A" w:rsidRPr="005F2270">
        <w:t xml:space="preserve">, using the </w:t>
      </w:r>
      <w:r w:rsidR="00D1134C" w:rsidRPr="005F2270">
        <w:t xml:space="preserve">Kray </w:t>
      </w:r>
      <w:r w:rsidR="00B2275E" w:rsidRPr="005F2270">
        <w:t xml:space="preserve">twins </w:t>
      </w:r>
      <w:r w:rsidR="00FB0763" w:rsidRPr="005F2270">
        <w:t xml:space="preserve">as a case study to apply the theories. We will then </w:t>
      </w:r>
      <w:r w:rsidR="00AC55FA" w:rsidRPr="005F2270">
        <w:t>dive into</w:t>
      </w:r>
      <w:r w:rsidR="00BB0B6F" w:rsidRPr="005F2270">
        <w:t xml:space="preserve"> the </w:t>
      </w:r>
      <w:r w:rsidR="00160CD3" w:rsidRPr="005F2270">
        <w:t>complexities and differences to the biological concepts.</w:t>
      </w:r>
    </w:p>
    <w:p w14:paraId="0E96F61B" w14:textId="315E54A6" w:rsidR="009D11AB" w:rsidRPr="005F2270" w:rsidRDefault="00B14FA8">
      <w:r w:rsidRPr="005F2270">
        <w:t>As a brief overview of the background of the Kray twins, Ronald and Reginald Kray were born on the 24th of October 1933, growing up in post-war East London. They were raised in a working-class family, with their mother the dominant figure in their life. Their father, Charles, was often absent, and their uncle, James, was a criminal exposing the twins to the criminal underworld</w:t>
      </w:r>
      <w:r w:rsidR="005F2270" w:rsidRPr="005F2270">
        <w:t xml:space="preserve"> (Find My Past, 2024)</w:t>
      </w:r>
      <w:r w:rsidRPr="005F2270">
        <w:t xml:space="preserve">. </w:t>
      </w:r>
      <w:r w:rsidR="00176AC9" w:rsidRPr="005F2270">
        <w:t>The brothers stood as massive figures of organised crime, involved in a variety of criminal activities from murder, arson, armed robbery, and gambling, before finally being convicted in 1969</w:t>
      </w:r>
      <w:r w:rsidR="00CF0B88" w:rsidRPr="005F2270">
        <w:t xml:space="preserve"> </w:t>
      </w:r>
      <w:r w:rsidR="00CF0B88" w:rsidRPr="005F2270">
        <w:rPr>
          <w:rFonts w:ascii="Calibri" w:hAnsi="Calibri" w:cs="Calibri"/>
        </w:rPr>
        <w:t>(Velich, 2023)</w:t>
      </w:r>
      <w:r w:rsidR="00176AC9" w:rsidRPr="005F2270">
        <w:t>.</w:t>
      </w:r>
    </w:p>
    <w:p w14:paraId="0B699E78" w14:textId="77777777" w:rsidR="00E62D9E" w:rsidRPr="005F2270" w:rsidRDefault="005504A3">
      <w:r w:rsidRPr="005F2270">
        <w:t xml:space="preserve">The first theory relating to the Kray Twins is The Social Disorganisation Theory. The theory was developed by Clifford Shaw and Henry McKay, and published through their study of juvenile delinquency in Chicago in 1942. It promotes the idea that crime is a product of ecological factors within an area and that the lack of a stable and cohesive community because of socio-economic factors has a substantial impact on the emergence of crime. </w:t>
      </w:r>
      <w:r w:rsidR="000402FF" w:rsidRPr="005F2270">
        <w:t>(Kubrin, 2010)</w:t>
      </w:r>
      <w:r w:rsidR="005E3C24" w:rsidRPr="005F2270">
        <w:t>.</w:t>
      </w:r>
      <w:r w:rsidR="000402FF" w:rsidRPr="005F2270">
        <w:t xml:space="preserve"> </w:t>
      </w:r>
    </w:p>
    <w:p w14:paraId="68468C4D" w14:textId="5254EA9B" w:rsidR="00703BA3" w:rsidRPr="005F2270" w:rsidRDefault="0084382C">
      <w:r w:rsidRPr="005F2270">
        <w:t xml:space="preserve">In the aftermath of </w:t>
      </w:r>
      <w:r w:rsidR="00236988" w:rsidRPr="005F2270">
        <w:t xml:space="preserve">The Second World War, </w:t>
      </w:r>
      <w:r w:rsidR="00F073B5" w:rsidRPr="005F2270">
        <w:t xml:space="preserve">the British government and local authorities were tasked with the rebuilding of these areas, devastated by the effects of the </w:t>
      </w:r>
      <w:r w:rsidR="00C63668" w:rsidRPr="005F2270">
        <w:t xml:space="preserve">war. East London being one of the areas </w:t>
      </w:r>
      <w:r w:rsidR="009617B4" w:rsidRPr="005F2270">
        <w:t>requiring extensive rebuilding, social restructuring, and economic recovery.</w:t>
      </w:r>
      <w:r w:rsidR="00386793" w:rsidRPr="005F2270">
        <w:t xml:space="preserve"> Despite efforts from the government, East London was</w:t>
      </w:r>
      <w:r w:rsidR="00C231B3" w:rsidRPr="005F2270">
        <w:t xml:space="preserve"> infected by major socio-economic issues from housing shortages</w:t>
      </w:r>
      <w:r w:rsidR="00680EBB" w:rsidRPr="005F2270">
        <w:t>, unemployment and poverty which directly connects to the ideas explored through Social Disorganisation Theory</w:t>
      </w:r>
      <w:r w:rsidR="00F2148B" w:rsidRPr="005F2270">
        <w:t xml:space="preserve"> </w:t>
      </w:r>
      <w:r w:rsidR="00F2148B" w:rsidRPr="005F2270">
        <w:rPr>
          <w:rFonts w:ascii="Calibri" w:eastAsia="Times New Roman" w:hAnsi="Calibri" w:cs="Calibri"/>
          <w:lang w:eastAsia="en-GB"/>
        </w:rPr>
        <w:t>(Butler et al., 2011)</w:t>
      </w:r>
      <w:r w:rsidR="00680EBB" w:rsidRPr="005F2270">
        <w:t>.</w:t>
      </w:r>
      <w:r w:rsidR="0035572C" w:rsidRPr="005F2270">
        <w:t xml:space="preserve"> </w:t>
      </w:r>
      <w:r w:rsidR="00CB1E6A" w:rsidRPr="005F2270">
        <w:t>As already mentioned, the Kray Twins were born in 1933, growing up through the war and the effects that emerged in its conclusion. Looking at this through the theoretical lens of The Social Disorganisation Theory, there is enough evidence to suggest that the climate of East London during their upbringing would provide sufficient room for their exposure to crime and their own path into organised crime</w:t>
      </w:r>
      <w:r w:rsidR="000575F9" w:rsidRPr="005F2270">
        <w:t xml:space="preserve"> </w:t>
      </w:r>
      <w:r w:rsidR="000575F9" w:rsidRPr="005F2270">
        <w:rPr>
          <w:rFonts w:ascii="Calibri" w:eastAsia="Times New Roman" w:hAnsi="Calibri" w:cs="Calibri"/>
          <w:lang w:eastAsia="en-GB"/>
        </w:rPr>
        <w:t>(Rose and Clear, 1998)</w:t>
      </w:r>
      <w:r w:rsidR="00CB1E6A" w:rsidRPr="005F2270">
        <w:t>.</w:t>
      </w:r>
    </w:p>
    <w:p w14:paraId="2DA88F19" w14:textId="77777777" w:rsidR="00C70599" w:rsidRDefault="00D46267">
      <w:r w:rsidRPr="00D46267">
        <w:t xml:space="preserve">In relation to the Kray Twins, there are two theories we can use to suggest that their criminality is the result of their family dynamics. These theories are Travis Hirschi’s Social Control Theory of 1969 and Edwin Sutherland’s Differential Association theory from the late 1930’s. According to Sun (2023), Social Control Theory adopts the idea that an individual will conform to the normalities of society because of strong societal bonds. Alongside, Differential Association Theory states that criminal behaviour is learned through social interaction, where an individual learns more ‘definitions’ favourable to violation of the law through exposure (Boman IV et al., 2019).  </w:t>
      </w:r>
    </w:p>
    <w:p w14:paraId="7A78E820" w14:textId="77777777" w:rsidR="002B6E83" w:rsidRDefault="00E11E3A">
      <w:r>
        <w:t xml:space="preserve">To begin, Social Control theory can </w:t>
      </w:r>
      <w:r w:rsidR="001B4D7E">
        <w:t>link</w:t>
      </w:r>
      <w:r>
        <w:t xml:space="preserve"> to </w:t>
      </w:r>
      <w:r w:rsidR="001B4D7E">
        <w:t>the family dynamic of the twins, alongside the socio-economic state of East London</w:t>
      </w:r>
      <w:r w:rsidR="00D956D9">
        <w:t xml:space="preserve">. With the situation of the area during the period, </w:t>
      </w:r>
      <w:r w:rsidR="0084299B">
        <w:t xml:space="preserve">there was present unrest and unhappiness from the effecting communities towards the government, and society in general </w:t>
      </w:r>
      <w:r w:rsidR="000224E4">
        <w:t xml:space="preserve">resulting from the lingering issues. </w:t>
      </w:r>
      <w:r w:rsidR="002D0325">
        <w:t xml:space="preserve">The absence of Charles Kray also plays a part, </w:t>
      </w:r>
      <w:r w:rsidR="00636DB1">
        <w:t xml:space="preserve">and </w:t>
      </w:r>
      <w:r w:rsidR="002D0325">
        <w:t>combined with th</w:t>
      </w:r>
      <w:r w:rsidR="0012737A">
        <w:t>e dominating, but uncritical support from the mother of the</w:t>
      </w:r>
      <w:r w:rsidR="00636DB1">
        <w:t xml:space="preserve"> twins. This synergy allowed the twins </w:t>
      </w:r>
      <w:r w:rsidR="00446DC2">
        <w:t xml:space="preserve">to detach from society, obstructing the usual social bonds described in the theory which </w:t>
      </w:r>
      <w:r w:rsidR="004C7077">
        <w:t>is theorised to lead to criminal behaviour</w:t>
      </w:r>
      <w:r w:rsidR="00FF53AE" w:rsidRPr="00FF53AE">
        <w:rPr>
          <w:rFonts w:ascii="Calibri" w:hAnsi="Calibri" w:cs="Calibri"/>
        </w:rPr>
        <w:t xml:space="preserve"> </w:t>
      </w:r>
      <w:r w:rsidR="00FF53AE" w:rsidRPr="00FF53AE">
        <w:rPr>
          <w:rFonts w:ascii="Calibri" w:eastAsia="Times New Roman" w:hAnsi="Calibri" w:cs="Calibri"/>
          <w:lang w:eastAsia="en-GB"/>
        </w:rPr>
        <w:t>(Hobbs, 2001)</w:t>
      </w:r>
      <w:r w:rsidR="004C7077">
        <w:t>.</w:t>
      </w:r>
    </w:p>
    <w:p w14:paraId="45901AF3" w14:textId="77777777" w:rsidR="00FC14D2" w:rsidRDefault="008540E0">
      <w:r>
        <w:t xml:space="preserve">Finally, the idea that criminality can be learnt, as </w:t>
      </w:r>
      <w:r w:rsidR="0006361F">
        <w:t>suggested in the Differential Association theory applies to the lives of the Kray twins through their uncle.</w:t>
      </w:r>
      <w:r w:rsidR="001459C0">
        <w:t xml:space="preserve"> The uncle of the twins, James, was </w:t>
      </w:r>
      <w:r w:rsidR="00C50806">
        <w:t xml:space="preserve">known </w:t>
      </w:r>
      <w:r w:rsidR="00C50806">
        <w:lastRenderedPageBreak/>
        <w:t xml:space="preserve">for his involvement and connections within the criminal underworld during the era. Where the social conditions set by the period </w:t>
      </w:r>
      <w:r w:rsidR="00AA6AF1">
        <w:t xml:space="preserve">may have been a driving force, the easy connection to crime, and the familiarity through family involvement </w:t>
      </w:r>
      <w:r w:rsidR="007740DD">
        <w:t>gave the Krays</w:t>
      </w:r>
      <w:r w:rsidR="00AA6AF1">
        <w:t xml:space="preserve"> a clear pathway</w:t>
      </w:r>
      <w:r w:rsidR="007740DD">
        <w:t xml:space="preserve"> into crime</w:t>
      </w:r>
      <w:r w:rsidR="00AA6AF1">
        <w:t xml:space="preserve"> supported by criminological theory</w:t>
      </w:r>
      <w:r w:rsidR="002E57ED">
        <w:t xml:space="preserve"> </w:t>
      </w:r>
      <w:r w:rsidR="002E57ED" w:rsidRPr="002E57ED">
        <w:rPr>
          <w:rFonts w:ascii="Calibri" w:eastAsia="Times New Roman" w:hAnsi="Calibri" w:cs="Calibri"/>
          <w:lang w:eastAsia="en-GB"/>
        </w:rPr>
        <w:t>(Church, Wharton and Taylor, 2009)</w:t>
      </w:r>
      <w:r w:rsidR="007740DD">
        <w:t>.</w:t>
      </w:r>
    </w:p>
    <w:p w14:paraId="7A8C49AB" w14:textId="2038ACD5" w:rsidR="00462D38" w:rsidRDefault="00FC14D2">
      <w:r>
        <w:t>Analysis of the Kray twins</w:t>
      </w:r>
      <w:r w:rsidR="00646C86">
        <w:t>, over other examples,</w:t>
      </w:r>
      <w:r>
        <w:t xml:space="preserve"> offers a unique </w:t>
      </w:r>
      <w:r w:rsidR="00FF4281">
        <w:t xml:space="preserve">juxtaposition </w:t>
      </w:r>
      <w:r w:rsidR="002146EF">
        <w:t>that</w:t>
      </w:r>
      <w:r w:rsidR="00FF4281">
        <w:t xml:space="preserve"> showcases the complexities in understanding criminality, and the theories used to attempt such as feat.</w:t>
      </w:r>
      <w:r w:rsidR="00646C86">
        <w:t xml:space="preserve"> </w:t>
      </w:r>
      <w:r w:rsidR="008E7C93">
        <w:t xml:space="preserve">The </w:t>
      </w:r>
      <w:r w:rsidR="008E7C93" w:rsidRPr="008E7C93">
        <w:t xml:space="preserve">Differential Association, Social Control, and Social Disorganisation </w:t>
      </w:r>
      <w:r w:rsidR="003753A9">
        <w:t>come together to provide a</w:t>
      </w:r>
      <w:r w:rsidR="00952CCF">
        <w:t xml:space="preserve"> vivid picture on how the environmental</w:t>
      </w:r>
      <w:r w:rsidR="00AA08E3">
        <w:t xml:space="preserve"> factors of post-war East London</w:t>
      </w:r>
      <w:r w:rsidR="00A20C6F">
        <w:t xml:space="preserve"> and family dynamics influenced their entry into a life of crime</w:t>
      </w:r>
      <w:r w:rsidR="00CD6DF9">
        <w:t xml:space="preserve"> </w:t>
      </w:r>
      <w:r w:rsidR="00CD6DF9" w:rsidRPr="00CD6DF9">
        <w:rPr>
          <w:rFonts w:ascii="Calibri" w:eastAsia="Times New Roman" w:hAnsi="Calibri" w:cs="Calibri"/>
          <w:lang w:eastAsia="en-GB"/>
        </w:rPr>
        <w:t>(Lee, 2023)</w:t>
      </w:r>
      <w:r w:rsidR="00A20C6F">
        <w:t>.</w:t>
      </w:r>
      <w:r w:rsidR="00DB2182">
        <w:t xml:space="preserve"> Where these </w:t>
      </w:r>
      <w:r w:rsidR="006F20C9">
        <w:t xml:space="preserve">theories apply well in the case of Reginald Kray, conversely </w:t>
      </w:r>
      <w:r w:rsidR="00A035EA">
        <w:t xml:space="preserve">the application of “born” theories such as </w:t>
      </w:r>
      <w:r w:rsidR="00A035EA" w:rsidRPr="00A035EA">
        <w:t xml:space="preserve">Phrenology and Hans Eysenck's Theory of Personality </w:t>
      </w:r>
      <w:r w:rsidR="006754E5">
        <w:t xml:space="preserve">seem to be more applicable in the case of Ronnie. Diagnosed with </w:t>
      </w:r>
      <w:r w:rsidR="009959C8" w:rsidRPr="009959C8">
        <w:t>paranoid schizophrenia</w:t>
      </w:r>
      <w:r w:rsidR="009959C8">
        <w:t xml:space="preserve">, </w:t>
      </w:r>
      <w:r w:rsidR="00BF551A">
        <w:t xml:space="preserve">considering his childhood </w:t>
      </w:r>
      <w:r w:rsidR="00BF551A" w:rsidRPr="00BF551A">
        <w:t xml:space="preserve">diphtheria </w:t>
      </w:r>
      <w:r w:rsidR="009959C8">
        <w:t xml:space="preserve">and with accounts of his </w:t>
      </w:r>
      <w:r w:rsidR="000228E9">
        <w:t xml:space="preserve">volatile </w:t>
      </w:r>
      <w:r w:rsidR="008808D2">
        <w:t xml:space="preserve">and </w:t>
      </w:r>
      <w:r w:rsidR="009959C8">
        <w:t xml:space="preserve">unpredictable </w:t>
      </w:r>
      <w:r w:rsidR="00BF551A">
        <w:t>nature</w:t>
      </w:r>
      <w:r w:rsidR="00C5597F">
        <w:t xml:space="preserve"> </w:t>
      </w:r>
      <w:r w:rsidR="00C5597F" w:rsidRPr="00C5597F">
        <w:rPr>
          <w:rFonts w:ascii="Calibri" w:eastAsia="Times New Roman" w:hAnsi="Calibri" w:cs="Calibri"/>
          <w:lang w:eastAsia="en-GB"/>
        </w:rPr>
        <w:t>(Ling, Umbach and Raine, 2019)</w:t>
      </w:r>
      <w:r w:rsidR="00AD5288">
        <w:t>.</w:t>
      </w:r>
      <w:r w:rsidR="00655205">
        <w:t xml:space="preserve"> </w:t>
      </w:r>
      <w:r w:rsidR="00D9560E" w:rsidRPr="00D9560E">
        <w:t xml:space="preserve">This nuanced perspective created as a result of the twins experiencing the same socio-economic conditions and family dynamic reinforces the ideas conveyed through the theories that state criminality is a result of nurture through environment and socialisation. Yet, when you look at the differing personalities of the Twins, specifically through the accounts of Ronnie’s volatile and unhinged nature, it suggests the idea of innate criminality when compared to the more calculated and composed nature of Reginald </w:t>
      </w:r>
      <w:r w:rsidR="00EF1A26" w:rsidRPr="00EF1A26">
        <w:rPr>
          <w:rFonts w:ascii="Calibri" w:eastAsia="Times New Roman" w:hAnsi="Calibri" w:cs="Calibri"/>
          <w:lang w:eastAsia="en-GB"/>
        </w:rPr>
        <w:t>(Levitt, 2013)</w:t>
      </w:r>
      <w:r w:rsidR="00AE1E49">
        <w:t>.</w:t>
      </w:r>
    </w:p>
    <w:p w14:paraId="674D338A" w14:textId="069B4223" w:rsidR="005D7D6B" w:rsidRPr="00F2148B" w:rsidRDefault="0004031B">
      <w:pPr>
        <w:rPr>
          <w:rFonts w:ascii="Times New Roman" w:eastAsia="Times New Roman" w:hAnsi="Times New Roman" w:cs="Times New Roman"/>
          <w:sz w:val="24"/>
          <w:szCs w:val="24"/>
          <w:lang w:eastAsia="en-GB"/>
        </w:rPr>
      </w:pPr>
      <w:r w:rsidRPr="0004031B">
        <w:t>Overall, it is crucial to understand that criminality and human nature are far more complex than many craniological theories lead us to believe. As mentioned, using the Kray twins as a case study offers that unique juxtaposition isn't present with other high-profile criminals. While both brothers experienced the same conditions in their upbringing and did both find themselves in the world of crime, the differences in their personalities and their actions during their reign in the criminal underworld show how different factors affected each twin. Whether that be the idea that Reginald was nurtured into crime with his composed and logical mind or the innate criminality of Ronnie with his mental defects and volatile nature.</w:t>
      </w:r>
      <w:r w:rsidR="005D7D6B">
        <w:br w:type="page"/>
      </w:r>
    </w:p>
    <w:p w14:paraId="239944E9" w14:textId="3A046FB5" w:rsidR="005D7D6B" w:rsidRDefault="005D7D6B" w:rsidP="005D7D6B">
      <w:pPr>
        <w:pStyle w:val="Heading1"/>
      </w:pPr>
      <w:bookmarkStart w:id="1" w:name="_Toc160726005"/>
      <w:r>
        <w:lastRenderedPageBreak/>
        <w:t>Bibliography</w:t>
      </w:r>
      <w:bookmarkEnd w:id="1"/>
    </w:p>
    <w:p w14:paraId="281C8E10" w14:textId="77777777" w:rsidR="00CC473A" w:rsidRPr="00CC473A" w:rsidRDefault="00CC473A" w:rsidP="00CC473A"/>
    <w:p w14:paraId="36FD7EAE" w14:textId="77777777" w:rsidR="007E216A" w:rsidRDefault="007E216A" w:rsidP="007E216A">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Boman IV, J.H., Agnich, L., Miller, B.L., Stogner, J.M. and Mowen, T.J. (2019). The ‘Other Side of the Fence’: a Learning- and Control-Based Investigation of the Relationship between Deviance and Friendship Quality. </w:t>
      </w:r>
      <w:r>
        <w:rPr>
          <w:rFonts w:ascii="Calibri" w:hAnsi="Calibri" w:cs="Calibri"/>
          <w:i/>
          <w:iCs/>
          <w:sz w:val="22"/>
          <w:szCs w:val="22"/>
        </w:rPr>
        <w:t>Deviant Behavior</w:t>
      </w:r>
      <w:r>
        <w:rPr>
          <w:rFonts w:ascii="Calibri" w:hAnsi="Calibri" w:cs="Calibri"/>
          <w:sz w:val="22"/>
          <w:szCs w:val="22"/>
        </w:rPr>
        <w:t>, 40(12), pp.1553–1573. doi:https://doi.org/10.1080/01639625.2019.1596451.</w:t>
      </w:r>
    </w:p>
    <w:p w14:paraId="35F1A09E" w14:textId="342A89AE" w:rsidR="007E216A" w:rsidRDefault="007E216A" w:rsidP="007E216A">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Butler, T., Hamnett, C., Mir, S. and Ramsden, M. (2011). </w:t>
      </w:r>
      <w:r>
        <w:rPr>
          <w:rFonts w:ascii="Calibri" w:hAnsi="Calibri" w:cs="Calibri"/>
          <w:i/>
          <w:iCs/>
          <w:sz w:val="22"/>
          <w:szCs w:val="22"/>
        </w:rPr>
        <w:t xml:space="preserve">Ethnicity, Class and </w:t>
      </w:r>
      <w:r w:rsidR="00CC473A">
        <w:rPr>
          <w:rFonts w:ascii="Calibri" w:hAnsi="Calibri" w:cs="Calibri"/>
          <w:i/>
          <w:iCs/>
          <w:sz w:val="22"/>
          <w:szCs w:val="22"/>
        </w:rPr>
        <w:t>Aspiration:</w:t>
      </w:r>
      <w:r>
        <w:rPr>
          <w:rFonts w:ascii="Calibri" w:hAnsi="Calibri" w:cs="Calibri"/>
          <w:i/>
          <w:iCs/>
          <w:sz w:val="22"/>
          <w:szCs w:val="22"/>
        </w:rPr>
        <w:t xml:space="preserve"> Understanding London’s New East End</w:t>
      </w:r>
      <w:r>
        <w:rPr>
          <w:rFonts w:ascii="Calibri" w:hAnsi="Calibri" w:cs="Calibri"/>
          <w:sz w:val="22"/>
          <w:szCs w:val="22"/>
        </w:rPr>
        <w:t>. Bristol: Bristol University Press; Policy Press.</w:t>
      </w:r>
    </w:p>
    <w:p w14:paraId="11ABAB36" w14:textId="77777777" w:rsidR="007E216A" w:rsidRDefault="007E216A" w:rsidP="007E216A">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Church, W.T., Wharton, T. and Taylor, J.K. (2009). An Examination of Differential Association and Social Control Theory. </w:t>
      </w:r>
      <w:r>
        <w:rPr>
          <w:rFonts w:ascii="Calibri" w:hAnsi="Calibri" w:cs="Calibri"/>
          <w:i/>
          <w:iCs/>
          <w:sz w:val="22"/>
          <w:szCs w:val="22"/>
        </w:rPr>
        <w:t>Youth Violence and Juvenile Justice</w:t>
      </w:r>
      <w:r>
        <w:rPr>
          <w:rFonts w:ascii="Calibri" w:hAnsi="Calibri" w:cs="Calibri"/>
          <w:sz w:val="22"/>
          <w:szCs w:val="22"/>
        </w:rPr>
        <w:t>, 7(1), pp.3–15. doi:https://doi.org/10.1177/1541204008324910.</w:t>
      </w:r>
    </w:p>
    <w:p w14:paraId="01D3F9FB" w14:textId="77777777" w:rsidR="007E216A" w:rsidRDefault="007E216A" w:rsidP="007E216A">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Find My Past (2024). The Kray twins’ Family tree: an East End Dynasty Stretching Back over a Century. Available at: https://www.findmypast.co.uk/blog/discoveries/the-kray-family [Accessed 4 Mar. 2024].</w:t>
      </w:r>
    </w:p>
    <w:p w14:paraId="3C29D0F9" w14:textId="77777777" w:rsidR="007E216A" w:rsidRDefault="007E216A" w:rsidP="007E216A">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Hobbs, D. (2001). The Firm. Organizational Logic and Criminal Culture on a Shifting Terrain. </w:t>
      </w:r>
      <w:r>
        <w:rPr>
          <w:rFonts w:ascii="Calibri" w:hAnsi="Calibri" w:cs="Calibri"/>
          <w:i/>
          <w:iCs/>
          <w:sz w:val="22"/>
          <w:szCs w:val="22"/>
        </w:rPr>
        <w:t>British Journal of Criminology</w:t>
      </w:r>
      <w:r>
        <w:rPr>
          <w:rFonts w:ascii="Calibri" w:hAnsi="Calibri" w:cs="Calibri"/>
          <w:sz w:val="22"/>
          <w:szCs w:val="22"/>
        </w:rPr>
        <w:t>, 41(4), pp.549–560. doi:https://doi.org/10.1093/bjc/41.4.549.</w:t>
      </w:r>
    </w:p>
    <w:p w14:paraId="2B42C28B" w14:textId="77777777" w:rsidR="007E216A" w:rsidRDefault="007E216A" w:rsidP="007E216A">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Kubrin, C.E. (2010). Shaw, Clifford R., and Henry D. McKay: Social Disorganization Theory. In: </w:t>
      </w:r>
      <w:r>
        <w:rPr>
          <w:rFonts w:ascii="Calibri" w:hAnsi="Calibri" w:cs="Calibri"/>
          <w:i/>
          <w:iCs/>
          <w:sz w:val="22"/>
          <w:szCs w:val="22"/>
        </w:rPr>
        <w:t>Encyclopedia of Criminological Theory</w:t>
      </w:r>
      <w:r>
        <w:rPr>
          <w:rFonts w:ascii="Calibri" w:hAnsi="Calibri" w:cs="Calibri"/>
          <w:sz w:val="22"/>
          <w:szCs w:val="22"/>
        </w:rPr>
        <w:t>.</w:t>
      </w:r>
    </w:p>
    <w:p w14:paraId="3B2E100F" w14:textId="77777777" w:rsidR="007E216A" w:rsidRDefault="007E216A" w:rsidP="007E216A">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Lee, C.-M. (2023). Criminal Behavior and Contingency. </w:t>
      </w:r>
      <w:r>
        <w:rPr>
          <w:rFonts w:ascii="Calibri" w:hAnsi="Calibri" w:cs="Calibri"/>
          <w:i/>
          <w:iCs/>
          <w:sz w:val="22"/>
          <w:szCs w:val="22"/>
        </w:rPr>
        <w:t>Frontiers in Psychology</w:t>
      </w:r>
      <w:r>
        <w:rPr>
          <w:rFonts w:ascii="Calibri" w:hAnsi="Calibri" w:cs="Calibri"/>
          <w:sz w:val="22"/>
          <w:szCs w:val="22"/>
        </w:rPr>
        <w:t>, 14. doi:https://doi.org/10.3389/fpsyg.2023.1209619.</w:t>
      </w:r>
    </w:p>
    <w:p w14:paraId="712AE6D0" w14:textId="77777777" w:rsidR="007E216A" w:rsidRDefault="007E216A" w:rsidP="007E216A">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Levitt, M. (2013). Perceptions of Nature, Nurture and Behaviour. </w:t>
      </w:r>
      <w:r>
        <w:rPr>
          <w:rFonts w:ascii="Calibri" w:hAnsi="Calibri" w:cs="Calibri"/>
          <w:i/>
          <w:iCs/>
          <w:sz w:val="22"/>
          <w:szCs w:val="22"/>
        </w:rPr>
        <w:t>Life Sciences, Society and Policy</w:t>
      </w:r>
      <w:r>
        <w:rPr>
          <w:rFonts w:ascii="Calibri" w:hAnsi="Calibri" w:cs="Calibri"/>
          <w:sz w:val="22"/>
          <w:szCs w:val="22"/>
        </w:rPr>
        <w:t>, 9(1). doi:https://doi.org/10.1186/2195-7819-9-13.</w:t>
      </w:r>
    </w:p>
    <w:p w14:paraId="15E5B1D3" w14:textId="77777777" w:rsidR="007E216A" w:rsidRDefault="007E216A" w:rsidP="007E216A">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Ling, S., Umbach, R. and Raine, A. (2019). Biological Explanations of Criminal Behavior. </w:t>
      </w:r>
      <w:r>
        <w:rPr>
          <w:rFonts w:ascii="Calibri" w:hAnsi="Calibri" w:cs="Calibri"/>
          <w:i/>
          <w:iCs/>
          <w:sz w:val="22"/>
          <w:szCs w:val="22"/>
        </w:rPr>
        <w:t>Psychology, Crime &amp; Law</w:t>
      </w:r>
      <w:r>
        <w:rPr>
          <w:rFonts w:ascii="Calibri" w:hAnsi="Calibri" w:cs="Calibri"/>
          <w:sz w:val="22"/>
          <w:szCs w:val="22"/>
        </w:rPr>
        <w:t>, 25(6), pp.1–15. doi:https://doi.org/10.1080/1068316X.2019.1572753.</w:t>
      </w:r>
    </w:p>
    <w:p w14:paraId="27E3B3A9" w14:textId="77777777" w:rsidR="007E216A" w:rsidRDefault="007E216A" w:rsidP="007E216A">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Rose, D.R. and Clear, T.R. (1998). Incarceration, Social capital, and crime: Implications for Social Disorganization Theory. </w:t>
      </w:r>
      <w:r>
        <w:rPr>
          <w:rFonts w:ascii="Calibri" w:hAnsi="Calibri" w:cs="Calibri"/>
          <w:i/>
          <w:iCs/>
          <w:sz w:val="22"/>
          <w:szCs w:val="22"/>
        </w:rPr>
        <w:t>Criminology</w:t>
      </w:r>
      <w:r>
        <w:rPr>
          <w:rFonts w:ascii="Calibri" w:hAnsi="Calibri" w:cs="Calibri"/>
          <w:sz w:val="22"/>
          <w:szCs w:val="22"/>
        </w:rPr>
        <w:t>, 36(3), pp.441–480. doi:https://doi.org/10.1111/j.1745-9125.1998.tb01255.x.</w:t>
      </w:r>
    </w:p>
    <w:p w14:paraId="65702339" w14:textId="77777777" w:rsidR="007E216A" w:rsidRDefault="007E216A" w:rsidP="007E216A">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lastRenderedPageBreak/>
        <w:t xml:space="preserve">Sun, F. (2023). </w:t>
      </w:r>
      <w:r>
        <w:rPr>
          <w:rFonts w:ascii="Calibri" w:hAnsi="Calibri" w:cs="Calibri"/>
          <w:i/>
          <w:iCs/>
          <w:sz w:val="22"/>
          <w:szCs w:val="22"/>
        </w:rPr>
        <w:t>Social Control Theory</w:t>
      </w:r>
      <w:r>
        <w:rPr>
          <w:rFonts w:ascii="Calibri" w:hAnsi="Calibri" w:cs="Calibri"/>
          <w:sz w:val="22"/>
          <w:szCs w:val="22"/>
        </w:rPr>
        <w:t>. [online] Simply Psychology. Available at: https://www.simplypsychology.org/social-control-theory.html [Accessed 4 Mar. 2024].</w:t>
      </w:r>
    </w:p>
    <w:p w14:paraId="1A0430D4" w14:textId="77777777" w:rsidR="007E216A" w:rsidRDefault="007E216A" w:rsidP="007E216A">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Velich, A. (2023). The Kray Twins of East London: Image Making, Celebrity Gangsters, and Their Legend. </w:t>
      </w:r>
      <w:r>
        <w:rPr>
          <w:rFonts w:ascii="Calibri" w:hAnsi="Calibri" w:cs="Calibri"/>
          <w:i/>
          <w:iCs/>
          <w:sz w:val="22"/>
          <w:szCs w:val="22"/>
        </w:rPr>
        <w:t>The AnaChronisT</w:t>
      </w:r>
      <w:r>
        <w:rPr>
          <w:rFonts w:ascii="Calibri" w:hAnsi="Calibri" w:cs="Calibri"/>
          <w:sz w:val="22"/>
          <w:szCs w:val="22"/>
        </w:rPr>
        <w:t>, 21(1), pp.129–145. doi:https://doi.org/10.53720/LSTJ4991.</w:t>
      </w:r>
    </w:p>
    <w:p w14:paraId="6F0C93FE" w14:textId="77777777" w:rsidR="007E216A" w:rsidRPr="007E216A" w:rsidRDefault="007E216A" w:rsidP="007E216A"/>
    <w:sectPr w:rsidR="007E216A" w:rsidRPr="007E216A" w:rsidSect="00322413">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BDFA88"/>
    <w:rsid w:val="00000BC5"/>
    <w:rsid w:val="0001129B"/>
    <w:rsid w:val="000224E4"/>
    <w:rsid w:val="000228E9"/>
    <w:rsid w:val="000402FF"/>
    <w:rsid w:val="0004031B"/>
    <w:rsid w:val="00044A0E"/>
    <w:rsid w:val="000575F9"/>
    <w:rsid w:val="000608ED"/>
    <w:rsid w:val="000618A3"/>
    <w:rsid w:val="0006361F"/>
    <w:rsid w:val="000818F4"/>
    <w:rsid w:val="000837A5"/>
    <w:rsid w:val="00092BE9"/>
    <w:rsid w:val="00094056"/>
    <w:rsid w:val="000A2FE8"/>
    <w:rsid w:val="000A3529"/>
    <w:rsid w:val="000A4938"/>
    <w:rsid w:val="000C472E"/>
    <w:rsid w:val="00115CEC"/>
    <w:rsid w:val="0012737A"/>
    <w:rsid w:val="001459C0"/>
    <w:rsid w:val="00160CD3"/>
    <w:rsid w:val="00176AC9"/>
    <w:rsid w:val="001B4D7E"/>
    <w:rsid w:val="001C0F73"/>
    <w:rsid w:val="001C41FE"/>
    <w:rsid w:val="00206037"/>
    <w:rsid w:val="00210488"/>
    <w:rsid w:val="002146EF"/>
    <w:rsid w:val="00224232"/>
    <w:rsid w:val="00236988"/>
    <w:rsid w:val="00240C51"/>
    <w:rsid w:val="00267563"/>
    <w:rsid w:val="002679B8"/>
    <w:rsid w:val="002B6E83"/>
    <w:rsid w:val="002D0325"/>
    <w:rsid w:val="002E1719"/>
    <w:rsid w:val="002E57ED"/>
    <w:rsid w:val="00322413"/>
    <w:rsid w:val="0035572C"/>
    <w:rsid w:val="00363BAA"/>
    <w:rsid w:val="003753A9"/>
    <w:rsid w:val="00386793"/>
    <w:rsid w:val="003A4473"/>
    <w:rsid w:val="003B1BA0"/>
    <w:rsid w:val="003B3C12"/>
    <w:rsid w:val="003D10CC"/>
    <w:rsid w:val="003D586D"/>
    <w:rsid w:val="00433CA8"/>
    <w:rsid w:val="00446DC2"/>
    <w:rsid w:val="00457D1A"/>
    <w:rsid w:val="00462D38"/>
    <w:rsid w:val="00467F9B"/>
    <w:rsid w:val="004C31F1"/>
    <w:rsid w:val="004C7077"/>
    <w:rsid w:val="00504314"/>
    <w:rsid w:val="00514514"/>
    <w:rsid w:val="0052384A"/>
    <w:rsid w:val="005504A3"/>
    <w:rsid w:val="005622EA"/>
    <w:rsid w:val="0056325A"/>
    <w:rsid w:val="00573EDA"/>
    <w:rsid w:val="005831D0"/>
    <w:rsid w:val="005D7D6B"/>
    <w:rsid w:val="005E3C24"/>
    <w:rsid w:val="005F2270"/>
    <w:rsid w:val="00601571"/>
    <w:rsid w:val="00611C4A"/>
    <w:rsid w:val="00636DB1"/>
    <w:rsid w:val="00646C86"/>
    <w:rsid w:val="00647FBB"/>
    <w:rsid w:val="00655205"/>
    <w:rsid w:val="006754E5"/>
    <w:rsid w:val="00680EBB"/>
    <w:rsid w:val="006945B7"/>
    <w:rsid w:val="006A2356"/>
    <w:rsid w:val="006B4009"/>
    <w:rsid w:val="006C6DDA"/>
    <w:rsid w:val="006F20C9"/>
    <w:rsid w:val="00703BA3"/>
    <w:rsid w:val="007740DD"/>
    <w:rsid w:val="007804EB"/>
    <w:rsid w:val="007871F3"/>
    <w:rsid w:val="007B657C"/>
    <w:rsid w:val="007E15F3"/>
    <w:rsid w:val="007E216A"/>
    <w:rsid w:val="0084299B"/>
    <w:rsid w:val="0084382C"/>
    <w:rsid w:val="00847D95"/>
    <w:rsid w:val="008540E0"/>
    <w:rsid w:val="008808D2"/>
    <w:rsid w:val="00883FAA"/>
    <w:rsid w:val="00884998"/>
    <w:rsid w:val="008E7C93"/>
    <w:rsid w:val="00920463"/>
    <w:rsid w:val="00952CCF"/>
    <w:rsid w:val="009617B4"/>
    <w:rsid w:val="00964B89"/>
    <w:rsid w:val="009665D3"/>
    <w:rsid w:val="009959C8"/>
    <w:rsid w:val="009A0B33"/>
    <w:rsid w:val="009B0AF8"/>
    <w:rsid w:val="009D11AB"/>
    <w:rsid w:val="00A01097"/>
    <w:rsid w:val="00A035EA"/>
    <w:rsid w:val="00A20C6F"/>
    <w:rsid w:val="00A57842"/>
    <w:rsid w:val="00A65922"/>
    <w:rsid w:val="00A73058"/>
    <w:rsid w:val="00A826C3"/>
    <w:rsid w:val="00A96A7B"/>
    <w:rsid w:val="00AA08E3"/>
    <w:rsid w:val="00AA6AF1"/>
    <w:rsid w:val="00AC55FA"/>
    <w:rsid w:val="00AC7A12"/>
    <w:rsid w:val="00AD4836"/>
    <w:rsid w:val="00AD5288"/>
    <w:rsid w:val="00AE1E49"/>
    <w:rsid w:val="00B004B0"/>
    <w:rsid w:val="00B14FA8"/>
    <w:rsid w:val="00B2275E"/>
    <w:rsid w:val="00B44EDE"/>
    <w:rsid w:val="00B472E2"/>
    <w:rsid w:val="00B50FF4"/>
    <w:rsid w:val="00B93010"/>
    <w:rsid w:val="00BB0B6F"/>
    <w:rsid w:val="00BB33C4"/>
    <w:rsid w:val="00BE3BB6"/>
    <w:rsid w:val="00BF551A"/>
    <w:rsid w:val="00C0742A"/>
    <w:rsid w:val="00C20B88"/>
    <w:rsid w:val="00C231B3"/>
    <w:rsid w:val="00C421C4"/>
    <w:rsid w:val="00C50806"/>
    <w:rsid w:val="00C50893"/>
    <w:rsid w:val="00C5597F"/>
    <w:rsid w:val="00C63668"/>
    <w:rsid w:val="00C70599"/>
    <w:rsid w:val="00C8324C"/>
    <w:rsid w:val="00C93B35"/>
    <w:rsid w:val="00CA2BEC"/>
    <w:rsid w:val="00CB1E6A"/>
    <w:rsid w:val="00CC473A"/>
    <w:rsid w:val="00CD6DF9"/>
    <w:rsid w:val="00CF0B88"/>
    <w:rsid w:val="00CF2CDF"/>
    <w:rsid w:val="00D1134C"/>
    <w:rsid w:val="00D46267"/>
    <w:rsid w:val="00D46BC8"/>
    <w:rsid w:val="00D53255"/>
    <w:rsid w:val="00D71926"/>
    <w:rsid w:val="00D80A46"/>
    <w:rsid w:val="00D9560E"/>
    <w:rsid w:val="00D956D9"/>
    <w:rsid w:val="00DB02CD"/>
    <w:rsid w:val="00DB2182"/>
    <w:rsid w:val="00DD0130"/>
    <w:rsid w:val="00DD7D7A"/>
    <w:rsid w:val="00DE773B"/>
    <w:rsid w:val="00DF2755"/>
    <w:rsid w:val="00E006B7"/>
    <w:rsid w:val="00E11E3A"/>
    <w:rsid w:val="00E2436E"/>
    <w:rsid w:val="00E62D9E"/>
    <w:rsid w:val="00EB2705"/>
    <w:rsid w:val="00EC474F"/>
    <w:rsid w:val="00EF1A26"/>
    <w:rsid w:val="00F073B5"/>
    <w:rsid w:val="00F12289"/>
    <w:rsid w:val="00F2148B"/>
    <w:rsid w:val="00F3784B"/>
    <w:rsid w:val="00FA74C9"/>
    <w:rsid w:val="00FB0763"/>
    <w:rsid w:val="00FB1B15"/>
    <w:rsid w:val="00FC131B"/>
    <w:rsid w:val="00FC14D2"/>
    <w:rsid w:val="00FF1172"/>
    <w:rsid w:val="00FF4281"/>
    <w:rsid w:val="00FF53AE"/>
    <w:rsid w:val="1BBDF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DFA88"/>
  <w15:chartTrackingRefBased/>
  <w15:docId w15:val="{018815B3-F1C1-4240-A699-6F993C4B5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D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11C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11C4A"/>
    <w:rPr>
      <w:rFonts w:eastAsiaTheme="minorEastAsia"/>
      <w:lang w:val="en-US"/>
    </w:rPr>
  </w:style>
  <w:style w:type="character" w:customStyle="1" w:styleId="Heading1Char">
    <w:name w:val="Heading 1 Char"/>
    <w:basedOn w:val="DefaultParagraphFont"/>
    <w:link w:val="Heading1"/>
    <w:uiPriority w:val="9"/>
    <w:rsid w:val="005D7D6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7D6B"/>
    <w:pPr>
      <w:outlineLvl w:val="9"/>
    </w:pPr>
    <w:rPr>
      <w:lang w:val="en-US"/>
    </w:rPr>
  </w:style>
  <w:style w:type="paragraph" w:styleId="TOC1">
    <w:name w:val="toc 1"/>
    <w:basedOn w:val="Normal"/>
    <w:next w:val="Normal"/>
    <w:autoRedefine/>
    <w:uiPriority w:val="39"/>
    <w:unhideWhenUsed/>
    <w:rsid w:val="00D46267"/>
    <w:pPr>
      <w:spacing w:after="100"/>
    </w:pPr>
  </w:style>
  <w:style w:type="character" w:styleId="Hyperlink">
    <w:name w:val="Hyperlink"/>
    <w:basedOn w:val="DefaultParagraphFont"/>
    <w:uiPriority w:val="99"/>
    <w:unhideWhenUsed/>
    <w:rsid w:val="00D46267"/>
    <w:rPr>
      <w:color w:val="0563C1" w:themeColor="hyperlink"/>
      <w:u w:val="single"/>
    </w:rPr>
  </w:style>
  <w:style w:type="paragraph" w:styleId="NormalWeb">
    <w:name w:val="Normal (Web)"/>
    <w:basedOn w:val="Normal"/>
    <w:uiPriority w:val="99"/>
    <w:semiHidden/>
    <w:unhideWhenUsed/>
    <w:rsid w:val="007E21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70442">
      <w:bodyDiv w:val="1"/>
      <w:marLeft w:val="0"/>
      <w:marRight w:val="0"/>
      <w:marTop w:val="0"/>
      <w:marBottom w:val="0"/>
      <w:divBdr>
        <w:top w:val="none" w:sz="0" w:space="0" w:color="auto"/>
        <w:left w:val="none" w:sz="0" w:space="0" w:color="auto"/>
        <w:bottom w:val="none" w:sz="0" w:space="0" w:color="auto"/>
        <w:right w:val="none" w:sz="0" w:space="0" w:color="auto"/>
      </w:divBdr>
    </w:div>
    <w:div w:id="305597638">
      <w:bodyDiv w:val="1"/>
      <w:marLeft w:val="0"/>
      <w:marRight w:val="0"/>
      <w:marTop w:val="0"/>
      <w:marBottom w:val="0"/>
      <w:divBdr>
        <w:top w:val="none" w:sz="0" w:space="0" w:color="auto"/>
        <w:left w:val="none" w:sz="0" w:space="0" w:color="auto"/>
        <w:bottom w:val="none" w:sz="0" w:space="0" w:color="auto"/>
        <w:right w:val="none" w:sz="0" w:space="0" w:color="auto"/>
      </w:divBdr>
    </w:div>
    <w:div w:id="711883943">
      <w:bodyDiv w:val="1"/>
      <w:marLeft w:val="0"/>
      <w:marRight w:val="0"/>
      <w:marTop w:val="0"/>
      <w:marBottom w:val="0"/>
      <w:divBdr>
        <w:top w:val="none" w:sz="0" w:space="0" w:color="auto"/>
        <w:left w:val="none" w:sz="0" w:space="0" w:color="auto"/>
        <w:bottom w:val="none" w:sz="0" w:space="0" w:color="auto"/>
        <w:right w:val="none" w:sz="0" w:space="0" w:color="auto"/>
      </w:divBdr>
    </w:div>
    <w:div w:id="788745875">
      <w:bodyDiv w:val="1"/>
      <w:marLeft w:val="0"/>
      <w:marRight w:val="0"/>
      <w:marTop w:val="0"/>
      <w:marBottom w:val="0"/>
      <w:divBdr>
        <w:top w:val="none" w:sz="0" w:space="0" w:color="auto"/>
        <w:left w:val="none" w:sz="0" w:space="0" w:color="auto"/>
        <w:bottom w:val="none" w:sz="0" w:space="0" w:color="auto"/>
        <w:right w:val="none" w:sz="0" w:space="0" w:color="auto"/>
      </w:divBdr>
    </w:div>
    <w:div w:id="1051536383">
      <w:bodyDiv w:val="1"/>
      <w:marLeft w:val="0"/>
      <w:marRight w:val="0"/>
      <w:marTop w:val="0"/>
      <w:marBottom w:val="0"/>
      <w:divBdr>
        <w:top w:val="none" w:sz="0" w:space="0" w:color="auto"/>
        <w:left w:val="none" w:sz="0" w:space="0" w:color="auto"/>
        <w:bottom w:val="none" w:sz="0" w:space="0" w:color="auto"/>
        <w:right w:val="none" w:sz="0" w:space="0" w:color="auto"/>
      </w:divBdr>
    </w:div>
    <w:div w:id="1221480424">
      <w:bodyDiv w:val="1"/>
      <w:marLeft w:val="0"/>
      <w:marRight w:val="0"/>
      <w:marTop w:val="0"/>
      <w:marBottom w:val="0"/>
      <w:divBdr>
        <w:top w:val="none" w:sz="0" w:space="0" w:color="auto"/>
        <w:left w:val="none" w:sz="0" w:space="0" w:color="auto"/>
        <w:bottom w:val="none" w:sz="0" w:space="0" w:color="auto"/>
        <w:right w:val="none" w:sz="0" w:space="0" w:color="auto"/>
      </w:divBdr>
    </w:div>
    <w:div w:id="1288312530">
      <w:bodyDiv w:val="1"/>
      <w:marLeft w:val="0"/>
      <w:marRight w:val="0"/>
      <w:marTop w:val="0"/>
      <w:marBottom w:val="0"/>
      <w:divBdr>
        <w:top w:val="none" w:sz="0" w:space="0" w:color="auto"/>
        <w:left w:val="none" w:sz="0" w:space="0" w:color="auto"/>
        <w:bottom w:val="none" w:sz="0" w:space="0" w:color="auto"/>
        <w:right w:val="none" w:sz="0" w:space="0" w:color="auto"/>
      </w:divBdr>
    </w:div>
    <w:div w:id="1498957447">
      <w:bodyDiv w:val="1"/>
      <w:marLeft w:val="0"/>
      <w:marRight w:val="0"/>
      <w:marTop w:val="0"/>
      <w:marBottom w:val="0"/>
      <w:divBdr>
        <w:top w:val="none" w:sz="0" w:space="0" w:color="auto"/>
        <w:left w:val="none" w:sz="0" w:space="0" w:color="auto"/>
        <w:bottom w:val="none" w:sz="0" w:space="0" w:color="auto"/>
        <w:right w:val="none" w:sz="0" w:space="0" w:color="auto"/>
      </w:divBdr>
    </w:div>
    <w:div w:id="1676152874">
      <w:bodyDiv w:val="1"/>
      <w:marLeft w:val="0"/>
      <w:marRight w:val="0"/>
      <w:marTop w:val="0"/>
      <w:marBottom w:val="0"/>
      <w:divBdr>
        <w:top w:val="none" w:sz="0" w:space="0" w:color="auto"/>
        <w:left w:val="none" w:sz="0" w:space="0" w:color="auto"/>
        <w:bottom w:val="none" w:sz="0" w:space="0" w:color="auto"/>
        <w:right w:val="none" w:sz="0" w:space="0" w:color="auto"/>
      </w:divBdr>
    </w:div>
    <w:div w:id="1980726334">
      <w:bodyDiv w:val="1"/>
      <w:marLeft w:val="0"/>
      <w:marRight w:val="0"/>
      <w:marTop w:val="0"/>
      <w:marBottom w:val="0"/>
      <w:divBdr>
        <w:top w:val="none" w:sz="0" w:space="0" w:color="auto"/>
        <w:left w:val="none" w:sz="0" w:space="0" w:color="auto"/>
        <w:bottom w:val="none" w:sz="0" w:space="0" w:color="auto"/>
        <w:right w:val="none" w:sz="0" w:space="0" w:color="auto"/>
      </w:divBdr>
      <w:divsChild>
        <w:div w:id="418411901">
          <w:marLeft w:val="0"/>
          <w:marRight w:val="0"/>
          <w:marTop w:val="0"/>
          <w:marBottom w:val="0"/>
          <w:divBdr>
            <w:top w:val="none" w:sz="0" w:space="0" w:color="auto"/>
            <w:left w:val="none" w:sz="0" w:space="0" w:color="auto"/>
            <w:bottom w:val="none" w:sz="0" w:space="0" w:color="auto"/>
            <w:right w:val="none" w:sz="0" w:space="0" w:color="auto"/>
          </w:divBdr>
        </w:div>
      </w:divsChild>
    </w:div>
    <w:div w:id="1993213660">
      <w:bodyDiv w:val="1"/>
      <w:marLeft w:val="0"/>
      <w:marRight w:val="0"/>
      <w:marTop w:val="0"/>
      <w:marBottom w:val="0"/>
      <w:divBdr>
        <w:top w:val="none" w:sz="0" w:space="0" w:color="auto"/>
        <w:left w:val="none" w:sz="0" w:space="0" w:color="auto"/>
        <w:bottom w:val="none" w:sz="0" w:space="0" w:color="auto"/>
        <w:right w:val="none" w:sz="0" w:space="0" w:color="auto"/>
      </w:divBdr>
    </w:div>
    <w:div w:id="211478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2200212@student.uwtsd.ac.uk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6</Pages>
  <Words>1322</Words>
  <Characters>7542</Characters>
  <Application>Microsoft Office Word</Application>
  <DocSecurity>0</DocSecurity>
  <Lines>62</Lines>
  <Paragraphs>17</Paragraphs>
  <ScaleCrop>false</ScaleCrop>
  <Company/>
  <LinksUpToDate>false</LinksUpToDate>
  <CharactersWithSpaces>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Supporting paper</dc:title>
  <dc:subject>BMPL5010</dc:subject>
  <dc:creator>Jack Banner (2200212)</dc:creator>
  <cp:keywords/>
  <dc:description/>
  <cp:lastModifiedBy>Jack Banner (2200212)</cp:lastModifiedBy>
  <cp:revision>173</cp:revision>
  <dcterms:created xsi:type="dcterms:W3CDTF">2024-02-26T12:06:00Z</dcterms:created>
  <dcterms:modified xsi:type="dcterms:W3CDTF">2024-03-11T21:48:00Z</dcterms:modified>
</cp:coreProperties>
</file>