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66087F08"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proofErr w:type="gramStart"/>
      <w:r>
        <w:t>R1(</w:t>
      </w:r>
      <w:proofErr w:type="gramEnd"/>
      <w:r>
        <w:t xml:space="preserve">config-line)# </w:t>
      </w:r>
      <w:r>
        <w:rPr>
          <w:b/>
        </w:rPr>
        <w:t>exec-timeout 5</w:t>
      </w:r>
      <w:r w:rsidRPr="003C08EF">
        <w:rPr>
          <w:b/>
        </w:rPr>
        <w:t xml:space="preserve"> 0</w:t>
      </w:r>
    </w:p>
    <w:p w14:paraId="04FB11A8" w14:textId="77777777" w:rsidR="00B22959" w:rsidRPr="008F348C" w:rsidRDefault="00B22959" w:rsidP="00B22959">
      <w:pPr>
        <w:pStyle w:val="CMD"/>
      </w:pPr>
      <w:proofErr w:type="gramStart"/>
      <w:r>
        <w:t>R1(</w:t>
      </w:r>
      <w:proofErr w:type="spellStart"/>
      <w:proofErr w:type="gramEnd"/>
      <w:r>
        <w:t>config</w:t>
      </w:r>
      <w:proofErr w:type="spellEnd"/>
      <w:r>
        <w:t xml:space="preserve">-line)#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proofErr w:type="gramStart"/>
      <w:r>
        <w:t>R1(</w:t>
      </w:r>
      <w:proofErr w:type="gramEnd"/>
      <w:r>
        <w:t xml:space="preserve">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35A27E24" w14:textId="3BDBA3E9" w:rsidR="00353F53" w:rsidRPr="00353F53" w:rsidRDefault="00353F53" w:rsidP="00B22959">
      <w:pPr>
        <w:pStyle w:val="BodyTextL50"/>
        <w:rPr>
          <w:color w:val="000000" w:themeColor="text1"/>
        </w:rPr>
      </w:pPr>
      <w:r w:rsidRPr="007E2981">
        <w:rPr>
          <w:color w:val="000000" w:themeColor="text1"/>
          <w:highlight w:val="yellow"/>
        </w:rPr>
        <w:t>If there are two failed login attempts within 120 seconds access will be blocked.</w:t>
      </w:r>
    </w:p>
    <w:p w14:paraId="6E33BE88" w14:textId="733E3C76"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5642E6C6" w:rsidR="00B22959" w:rsidRPr="007E2981" w:rsidRDefault="007E2981" w:rsidP="00B22959">
      <w:pPr>
        <w:pStyle w:val="BodyTextL50"/>
        <w:rPr>
          <w:color w:val="000000" w:themeColor="text1"/>
        </w:rPr>
      </w:pPr>
      <w:r w:rsidRPr="007E2981">
        <w:rPr>
          <w:color w:val="000000" w:themeColor="text1"/>
          <w:highlight w:val="yellow"/>
        </w:rPr>
        <w:t>Login will be blocked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R1(</w:t>
      </w:r>
      <w:proofErr w:type="spellStart"/>
      <w:r>
        <w:t>config</w:t>
      </w:r>
      <w:proofErr w:type="spellEnd"/>
      <w:r>
        <w:t xml:space="preserve">)#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w:t>
      </w:r>
      <w:proofErr w:type="gramStart"/>
      <w:r>
        <w:t>Generating</w:t>
      </w:r>
      <w:proofErr w:type="gramEnd"/>
      <w:r>
        <w:t xml:space="preserve">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R1(</w:t>
      </w:r>
      <w:proofErr w:type="spellStart"/>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proofErr w:type="gramStart"/>
      <w:r>
        <w:t>R1(</w:t>
      </w:r>
      <w:proofErr w:type="gramEnd"/>
      <w:r>
        <w:t>config-lin</w:t>
      </w:r>
      <w:r w:rsidR="00495B13">
        <w:t>e</w:t>
      </w:r>
      <w:r>
        <w:t xml:space="preserve">)# </w:t>
      </w:r>
      <w:r w:rsidRPr="00495B13">
        <w:rPr>
          <w:b/>
        </w:rPr>
        <w:t>login local</w:t>
      </w:r>
    </w:p>
    <w:p w14:paraId="4B91AF4B" w14:textId="77777777" w:rsidR="00D9050E" w:rsidRDefault="00D9050E" w:rsidP="00D9050E">
      <w:pPr>
        <w:pStyle w:val="CMD"/>
      </w:pPr>
      <w:proofErr w:type="gramStart"/>
      <w:r>
        <w:t>R1(</w:t>
      </w:r>
      <w:proofErr w:type="gramEnd"/>
      <w:r>
        <w:t>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36FC5492" w:rsidR="008B4B00" w:rsidRDefault="008B4B00" w:rsidP="008B4B00">
      <w:pPr>
        <w:pStyle w:val="BodyTextL50"/>
        <w:rPr>
          <w:color w:val="FF0000"/>
        </w:rPr>
      </w:pPr>
      <w:r w:rsidRPr="003171ED">
        <w:rPr>
          <w:color w:val="FF0000"/>
        </w:rPr>
        <w:t>Does R1 accept the Telnet connection? Explain.</w:t>
      </w:r>
    </w:p>
    <w:p w14:paraId="09452508" w14:textId="610EA6ED" w:rsidR="002D11FC" w:rsidRPr="002D11FC" w:rsidRDefault="002D11FC" w:rsidP="008B4B00">
      <w:pPr>
        <w:pStyle w:val="BodyTextL50"/>
        <w:rPr>
          <w:color w:val="000000" w:themeColor="text1"/>
        </w:rPr>
      </w:pPr>
      <w:r w:rsidRPr="002D11FC">
        <w:rPr>
          <w:color w:val="000000" w:themeColor="text1"/>
          <w:highlight w:val="yellow"/>
        </w:rPr>
        <w:t xml:space="preserve">Telnet will not work because of the command “transport input </w:t>
      </w:r>
      <w:proofErr w:type="gramStart"/>
      <w:r w:rsidRPr="002D11FC">
        <w:rPr>
          <w:color w:val="000000" w:themeColor="text1"/>
          <w:highlight w:val="yellow"/>
        </w:rPr>
        <w:t>ssh</w:t>
      </w:r>
      <w:proofErr w:type="gramEnd"/>
      <w:r w:rsidRPr="002D11FC">
        <w:rPr>
          <w:color w:val="000000" w:themeColor="text1"/>
          <w:highlight w:val="yellow"/>
        </w:rPr>
        <w:t>” allows only input from ssh</w:t>
      </w:r>
      <w:r w:rsidR="008B24D4">
        <w:rPr>
          <w:color w:val="000000" w:themeColor="text1"/>
        </w:rPr>
        <w:t>.</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47F41D04" w:rsidR="008B4B00" w:rsidRPr="003171ED" w:rsidRDefault="008B4B00" w:rsidP="008B4B00">
      <w:pPr>
        <w:pStyle w:val="BodyTextL50"/>
        <w:rPr>
          <w:color w:val="FF0000"/>
        </w:rPr>
      </w:pPr>
      <w:r w:rsidRPr="003171ED">
        <w:rPr>
          <w:color w:val="FF0000"/>
        </w:rPr>
        <w:t xml:space="preserve">Does R1 accept the SSH connection? </w:t>
      </w:r>
      <w:r w:rsidR="002D11FC" w:rsidRPr="002D11FC">
        <w:rPr>
          <w:color w:val="000000" w:themeColor="text1"/>
          <w:highlight w:val="yellow"/>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B0A0F05" w:rsidR="008B4B00" w:rsidRDefault="008B4B00" w:rsidP="008B4B00">
      <w:pPr>
        <w:pStyle w:val="BodyTextL50"/>
        <w:rPr>
          <w:color w:val="FF0000"/>
        </w:rPr>
      </w:pPr>
      <w:r w:rsidRPr="003171ED">
        <w:rPr>
          <w:color w:val="FF0000"/>
        </w:rPr>
        <w:t>What happened after you failed to login the second time?</w:t>
      </w:r>
    </w:p>
    <w:p w14:paraId="4BEF3A96" w14:textId="0C855FB0" w:rsidR="002D11FC" w:rsidRPr="002D11FC" w:rsidRDefault="002D11FC" w:rsidP="008B4B00">
      <w:pPr>
        <w:pStyle w:val="BodyTextL50"/>
        <w:rPr>
          <w:color w:val="000000" w:themeColor="text1"/>
        </w:rPr>
      </w:pPr>
      <w:r w:rsidRPr="002D11FC">
        <w:rPr>
          <w:color w:val="000000" w:themeColor="text1"/>
          <w:highlight w:val="yellow"/>
        </w:rPr>
        <w:t>A dialogue box informed me that the session was terminated.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1A5778B4" w:rsidR="008B4B00" w:rsidRPr="006001BF" w:rsidRDefault="008B4B00" w:rsidP="008B4B00">
      <w:pPr>
        <w:pStyle w:val="BodyTextL50"/>
        <w:rPr>
          <w:color w:val="000000" w:themeColor="text1"/>
        </w:rPr>
      </w:pPr>
      <w:r w:rsidRPr="003171ED">
        <w:rPr>
          <w:color w:val="FF0000"/>
        </w:rPr>
        <w:t xml:space="preserve">After you successfully logged in, what was displayed? </w:t>
      </w:r>
      <w:r w:rsidR="006001BF" w:rsidRPr="006001BF">
        <w:rPr>
          <w:color w:val="000000" w:themeColor="text1"/>
          <w:highlight w:val="yellow"/>
        </w:rPr>
        <w:t xml:space="preserve">My “banner </w:t>
      </w:r>
      <w:proofErr w:type="spellStart"/>
      <w:r w:rsidR="006001BF" w:rsidRPr="006001BF">
        <w:rPr>
          <w:color w:val="000000" w:themeColor="text1"/>
          <w:highlight w:val="yellow"/>
        </w:rPr>
        <w:t>motd</w:t>
      </w:r>
      <w:proofErr w:type="spellEnd"/>
      <w:r w:rsidR="006001BF" w:rsidRPr="006001BF">
        <w:rPr>
          <w:color w:val="000000" w:themeColor="text1"/>
          <w:highlight w:val="yellow"/>
        </w:rPr>
        <w:t>” appears.</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28BE3E93"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25735530" w14:textId="0A564E63" w:rsidR="006001BF" w:rsidRDefault="006001BF" w:rsidP="008B4B00">
      <w:pPr>
        <w:pStyle w:val="BodyTextL50"/>
        <w:rPr>
          <w:color w:val="000000" w:themeColor="text1"/>
        </w:rPr>
      </w:pPr>
      <w:r w:rsidRPr="006001BF">
        <w:rPr>
          <w:color w:val="000000" w:themeColor="text1"/>
          <w:highlight w:val="yellow"/>
        </w:rPr>
        <w:t>I was never prompted to give a password.</w:t>
      </w:r>
      <w:r>
        <w:rPr>
          <w:color w:val="000000" w:themeColor="text1"/>
        </w:rPr>
        <w:t xml:space="preserve"> (Screenshot below)</w:t>
      </w:r>
    </w:p>
    <w:p w14:paraId="2C09F28D" w14:textId="1C1CF046" w:rsidR="006001BF" w:rsidRPr="006001BF" w:rsidRDefault="006001BF" w:rsidP="008B4B00">
      <w:pPr>
        <w:pStyle w:val="BodyTextL50"/>
        <w:rPr>
          <w:color w:val="000000" w:themeColor="text1"/>
        </w:rPr>
      </w:pPr>
      <w:r>
        <w:rPr>
          <w:noProof/>
          <w:lang w:val="en-GB" w:eastAsia="en-GB"/>
        </w:rPr>
        <w:lastRenderedPageBreak/>
        <w:drawing>
          <wp:inline distT="0" distB="0" distL="0" distR="0" wp14:anchorId="1D3A604F" wp14:editId="638D76FC">
            <wp:extent cx="5991225" cy="1323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91225" cy="1323975"/>
                    </a:xfrm>
                    <a:prstGeom prst="rect">
                      <a:avLst/>
                    </a:prstGeom>
                  </pic:spPr>
                </pic:pic>
              </a:graphicData>
            </a:graphic>
          </wp:inline>
        </w:drawing>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1(</w:t>
      </w:r>
      <w:proofErr w:type="spellStart"/>
      <w:r w:rsidR="004577FF">
        <w:t>config</w:t>
      </w:r>
      <w:proofErr w:type="spellEnd"/>
      <w:r w:rsidR="004577FF">
        <w:t xml:space="preserve">)#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1(</w:t>
      </w:r>
      <w:proofErr w:type="spellStart"/>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14:paraId="4CBC3630" w14:textId="6B2A6652" w:rsidR="004577FF" w:rsidRPr="00D9050E" w:rsidRDefault="007D24F6" w:rsidP="004577FF">
      <w:pPr>
        <w:pStyle w:val="CMD"/>
      </w:pPr>
      <w:proofErr w:type="gramStart"/>
      <w:r>
        <w:t>S</w:t>
      </w:r>
      <w:r w:rsidR="004577FF">
        <w:t>1(</w:t>
      </w:r>
      <w:proofErr w:type="gramEnd"/>
      <w:r w:rsidR="004577FF">
        <w:t xml:space="preserve">config-line)# </w:t>
      </w:r>
      <w:r w:rsidR="004577FF" w:rsidRPr="00495B13">
        <w:rPr>
          <w:b/>
        </w:rPr>
        <w:t>transport input telnet</w:t>
      </w:r>
      <w:r w:rsidR="004577FF">
        <w:rPr>
          <w:b/>
        </w:rPr>
        <w:t xml:space="preserve"> ssh</w:t>
      </w:r>
      <w:r w:rsidR="002C4FAE">
        <w:rPr>
          <w:b/>
        </w:rPr>
        <w:t xml:space="preserve"> </w:t>
      </w:r>
    </w:p>
    <w:p w14:paraId="6B77B3FD" w14:textId="77777777" w:rsidR="004577FF" w:rsidRDefault="004577FF" w:rsidP="004577FF">
      <w:pPr>
        <w:pStyle w:val="SubStepAlpha"/>
      </w:pPr>
      <w:r>
        <w:lastRenderedPageBreak/>
        <w:t>Change the login method to use the local database for user verification.</w:t>
      </w:r>
    </w:p>
    <w:p w14:paraId="6A40E7F8" w14:textId="77777777" w:rsidR="004577FF" w:rsidRDefault="007D24F6" w:rsidP="004577FF">
      <w:pPr>
        <w:pStyle w:val="CMD"/>
      </w:pPr>
      <w:proofErr w:type="gramStart"/>
      <w:r>
        <w:t>S</w:t>
      </w:r>
      <w:r w:rsidR="004577FF">
        <w:t>1(</w:t>
      </w:r>
      <w:proofErr w:type="gramEnd"/>
      <w:r w:rsidR="004577FF">
        <w:t xml:space="preserve">config-line)# </w:t>
      </w:r>
      <w:r w:rsidR="004577FF" w:rsidRPr="00495B13">
        <w:rPr>
          <w:b/>
        </w:rPr>
        <w:t>login local</w:t>
      </w:r>
    </w:p>
    <w:p w14:paraId="5710070F" w14:textId="77777777" w:rsidR="004577FF" w:rsidRPr="00CB15BB" w:rsidRDefault="007D24F6" w:rsidP="009669CA">
      <w:pPr>
        <w:pStyle w:val="CMD"/>
      </w:pPr>
      <w:proofErr w:type="gramStart"/>
      <w:r>
        <w:t>S</w:t>
      </w:r>
      <w:r w:rsidR="004577FF">
        <w:t>1(</w:t>
      </w:r>
      <w:proofErr w:type="gramEnd"/>
      <w:r w:rsidR="004577FF">
        <w:t xml:space="preserve">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0B004C72" w:rsidR="008A180F" w:rsidRPr="00DD5B97" w:rsidRDefault="008B24D4" w:rsidP="008A180F">
      <w:pPr>
        <w:pStyle w:val="BodyTextL25"/>
        <w:rPr>
          <w:color w:val="000000" w:themeColor="text1"/>
        </w:rPr>
      </w:pPr>
      <w:r>
        <w:rPr>
          <w:color w:val="000000" w:themeColor="text1"/>
          <w:highlight w:val="yellow"/>
        </w:rPr>
        <w:t>Yes</w:t>
      </w:r>
      <w:r w:rsidR="00DD5B97" w:rsidRPr="00DD5B97">
        <w:rPr>
          <w:color w:val="000000" w:themeColor="text1"/>
          <w:highlight w:val="yellow"/>
        </w:rPr>
        <w:t>.</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7ED48247" w:rsidR="00FD14D5" w:rsidRPr="00EF5AD1" w:rsidRDefault="00EF5AD1" w:rsidP="00FD14D5">
      <w:pPr>
        <w:pStyle w:val="BodyTextL25"/>
        <w:rPr>
          <w:color w:val="000000" w:themeColor="text1"/>
        </w:rPr>
      </w:pPr>
      <w:r w:rsidRPr="00EF5AD1">
        <w:rPr>
          <w:color w:val="000000" w:themeColor="text1"/>
          <w:highlight w:val="yellow"/>
        </w:rPr>
        <w:t>Protocol Version 1 &amp; Protocol Version 2</w:t>
      </w:r>
    </w:p>
    <w:p w14:paraId="312E9267" w14:textId="77777777" w:rsidR="00B30437" w:rsidRDefault="00B30437" w:rsidP="00D6690F">
      <w:pPr>
        <w:pStyle w:val="BodyTextL25"/>
        <w:rPr>
          <w:color w:val="FF0000"/>
        </w:rPr>
      </w:pPr>
    </w:p>
    <w:p w14:paraId="24E9304A" w14:textId="21B4D3D0"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B3CCA6E" w14:textId="48F1A086" w:rsidR="008B24D4" w:rsidRPr="008B24D4" w:rsidRDefault="008B24D4" w:rsidP="00D6690F">
      <w:pPr>
        <w:pStyle w:val="BodyTextL25"/>
        <w:rPr>
          <w:color w:val="000000" w:themeColor="text1"/>
        </w:rPr>
      </w:pPr>
      <w:r w:rsidRPr="008B24D4">
        <w:rPr>
          <w:color w:val="000000" w:themeColor="text1"/>
          <w:highlight w:val="yellow"/>
        </w:rPr>
        <w:t>I would define different users by adding them using the username command.</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bookmarkStart w:id="0" w:name="_Hlk26437402"/>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bookmarkEnd w:id="0"/>
    <w:p w14:paraId="78A803A7" w14:textId="1CD92A3B" w:rsidR="008B24D4" w:rsidRDefault="008B24D4" w:rsidP="00B30437">
      <w:pPr>
        <w:pStyle w:val="BodyText1"/>
      </w:pPr>
      <w:r>
        <w:t>My Report:</w:t>
      </w:r>
    </w:p>
    <w:p w14:paraId="69FE8027" w14:textId="77777777" w:rsidR="008B24D4" w:rsidRDefault="008B24D4" w:rsidP="00B30437">
      <w:pPr>
        <w:pStyle w:val="BodyText1"/>
      </w:pPr>
    </w:p>
    <w:p w14:paraId="7E1948CF" w14:textId="57A57585" w:rsidR="008B24D4" w:rsidRPr="008B24D4" w:rsidRDefault="008B24D4" w:rsidP="008B24D4">
      <w:pPr>
        <w:pStyle w:val="BodyText1"/>
        <w:rPr>
          <w:rFonts w:cs="Arial"/>
          <w:color w:val="000000" w:themeColor="text1"/>
          <w:sz w:val="22"/>
          <w:szCs w:val="24"/>
        </w:rPr>
      </w:pPr>
      <w:r w:rsidRPr="008B24D4">
        <w:rPr>
          <w:rFonts w:cs="Arial"/>
          <w:color w:val="000000" w:themeColor="text1"/>
          <w:sz w:val="22"/>
          <w:szCs w:val="24"/>
        </w:rPr>
        <w:t>Encryption can help to keep your data safe when receiving, sending or storing on a system. It works by scrambling non encrypted data, also know</w:t>
      </w:r>
      <w:r>
        <w:rPr>
          <w:rFonts w:cs="Arial"/>
          <w:color w:val="000000" w:themeColor="text1"/>
          <w:sz w:val="22"/>
          <w:szCs w:val="24"/>
        </w:rPr>
        <w:t>n</w:t>
      </w:r>
      <w:r w:rsidRPr="008B24D4">
        <w:rPr>
          <w:rFonts w:cs="Arial"/>
          <w:color w:val="000000" w:themeColor="text1"/>
          <w:sz w:val="22"/>
          <w:szCs w:val="24"/>
        </w:rPr>
        <w:t xml:space="preserve"> as plaintext to encrypted data, know</w:t>
      </w:r>
      <w:r>
        <w:rPr>
          <w:rFonts w:cs="Arial"/>
          <w:color w:val="000000" w:themeColor="text1"/>
          <w:sz w:val="22"/>
          <w:szCs w:val="24"/>
        </w:rPr>
        <w:t>n</w:t>
      </w:r>
      <w:r w:rsidRPr="008B24D4">
        <w:rPr>
          <w:rFonts w:cs="Arial"/>
          <w:color w:val="000000" w:themeColor="text1"/>
          <w:sz w:val="22"/>
          <w:szCs w:val="24"/>
        </w:rPr>
        <w:t xml:space="preserve"> as </w:t>
      </w:r>
      <w:proofErr w:type="spellStart"/>
      <w:r w:rsidRPr="008B24D4">
        <w:rPr>
          <w:rFonts w:cs="Arial"/>
          <w:color w:val="000000" w:themeColor="text1"/>
          <w:sz w:val="22"/>
          <w:szCs w:val="24"/>
        </w:rPr>
        <w:t>ciphertext</w:t>
      </w:r>
      <w:proofErr w:type="spellEnd"/>
      <w:r w:rsidRPr="008B24D4">
        <w:rPr>
          <w:rFonts w:cs="Arial"/>
          <w:color w:val="000000" w:themeColor="text1"/>
          <w:sz w:val="22"/>
          <w:szCs w:val="24"/>
        </w:rPr>
        <w:t xml:space="preserve">. This data will then basically become a secret code readable only to someone who knows the key, or “Decryption Key”. This helps users protect sensitive information that could otherwise be in danger. When the data reaches the desired location, it is then unscrambled and re-translated to the form it took before encryption. The senders and receivers both will have an encryption key which is made of a set of algorithms that unscramble the data to make this process work. There are several different kinds of encryption. </w:t>
      </w:r>
      <w:sdt>
        <w:sdtPr>
          <w:rPr>
            <w:rFonts w:cs="Arial"/>
            <w:color w:val="000000" w:themeColor="text1"/>
            <w:sz w:val="22"/>
            <w:szCs w:val="24"/>
          </w:rPr>
          <w:id w:val="-1625622914"/>
          <w:citation/>
        </w:sdtPr>
        <w:sdtContent>
          <w:r w:rsidRPr="008B24D4">
            <w:rPr>
              <w:rFonts w:cs="Arial"/>
              <w:color w:val="000000" w:themeColor="text1"/>
              <w:sz w:val="22"/>
              <w:szCs w:val="24"/>
            </w:rPr>
            <w:fldChar w:fldCharType="begin"/>
          </w:r>
          <w:r w:rsidRPr="008B24D4">
            <w:rPr>
              <w:rFonts w:cs="Arial"/>
              <w:color w:val="000000" w:themeColor="text1"/>
              <w:sz w:val="22"/>
              <w:szCs w:val="24"/>
              <w:lang w:val="en-GB"/>
            </w:rPr>
            <w:instrText xml:space="preserve"> CITATION Kev19 \l 2057 </w:instrText>
          </w:r>
          <w:r w:rsidRPr="008B24D4">
            <w:rPr>
              <w:rFonts w:cs="Arial"/>
              <w:color w:val="000000" w:themeColor="text1"/>
              <w:sz w:val="22"/>
              <w:szCs w:val="24"/>
            </w:rPr>
            <w:fldChar w:fldCharType="separate"/>
          </w:r>
          <w:r w:rsidRPr="008B24D4">
            <w:rPr>
              <w:rFonts w:cs="Arial"/>
              <w:noProof/>
              <w:color w:val="000000" w:themeColor="text1"/>
              <w:sz w:val="22"/>
              <w:szCs w:val="24"/>
              <w:lang w:val="en-GB"/>
            </w:rPr>
            <w:t>[1]</w:t>
          </w:r>
          <w:r w:rsidRPr="008B24D4">
            <w:rPr>
              <w:rFonts w:cs="Arial"/>
              <w:color w:val="000000" w:themeColor="text1"/>
              <w:sz w:val="22"/>
              <w:szCs w:val="24"/>
            </w:rPr>
            <w:fldChar w:fldCharType="end"/>
          </w:r>
        </w:sdtContent>
      </w:sdt>
    </w:p>
    <w:p w14:paraId="2B0B2191" w14:textId="77777777" w:rsidR="008B24D4" w:rsidRPr="008B24D4" w:rsidRDefault="008B24D4" w:rsidP="008B24D4">
      <w:pPr>
        <w:pStyle w:val="BodyText1"/>
        <w:rPr>
          <w:rFonts w:cs="Arial"/>
          <w:color w:val="000000" w:themeColor="text1"/>
          <w:sz w:val="22"/>
          <w:szCs w:val="24"/>
        </w:rPr>
      </w:pPr>
    </w:p>
    <w:p w14:paraId="65136E99" w14:textId="77777777" w:rsidR="008B24D4" w:rsidRPr="008B24D4" w:rsidRDefault="008B24D4" w:rsidP="008B24D4">
      <w:pPr>
        <w:pStyle w:val="BodyText1"/>
        <w:rPr>
          <w:rFonts w:cs="Arial"/>
          <w:color w:val="000000" w:themeColor="text1"/>
          <w:sz w:val="22"/>
          <w:szCs w:val="24"/>
        </w:rPr>
      </w:pPr>
      <w:r w:rsidRPr="008B24D4">
        <w:rPr>
          <w:rFonts w:cs="Arial"/>
          <w:color w:val="000000" w:themeColor="text1"/>
          <w:sz w:val="22"/>
          <w:szCs w:val="24"/>
        </w:rPr>
        <w:t xml:space="preserve">DES or “Data Encryption Standard” was first developed in the 1970’s. It was developed by IBM and the National Security Association and was later used by the United States government as an official standard for processing information that was deemed to be sensitive. </w:t>
      </w:r>
      <w:sdt>
        <w:sdtPr>
          <w:rPr>
            <w:rFonts w:cs="Arial"/>
            <w:color w:val="000000" w:themeColor="text1"/>
            <w:sz w:val="22"/>
            <w:szCs w:val="24"/>
          </w:rPr>
          <w:id w:val="-1087145371"/>
          <w:citation/>
        </w:sdtPr>
        <w:sdtContent>
          <w:r w:rsidRPr="008B24D4">
            <w:rPr>
              <w:rFonts w:cs="Arial"/>
              <w:color w:val="000000" w:themeColor="text1"/>
              <w:sz w:val="22"/>
              <w:szCs w:val="24"/>
            </w:rPr>
            <w:fldChar w:fldCharType="begin"/>
          </w:r>
          <w:r w:rsidRPr="008B24D4">
            <w:rPr>
              <w:rFonts w:cs="Arial"/>
              <w:color w:val="000000" w:themeColor="text1"/>
              <w:sz w:val="22"/>
              <w:szCs w:val="24"/>
              <w:lang w:val="en-GB"/>
            </w:rPr>
            <w:instrText xml:space="preserve"> CITATION Rou19 \l 2057 </w:instrText>
          </w:r>
          <w:r w:rsidRPr="008B24D4">
            <w:rPr>
              <w:rFonts w:cs="Arial"/>
              <w:color w:val="000000" w:themeColor="text1"/>
              <w:sz w:val="22"/>
              <w:szCs w:val="24"/>
            </w:rPr>
            <w:fldChar w:fldCharType="separate"/>
          </w:r>
          <w:r w:rsidRPr="008B24D4">
            <w:rPr>
              <w:rFonts w:cs="Arial"/>
              <w:noProof/>
              <w:color w:val="000000" w:themeColor="text1"/>
              <w:sz w:val="22"/>
              <w:szCs w:val="24"/>
              <w:lang w:val="en-GB"/>
            </w:rPr>
            <w:t>[2]</w:t>
          </w:r>
          <w:r w:rsidRPr="008B24D4">
            <w:rPr>
              <w:rFonts w:cs="Arial"/>
              <w:color w:val="000000" w:themeColor="text1"/>
              <w:sz w:val="22"/>
              <w:szCs w:val="24"/>
            </w:rPr>
            <w:fldChar w:fldCharType="end"/>
          </w:r>
        </w:sdtContent>
      </w:sdt>
      <w:r w:rsidRPr="008B24D4">
        <w:rPr>
          <w:rFonts w:cs="Arial"/>
          <w:color w:val="000000" w:themeColor="text1"/>
          <w:sz w:val="22"/>
          <w:szCs w:val="24"/>
        </w:rPr>
        <w:t xml:space="preserve"> This meant the DES was the first encryption standard to be officially adopted by them and would later exp</w:t>
      </w:r>
      <w:bookmarkStart w:id="1" w:name="_GoBack"/>
      <w:bookmarkEnd w:id="1"/>
      <w:r w:rsidRPr="008B24D4">
        <w:rPr>
          <w:rFonts w:cs="Arial"/>
          <w:color w:val="000000" w:themeColor="text1"/>
          <w:sz w:val="22"/>
          <w:szCs w:val="24"/>
        </w:rPr>
        <w:t xml:space="preserve">and into use by parts of industry who highly valued the protection of their data. DES uses a 56-bit key and is a fast algorithm. Although these days a 56-bit key can be broken using brute force methods and is not practical in modern day computing. </w:t>
      </w:r>
      <w:sdt>
        <w:sdtPr>
          <w:rPr>
            <w:rFonts w:cs="Arial"/>
            <w:color w:val="000000" w:themeColor="text1"/>
            <w:sz w:val="22"/>
            <w:szCs w:val="24"/>
          </w:rPr>
          <w:id w:val="1748612573"/>
          <w:citation/>
        </w:sdtPr>
        <w:sdtContent>
          <w:r w:rsidRPr="008B24D4">
            <w:rPr>
              <w:rFonts w:cs="Arial"/>
              <w:color w:val="000000" w:themeColor="text1"/>
              <w:sz w:val="22"/>
              <w:szCs w:val="24"/>
            </w:rPr>
            <w:fldChar w:fldCharType="begin"/>
          </w:r>
          <w:r w:rsidRPr="008B24D4">
            <w:rPr>
              <w:rFonts w:cs="Arial"/>
              <w:color w:val="000000" w:themeColor="text1"/>
              <w:sz w:val="22"/>
              <w:szCs w:val="24"/>
              <w:lang w:val="en-GB"/>
            </w:rPr>
            <w:instrText xml:space="preserve"> CITATION Tim11 \l 2057 </w:instrText>
          </w:r>
          <w:r w:rsidRPr="008B24D4">
            <w:rPr>
              <w:rFonts w:cs="Arial"/>
              <w:color w:val="000000" w:themeColor="text1"/>
              <w:sz w:val="22"/>
              <w:szCs w:val="24"/>
            </w:rPr>
            <w:fldChar w:fldCharType="separate"/>
          </w:r>
          <w:r w:rsidRPr="008B24D4">
            <w:rPr>
              <w:rFonts w:cs="Arial"/>
              <w:noProof/>
              <w:color w:val="000000" w:themeColor="text1"/>
              <w:sz w:val="22"/>
              <w:szCs w:val="24"/>
              <w:lang w:val="en-GB"/>
            </w:rPr>
            <w:t>[3]</w:t>
          </w:r>
          <w:r w:rsidRPr="008B24D4">
            <w:rPr>
              <w:rFonts w:cs="Arial"/>
              <w:color w:val="000000" w:themeColor="text1"/>
              <w:sz w:val="22"/>
              <w:szCs w:val="24"/>
            </w:rPr>
            <w:fldChar w:fldCharType="end"/>
          </w:r>
        </w:sdtContent>
      </w:sdt>
    </w:p>
    <w:p w14:paraId="3586C2E4" w14:textId="77777777" w:rsidR="008B24D4" w:rsidRPr="008B24D4" w:rsidRDefault="008B24D4" w:rsidP="008B24D4">
      <w:pPr>
        <w:pStyle w:val="BodyText1"/>
        <w:rPr>
          <w:rFonts w:cs="Arial"/>
          <w:color w:val="FF0000"/>
        </w:rPr>
      </w:pPr>
    </w:p>
    <w:p w14:paraId="0DEF8078" w14:textId="77777777" w:rsidR="008B24D4" w:rsidRPr="008B24D4" w:rsidRDefault="008B24D4" w:rsidP="008B24D4">
      <w:pPr>
        <w:pStyle w:val="BodyText1"/>
        <w:rPr>
          <w:rFonts w:cs="Arial"/>
          <w:color w:val="000000" w:themeColor="text1"/>
          <w:sz w:val="22"/>
        </w:rPr>
      </w:pPr>
      <w:r w:rsidRPr="008B24D4">
        <w:rPr>
          <w:rFonts w:cs="Arial"/>
          <w:color w:val="000000" w:themeColor="text1"/>
          <w:sz w:val="22"/>
        </w:rPr>
        <w:t xml:space="preserve">As DES became older and more vulnerable to brute force attacks, the National Institute of Standards and Technology began working on developing AES. AES was still a symmetric key algorithm like DES using the same key to encrypt and decrypt. But unlike DES, it worked by using three block ciphers, which could encrypt data in blocks of 128, 192 and 256 bits making it much stronger than DES. </w:t>
      </w:r>
      <w:sdt>
        <w:sdtPr>
          <w:rPr>
            <w:rFonts w:cs="Arial"/>
            <w:color w:val="000000" w:themeColor="text1"/>
            <w:sz w:val="22"/>
          </w:rPr>
          <w:id w:val="120733794"/>
          <w:citation/>
        </w:sdtPr>
        <w:sdtContent>
          <w:r w:rsidRPr="008B24D4">
            <w:rPr>
              <w:rFonts w:cs="Arial"/>
              <w:color w:val="000000" w:themeColor="text1"/>
              <w:sz w:val="22"/>
            </w:rPr>
            <w:fldChar w:fldCharType="begin"/>
          </w:r>
          <w:r w:rsidRPr="008B24D4">
            <w:rPr>
              <w:rFonts w:cs="Arial"/>
              <w:color w:val="000000" w:themeColor="text1"/>
              <w:sz w:val="22"/>
              <w:lang w:val="en-GB"/>
            </w:rPr>
            <w:instrText xml:space="preserve"> CITATION Mar19 \l 2057 </w:instrText>
          </w:r>
          <w:r w:rsidRPr="008B24D4">
            <w:rPr>
              <w:rFonts w:cs="Arial"/>
              <w:color w:val="000000" w:themeColor="text1"/>
              <w:sz w:val="22"/>
            </w:rPr>
            <w:fldChar w:fldCharType="separate"/>
          </w:r>
          <w:r w:rsidRPr="008B24D4">
            <w:rPr>
              <w:rFonts w:cs="Arial"/>
              <w:noProof/>
              <w:color w:val="000000" w:themeColor="text1"/>
              <w:sz w:val="22"/>
              <w:lang w:val="en-GB"/>
            </w:rPr>
            <w:t>[4]</w:t>
          </w:r>
          <w:r w:rsidRPr="008B24D4">
            <w:rPr>
              <w:rFonts w:cs="Arial"/>
              <w:color w:val="000000" w:themeColor="text1"/>
              <w:sz w:val="22"/>
            </w:rPr>
            <w:fldChar w:fldCharType="end"/>
          </w:r>
        </w:sdtContent>
      </w:sdt>
    </w:p>
    <w:p w14:paraId="382034B1" w14:textId="77777777" w:rsidR="008B24D4" w:rsidRPr="008B24D4" w:rsidRDefault="008B24D4" w:rsidP="008B24D4">
      <w:pPr>
        <w:pStyle w:val="BodyText1"/>
        <w:rPr>
          <w:rFonts w:cs="Arial"/>
          <w:color w:val="FF0000"/>
          <w:sz w:val="22"/>
          <w:szCs w:val="24"/>
        </w:rPr>
      </w:pPr>
    </w:p>
    <w:p w14:paraId="46922D83" w14:textId="77777777" w:rsidR="008B24D4" w:rsidRPr="008B24D4" w:rsidRDefault="008B24D4" w:rsidP="008B24D4">
      <w:pPr>
        <w:pStyle w:val="BodyText1"/>
        <w:rPr>
          <w:rFonts w:cs="Arial"/>
          <w:color w:val="000000" w:themeColor="text1"/>
          <w:sz w:val="22"/>
          <w:szCs w:val="24"/>
        </w:rPr>
      </w:pPr>
      <w:r w:rsidRPr="008B24D4">
        <w:rPr>
          <w:rFonts w:cs="Arial"/>
          <w:color w:val="000000" w:themeColor="text1"/>
          <w:sz w:val="22"/>
          <w:szCs w:val="24"/>
        </w:rPr>
        <w:t>RSA algorithm or “</w:t>
      </w:r>
      <w:proofErr w:type="spellStart"/>
      <w:r w:rsidRPr="008B24D4">
        <w:rPr>
          <w:rFonts w:cs="Arial"/>
          <w:color w:val="000000" w:themeColor="text1"/>
          <w:sz w:val="22"/>
          <w:szCs w:val="24"/>
        </w:rPr>
        <w:t>Rivest</w:t>
      </w:r>
      <w:proofErr w:type="spellEnd"/>
      <w:r w:rsidRPr="008B24D4">
        <w:rPr>
          <w:rFonts w:cs="Arial"/>
          <w:color w:val="000000" w:themeColor="text1"/>
          <w:sz w:val="22"/>
          <w:szCs w:val="24"/>
        </w:rPr>
        <w:t>-Shamir-</w:t>
      </w:r>
      <w:proofErr w:type="spellStart"/>
      <w:r w:rsidRPr="008B24D4">
        <w:rPr>
          <w:rFonts w:cs="Arial"/>
          <w:color w:val="000000" w:themeColor="text1"/>
          <w:sz w:val="22"/>
          <w:szCs w:val="24"/>
        </w:rPr>
        <w:t>Adleman</w:t>
      </w:r>
      <w:proofErr w:type="spellEnd"/>
      <w:r w:rsidRPr="008B24D4">
        <w:rPr>
          <w:rFonts w:cs="Arial"/>
          <w:color w:val="000000" w:themeColor="text1"/>
          <w:sz w:val="22"/>
          <w:szCs w:val="24"/>
        </w:rPr>
        <w:t xml:space="preserve"> algorithm” was developed in 1977 by Ron </w:t>
      </w:r>
      <w:proofErr w:type="spellStart"/>
      <w:r w:rsidRPr="008B24D4">
        <w:rPr>
          <w:rFonts w:cs="Arial"/>
          <w:color w:val="000000" w:themeColor="text1"/>
          <w:sz w:val="22"/>
          <w:szCs w:val="24"/>
        </w:rPr>
        <w:t>Rivest</w:t>
      </w:r>
      <w:proofErr w:type="spellEnd"/>
      <w:r w:rsidRPr="008B24D4">
        <w:rPr>
          <w:rFonts w:cs="Arial"/>
          <w:color w:val="000000" w:themeColor="text1"/>
          <w:sz w:val="22"/>
          <w:szCs w:val="24"/>
        </w:rPr>
        <w:t xml:space="preserve">, </w:t>
      </w:r>
      <w:proofErr w:type="spellStart"/>
      <w:r w:rsidRPr="008B24D4">
        <w:rPr>
          <w:rFonts w:cs="Arial"/>
          <w:color w:val="000000" w:themeColor="text1"/>
          <w:sz w:val="22"/>
          <w:szCs w:val="24"/>
        </w:rPr>
        <w:t>Adi</w:t>
      </w:r>
      <w:proofErr w:type="spellEnd"/>
      <w:r w:rsidRPr="008B24D4">
        <w:rPr>
          <w:rFonts w:cs="Arial"/>
          <w:color w:val="000000" w:themeColor="text1"/>
          <w:sz w:val="22"/>
          <w:szCs w:val="24"/>
        </w:rPr>
        <w:t xml:space="preserve"> Shamir and Leonard </w:t>
      </w:r>
      <w:proofErr w:type="spellStart"/>
      <w:r w:rsidRPr="008B24D4">
        <w:rPr>
          <w:rFonts w:cs="Arial"/>
          <w:color w:val="000000" w:themeColor="text1"/>
          <w:sz w:val="22"/>
          <w:szCs w:val="24"/>
        </w:rPr>
        <w:t>Adleman</w:t>
      </w:r>
      <w:proofErr w:type="spellEnd"/>
      <w:r w:rsidRPr="008B24D4">
        <w:rPr>
          <w:rFonts w:cs="Arial"/>
          <w:color w:val="000000" w:themeColor="text1"/>
          <w:sz w:val="22"/>
          <w:szCs w:val="24"/>
        </w:rPr>
        <w:t xml:space="preserve"> from the Massachusetts Institute of Technology. It is different to AES and DES in the way that it uses asymmetric cryptography as a pose to systemic key algorithm. This </w:t>
      </w:r>
      <w:r w:rsidRPr="008B24D4">
        <w:rPr>
          <w:rFonts w:cs="Arial"/>
          <w:color w:val="000000" w:themeColor="text1"/>
          <w:sz w:val="22"/>
          <w:szCs w:val="24"/>
        </w:rPr>
        <w:lastRenderedPageBreak/>
        <w:t xml:space="preserve">means that it uses two keys to encrypt and decrypt data. The two keys are different but are linked to each other. One is used to encrypt and the other is used to decrypt, one being public the other being private. RSA can be very strong as the keys being different practically doubles their length. They keys are usually 1024 or 2048 bits long. The downside of this comes with the speed factor as RSA is typically slow and people tend not to want to encrypt large amounts of data with it. </w:t>
      </w:r>
      <w:sdt>
        <w:sdtPr>
          <w:rPr>
            <w:rFonts w:cs="Arial"/>
            <w:color w:val="000000" w:themeColor="text1"/>
            <w:sz w:val="22"/>
            <w:szCs w:val="24"/>
          </w:rPr>
          <w:id w:val="2051490571"/>
          <w:citation/>
        </w:sdtPr>
        <w:sdtContent>
          <w:r w:rsidRPr="008B24D4">
            <w:rPr>
              <w:rFonts w:cs="Arial"/>
              <w:color w:val="000000" w:themeColor="text1"/>
              <w:sz w:val="22"/>
              <w:szCs w:val="24"/>
            </w:rPr>
            <w:fldChar w:fldCharType="begin"/>
          </w:r>
          <w:r w:rsidRPr="008B24D4">
            <w:rPr>
              <w:rFonts w:cs="Arial"/>
              <w:color w:val="000000" w:themeColor="text1"/>
              <w:sz w:val="22"/>
              <w:szCs w:val="24"/>
              <w:lang w:val="en-GB"/>
            </w:rPr>
            <w:instrText xml:space="preserve"> CITATION Mar191 \l 2057 </w:instrText>
          </w:r>
          <w:r w:rsidRPr="008B24D4">
            <w:rPr>
              <w:rFonts w:cs="Arial"/>
              <w:color w:val="000000" w:themeColor="text1"/>
              <w:sz w:val="22"/>
              <w:szCs w:val="24"/>
            </w:rPr>
            <w:fldChar w:fldCharType="separate"/>
          </w:r>
          <w:r w:rsidRPr="008B24D4">
            <w:rPr>
              <w:rFonts w:cs="Arial"/>
              <w:noProof/>
              <w:color w:val="000000" w:themeColor="text1"/>
              <w:sz w:val="22"/>
              <w:szCs w:val="24"/>
              <w:lang w:val="en-GB"/>
            </w:rPr>
            <w:t>[5]</w:t>
          </w:r>
          <w:r w:rsidRPr="008B24D4">
            <w:rPr>
              <w:rFonts w:cs="Arial"/>
              <w:color w:val="000000" w:themeColor="text1"/>
              <w:sz w:val="22"/>
              <w:szCs w:val="24"/>
            </w:rPr>
            <w:fldChar w:fldCharType="end"/>
          </w:r>
        </w:sdtContent>
      </w:sdt>
    </w:p>
    <w:p w14:paraId="70E8D1CE" w14:textId="77777777" w:rsidR="008B24D4" w:rsidRPr="008B24D4" w:rsidRDefault="008B24D4" w:rsidP="008B24D4">
      <w:pPr>
        <w:pStyle w:val="BodyText1"/>
        <w:rPr>
          <w:rFonts w:cs="Arial"/>
          <w:color w:val="FF0000"/>
          <w:sz w:val="22"/>
          <w:szCs w:val="24"/>
        </w:rPr>
      </w:pPr>
    </w:p>
    <w:p w14:paraId="2EC5B629" w14:textId="77777777" w:rsidR="008B24D4" w:rsidRPr="008B24D4" w:rsidRDefault="008B24D4" w:rsidP="008B24D4">
      <w:pPr>
        <w:pStyle w:val="BodyText1"/>
        <w:rPr>
          <w:rFonts w:cs="Arial"/>
          <w:color w:val="000000" w:themeColor="text1"/>
          <w:sz w:val="22"/>
          <w:szCs w:val="24"/>
        </w:rPr>
      </w:pPr>
      <w:r w:rsidRPr="008B24D4">
        <w:rPr>
          <w:rFonts w:cs="Arial"/>
          <w:color w:val="000000" w:themeColor="text1"/>
          <w:sz w:val="22"/>
          <w:szCs w:val="24"/>
        </w:rPr>
        <w:t xml:space="preserve">SHA also known as “Secure Hash Algorithms” were developed by the NSA and used as </w:t>
      </w:r>
      <w:proofErr w:type="gramStart"/>
      <w:r w:rsidRPr="008B24D4">
        <w:rPr>
          <w:rFonts w:cs="Arial"/>
          <w:color w:val="000000" w:themeColor="text1"/>
          <w:sz w:val="22"/>
          <w:szCs w:val="24"/>
        </w:rPr>
        <w:t>an</w:t>
      </w:r>
      <w:proofErr w:type="gramEnd"/>
      <w:r w:rsidRPr="008B24D4">
        <w:rPr>
          <w:rFonts w:cs="Arial"/>
          <w:color w:val="000000" w:themeColor="text1"/>
          <w:sz w:val="22"/>
          <w:szCs w:val="24"/>
        </w:rPr>
        <w:t xml:space="preserve"> United States Government standard. They are different to the previous standards mentioned as they work in a different way. SHA algorithms do not encrypt data, they create a 256-bit code for the data instead. The code or signature created of the original data </w:t>
      </w:r>
      <w:proofErr w:type="spellStart"/>
      <w:r w:rsidRPr="008B24D4">
        <w:rPr>
          <w:rFonts w:cs="Arial"/>
          <w:color w:val="000000" w:themeColor="text1"/>
          <w:sz w:val="22"/>
          <w:szCs w:val="24"/>
        </w:rPr>
        <w:t>can not</w:t>
      </w:r>
      <w:proofErr w:type="spellEnd"/>
      <w:r w:rsidRPr="008B24D4">
        <w:rPr>
          <w:rFonts w:cs="Arial"/>
          <w:color w:val="000000" w:themeColor="text1"/>
          <w:sz w:val="22"/>
          <w:szCs w:val="24"/>
        </w:rPr>
        <w:t xml:space="preserve"> be decrypted like AES for example. When sent the receiver of the data can re-run the data through the function again. </w:t>
      </w:r>
      <w:sdt>
        <w:sdtPr>
          <w:rPr>
            <w:rFonts w:cs="Arial"/>
            <w:color w:val="000000" w:themeColor="text1"/>
            <w:sz w:val="22"/>
            <w:szCs w:val="24"/>
          </w:rPr>
          <w:id w:val="-25099166"/>
          <w:citation/>
        </w:sdtPr>
        <w:sdtContent>
          <w:r w:rsidRPr="008B24D4">
            <w:rPr>
              <w:rFonts w:cs="Arial"/>
              <w:color w:val="000000" w:themeColor="text1"/>
              <w:sz w:val="22"/>
              <w:szCs w:val="24"/>
            </w:rPr>
            <w:fldChar w:fldCharType="begin"/>
          </w:r>
          <w:r w:rsidRPr="008B24D4">
            <w:rPr>
              <w:rFonts w:cs="Arial"/>
              <w:color w:val="000000" w:themeColor="text1"/>
              <w:sz w:val="22"/>
              <w:szCs w:val="24"/>
              <w:lang w:val="en-GB"/>
            </w:rPr>
            <w:instrText xml:space="preserve"> CITATION GSJ19 \l 2057 </w:instrText>
          </w:r>
          <w:r w:rsidRPr="008B24D4">
            <w:rPr>
              <w:rFonts w:cs="Arial"/>
              <w:color w:val="000000" w:themeColor="text1"/>
              <w:sz w:val="22"/>
              <w:szCs w:val="24"/>
            </w:rPr>
            <w:fldChar w:fldCharType="separate"/>
          </w:r>
          <w:r w:rsidRPr="008B24D4">
            <w:rPr>
              <w:rFonts w:cs="Arial"/>
              <w:noProof/>
              <w:color w:val="000000" w:themeColor="text1"/>
              <w:sz w:val="22"/>
              <w:szCs w:val="24"/>
              <w:lang w:val="en-GB"/>
            </w:rPr>
            <w:t>[6]</w:t>
          </w:r>
          <w:r w:rsidRPr="008B24D4">
            <w:rPr>
              <w:rFonts w:cs="Arial"/>
              <w:color w:val="000000" w:themeColor="text1"/>
              <w:sz w:val="22"/>
              <w:szCs w:val="24"/>
            </w:rPr>
            <w:fldChar w:fldCharType="end"/>
          </w:r>
        </w:sdtContent>
      </w:sdt>
    </w:p>
    <w:p w14:paraId="71EA1324" w14:textId="77777777" w:rsidR="008B24D4" w:rsidRPr="008B24D4" w:rsidRDefault="008B24D4" w:rsidP="008B24D4">
      <w:pPr>
        <w:pStyle w:val="BodyText1"/>
        <w:rPr>
          <w:rFonts w:cs="Arial"/>
          <w:color w:val="000000" w:themeColor="text1"/>
          <w:sz w:val="22"/>
          <w:szCs w:val="24"/>
        </w:rPr>
      </w:pPr>
    </w:p>
    <w:p w14:paraId="3BED3A86" w14:textId="77777777" w:rsidR="008B24D4" w:rsidRPr="008B24D4" w:rsidRDefault="008B24D4" w:rsidP="008B24D4">
      <w:pPr>
        <w:pStyle w:val="BodyText1"/>
        <w:rPr>
          <w:rFonts w:cs="Arial"/>
          <w:color w:val="000000" w:themeColor="text1"/>
          <w:sz w:val="22"/>
          <w:szCs w:val="24"/>
        </w:rPr>
      </w:pPr>
      <w:r w:rsidRPr="008B24D4">
        <w:rPr>
          <w:rFonts w:cs="Arial"/>
          <w:color w:val="000000" w:themeColor="text1"/>
          <w:sz w:val="22"/>
          <w:szCs w:val="24"/>
        </w:rPr>
        <w:t xml:space="preserve">Another form of encryption that can be used alongside other encryption methods is ECC, or “elliptical curve cryptography”. ECC creates faster and more efficient cryptographic keys that some research suggests provides higher security from a 164-bit key than other standards with greater sized keys. </w:t>
      </w:r>
      <w:sdt>
        <w:sdtPr>
          <w:rPr>
            <w:rFonts w:cs="Arial"/>
            <w:color w:val="000000" w:themeColor="text1"/>
            <w:sz w:val="22"/>
            <w:szCs w:val="24"/>
          </w:rPr>
          <w:id w:val="1595901729"/>
          <w:citation/>
        </w:sdtPr>
        <w:sdtContent>
          <w:r w:rsidRPr="008B24D4">
            <w:rPr>
              <w:rFonts w:cs="Arial"/>
              <w:color w:val="000000" w:themeColor="text1"/>
              <w:sz w:val="22"/>
              <w:szCs w:val="24"/>
            </w:rPr>
            <w:fldChar w:fldCharType="begin"/>
          </w:r>
          <w:r w:rsidRPr="008B24D4">
            <w:rPr>
              <w:rFonts w:cs="Arial"/>
              <w:color w:val="000000" w:themeColor="text1"/>
              <w:sz w:val="22"/>
              <w:szCs w:val="24"/>
              <w:lang w:val="en-GB"/>
            </w:rPr>
            <w:instrText xml:space="preserve"> CITATION NSA09 \l 2057 </w:instrText>
          </w:r>
          <w:r w:rsidRPr="008B24D4">
            <w:rPr>
              <w:rFonts w:cs="Arial"/>
              <w:color w:val="000000" w:themeColor="text1"/>
              <w:sz w:val="22"/>
              <w:szCs w:val="24"/>
            </w:rPr>
            <w:fldChar w:fldCharType="separate"/>
          </w:r>
          <w:r w:rsidRPr="008B24D4">
            <w:rPr>
              <w:rFonts w:cs="Arial"/>
              <w:noProof/>
              <w:color w:val="000000" w:themeColor="text1"/>
              <w:sz w:val="22"/>
              <w:szCs w:val="24"/>
              <w:lang w:val="en-GB"/>
            </w:rPr>
            <w:t>[7]</w:t>
          </w:r>
          <w:r w:rsidRPr="008B24D4">
            <w:rPr>
              <w:rFonts w:cs="Arial"/>
              <w:color w:val="000000" w:themeColor="text1"/>
              <w:sz w:val="22"/>
              <w:szCs w:val="24"/>
            </w:rPr>
            <w:fldChar w:fldCharType="end"/>
          </w:r>
        </w:sdtContent>
      </w:sdt>
    </w:p>
    <w:p w14:paraId="16EAF6A2" w14:textId="77777777" w:rsidR="008B24D4" w:rsidRPr="008B24D4" w:rsidRDefault="008B24D4" w:rsidP="008B24D4">
      <w:pPr>
        <w:pStyle w:val="BodyText1"/>
        <w:rPr>
          <w:rFonts w:cs="Arial"/>
          <w:color w:val="000000" w:themeColor="text1"/>
          <w:sz w:val="22"/>
          <w:szCs w:val="24"/>
        </w:rPr>
      </w:pPr>
    </w:p>
    <w:sdt>
      <w:sdtPr>
        <w:rPr>
          <w:rFonts w:ascii="Arial" w:eastAsiaTheme="minorHAnsi" w:hAnsi="Arial" w:cs="Arial"/>
          <w:color w:val="auto"/>
          <w:sz w:val="22"/>
          <w:szCs w:val="22"/>
          <w:lang w:val="en-GB"/>
        </w:rPr>
        <w:id w:val="-1914306244"/>
        <w:docPartObj>
          <w:docPartGallery w:val="Bibliographies"/>
          <w:docPartUnique/>
        </w:docPartObj>
      </w:sdtPr>
      <w:sdtEndPr>
        <w:rPr>
          <w:rFonts w:eastAsia="Calibri"/>
          <w:b w:val="0"/>
          <w:bCs w:val="0"/>
          <w:sz w:val="20"/>
          <w:lang w:val="en-US" w:eastAsia="en-US"/>
        </w:rPr>
      </w:sdtEndPr>
      <w:sdtContent>
        <w:p w14:paraId="4F04510F" w14:textId="77777777" w:rsidR="008B24D4" w:rsidRPr="008B24D4" w:rsidRDefault="008B24D4" w:rsidP="008B24D4">
          <w:pPr>
            <w:pStyle w:val="Heading1"/>
            <w:rPr>
              <w:rFonts w:ascii="Arial" w:hAnsi="Arial" w:cs="Arial"/>
            </w:rPr>
          </w:pPr>
          <w:r w:rsidRPr="008B24D4">
            <w:rPr>
              <w:rFonts w:ascii="Arial" w:hAnsi="Arial" w:cs="Arial"/>
            </w:rPr>
            <w:t>References</w:t>
          </w:r>
        </w:p>
        <w:sdt>
          <w:sdtPr>
            <w:rPr>
              <w:rFonts w:cs="Arial"/>
            </w:rPr>
            <w:id w:val="-573587230"/>
            <w:bibliography/>
          </w:sdtPr>
          <w:sdtEndPr>
            <w:rPr>
              <w:sz w:val="20"/>
            </w:rPr>
          </w:sdtEndPr>
          <w:sdtContent>
            <w:p w14:paraId="73A68CBB" w14:textId="77777777" w:rsidR="008B24D4" w:rsidRPr="008B24D4" w:rsidRDefault="008B24D4" w:rsidP="008B24D4">
              <w:pPr>
                <w:rPr>
                  <w:rFonts w:cs="Arial"/>
                  <w:noProof/>
                  <w:sz w:val="20"/>
                </w:rPr>
              </w:pPr>
              <w:r w:rsidRPr="008B24D4">
                <w:rPr>
                  <w:rFonts w:cs="Arial"/>
                  <w:sz w:val="20"/>
                </w:rPr>
                <w:fldChar w:fldCharType="begin"/>
              </w:r>
              <w:r w:rsidRPr="008B24D4">
                <w:rPr>
                  <w:rFonts w:cs="Arial"/>
                  <w:sz w:val="20"/>
                </w:rPr>
                <w:instrText xml:space="preserve"> BIBLIOGRAPHY </w:instrText>
              </w:r>
              <w:r w:rsidRPr="008B24D4">
                <w:rPr>
                  <w:rFonts w:cs="Arial"/>
                  <w:sz w:val="20"/>
                </w:rPr>
                <w:fldChar w:fldCharType="separate"/>
              </w:r>
            </w:p>
            <w:tbl>
              <w:tblPr>
                <w:tblW w:w="3843" w:type="pct"/>
                <w:tblCellSpacing w:w="15" w:type="dxa"/>
                <w:tblCellMar>
                  <w:top w:w="15" w:type="dxa"/>
                  <w:left w:w="15" w:type="dxa"/>
                  <w:bottom w:w="15" w:type="dxa"/>
                  <w:right w:w="15" w:type="dxa"/>
                </w:tblCellMar>
                <w:tblLook w:val="04A0" w:firstRow="1" w:lastRow="0" w:firstColumn="1" w:lastColumn="0" w:noHBand="0" w:noVBand="1"/>
              </w:tblPr>
              <w:tblGrid>
                <w:gridCol w:w="298"/>
                <w:gridCol w:w="9414"/>
              </w:tblGrid>
              <w:tr w:rsidR="008B24D4" w:rsidRPr="008B24D4" w14:paraId="73F89C7B" w14:textId="77777777" w:rsidTr="00817143">
                <w:trPr>
                  <w:trHeight w:val="820"/>
                  <w:tblCellSpacing w:w="15" w:type="dxa"/>
                </w:trPr>
                <w:tc>
                  <w:tcPr>
                    <w:tcW w:w="129" w:type="pct"/>
                    <w:hideMark/>
                  </w:tcPr>
                  <w:p w14:paraId="5771CB6E" w14:textId="77777777" w:rsidR="008B24D4" w:rsidRPr="008B24D4" w:rsidRDefault="008B24D4" w:rsidP="00817143">
                    <w:pPr>
                      <w:pStyle w:val="Bibliography"/>
                      <w:rPr>
                        <w:rFonts w:ascii="Arial" w:hAnsi="Arial" w:cs="Arial"/>
                        <w:noProof/>
                        <w:szCs w:val="24"/>
                        <w:lang w:val="en-US"/>
                      </w:rPr>
                    </w:pPr>
                    <w:r w:rsidRPr="008B24D4">
                      <w:rPr>
                        <w:rFonts w:ascii="Arial" w:hAnsi="Arial" w:cs="Arial"/>
                        <w:noProof/>
                        <w:sz w:val="20"/>
                        <w:lang w:val="en-US"/>
                      </w:rPr>
                      <w:t xml:space="preserve">[1] </w:t>
                    </w:r>
                  </w:p>
                </w:tc>
                <w:tc>
                  <w:tcPr>
                    <w:tcW w:w="0" w:type="auto"/>
                    <w:hideMark/>
                  </w:tcPr>
                  <w:p w14:paraId="43963193"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P. L. M. C. e. a. Kevin Ferguson, "Encrytpion," TechTarget, October (Updated) 2019. [Online]. Available: https://searchsecurity.techtarget.com/definition/encryption. [Accessed 2 Decemeber 2019].</w:t>
                    </w:r>
                  </w:p>
                </w:tc>
              </w:tr>
              <w:tr w:rsidR="008B24D4" w:rsidRPr="008B24D4" w14:paraId="599FB2A0" w14:textId="77777777" w:rsidTr="00817143">
                <w:trPr>
                  <w:trHeight w:val="820"/>
                  <w:tblCellSpacing w:w="15" w:type="dxa"/>
                </w:trPr>
                <w:tc>
                  <w:tcPr>
                    <w:tcW w:w="129" w:type="pct"/>
                    <w:hideMark/>
                  </w:tcPr>
                  <w:p w14:paraId="239810D9"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[2] </w:t>
                    </w:r>
                  </w:p>
                </w:tc>
                <w:tc>
                  <w:tcPr>
                    <w:tcW w:w="0" w:type="auto"/>
                    <w:hideMark/>
                  </w:tcPr>
                  <w:p w14:paraId="1BCB198B"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M. Rouse, "Data Encryption Standard," TechTarget, [Online]. Available: https://searchsecurity.techtarget.com/definition/Data-Encryption-Standard. [Accessed 1 December 2019].</w:t>
                    </w:r>
                  </w:p>
                </w:tc>
              </w:tr>
              <w:tr w:rsidR="008B24D4" w:rsidRPr="008B24D4" w14:paraId="0F4F5F11" w14:textId="77777777" w:rsidTr="00817143">
                <w:trPr>
                  <w:trHeight w:val="582"/>
                  <w:tblCellSpacing w:w="15" w:type="dxa"/>
                </w:trPr>
                <w:tc>
                  <w:tcPr>
                    <w:tcW w:w="129" w:type="pct"/>
                    <w:hideMark/>
                  </w:tcPr>
                  <w:p w14:paraId="5E9488C1"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[3] </w:t>
                    </w:r>
                  </w:p>
                </w:tc>
                <w:tc>
                  <w:tcPr>
                    <w:tcW w:w="0" w:type="auto"/>
                    <w:hideMark/>
                  </w:tcPr>
                  <w:p w14:paraId="034F2BC9"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T. Stapko, ractical Embedded Security: Building Secure Resource-Constrained Systems, Newnes, 2011. </w:t>
                    </w:r>
                  </w:p>
                </w:tc>
              </w:tr>
              <w:tr w:rsidR="008B24D4" w:rsidRPr="008B24D4" w14:paraId="0B3011A7" w14:textId="77777777" w:rsidTr="00817143">
                <w:trPr>
                  <w:trHeight w:val="820"/>
                  <w:tblCellSpacing w:w="15" w:type="dxa"/>
                </w:trPr>
                <w:tc>
                  <w:tcPr>
                    <w:tcW w:w="129" w:type="pct"/>
                    <w:hideMark/>
                  </w:tcPr>
                  <w:p w14:paraId="72FEC69F"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[4] </w:t>
                    </w:r>
                  </w:p>
                </w:tc>
                <w:tc>
                  <w:tcPr>
                    <w:tcW w:w="0" w:type="auto"/>
                    <w:hideMark/>
                  </w:tcPr>
                  <w:p w14:paraId="3316C27D"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M. C. e. a. Margaret Rouse, "Advanced Encryption Standard (AES)," Tech Target, [Online]. Available: https://searchsecurity.techtarget.com/definition/Advanced-Encryption-Standard. [Accessed 2 December 2019].</w:t>
                    </w:r>
                  </w:p>
                </w:tc>
              </w:tr>
              <w:tr w:rsidR="008B24D4" w:rsidRPr="008B24D4" w14:paraId="15518E57" w14:textId="77777777" w:rsidTr="00817143">
                <w:trPr>
                  <w:trHeight w:val="582"/>
                  <w:tblCellSpacing w:w="15" w:type="dxa"/>
                </w:trPr>
                <w:tc>
                  <w:tcPr>
                    <w:tcW w:w="129" w:type="pct"/>
                    <w:hideMark/>
                  </w:tcPr>
                  <w:p w14:paraId="4E21D7C8"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[5] </w:t>
                    </w:r>
                  </w:p>
                </w:tc>
                <w:tc>
                  <w:tcPr>
                    <w:tcW w:w="0" w:type="auto"/>
                    <w:hideMark/>
                  </w:tcPr>
                  <w:p w14:paraId="036002A1"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M. Rouse, "RSA algorithm (Rivest-Shamir-Adleman)," TechTarget, [Online]. Available: https://searchsecurity.techtarget.com/definition/RSA. [Accessed 2 December 2019].</w:t>
                    </w:r>
                  </w:p>
                </w:tc>
              </w:tr>
              <w:tr w:rsidR="008B24D4" w:rsidRPr="008B24D4" w14:paraId="1EC08A97" w14:textId="77777777" w:rsidTr="00817143">
                <w:trPr>
                  <w:trHeight w:val="820"/>
                  <w:tblCellSpacing w:w="15" w:type="dxa"/>
                </w:trPr>
                <w:tc>
                  <w:tcPr>
                    <w:tcW w:w="129" w:type="pct"/>
                    <w:hideMark/>
                  </w:tcPr>
                  <w:p w14:paraId="74CE6DC1"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[6] </w:t>
                    </w:r>
                  </w:p>
                </w:tc>
                <w:tc>
                  <w:tcPr>
                    <w:tcW w:w="0" w:type="auto"/>
                    <w:hideMark/>
                  </w:tcPr>
                  <w:p w14:paraId="2E557043"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G. S. Jackson, "The Difference Between SHA &amp; AES Encryption," It Still Works, [Online]. Available: https://itstillworks.com/difference-between-sha-aes-encryption-2271.html. [Accessed 2 December 2019].</w:t>
                    </w:r>
                  </w:p>
                </w:tc>
              </w:tr>
              <w:tr w:rsidR="008B24D4" w:rsidRPr="008B24D4" w14:paraId="0775F68C" w14:textId="77777777" w:rsidTr="00817143">
                <w:trPr>
                  <w:trHeight w:val="1034"/>
                  <w:tblCellSpacing w:w="15" w:type="dxa"/>
                </w:trPr>
                <w:tc>
                  <w:tcPr>
                    <w:tcW w:w="129" w:type="pct"/>
                    <w:hideMark/>
                  </w:tcPr>
                  <w:p w14:paraId="5B918AEF"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[7] </w:t>
                    </w:r>
                  </w:p>
                </w:tc>
                <w:tc>
                  <w:tcPr>
                    <w:tcW w:w="0" w:type="auto"/>
                    <w:hideMark/>
                  </w:tcPr>
                  <w:p w14:paraId="798BE8FC"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NSA, "The Case for Elliptic Curve Cryptography," National Security Agency, 15 January 2009. [Online]. Available: https://web.archive.org/web/20090117023500/http://www.nsa.gov/business/programs/elliptic_curve.shtml. [Accessed 3 December 2019].</w:t>
                    </w:r>
                  </w:p>
                </w:tc>
              </w:tr>
              <w:tr w:rsidR="008B24D4" w:rsidRPr="008B24D4" w14:paraId="3E8CCCF8" w14:textId="77777777" w:rsidTr="00817143">
                <w:trPr>
                  <w:trHeight w:val="594"/>
                  <w:tblCellSpacing w:w="15" w:type="dxa"/>
                </w:trPr>
                <w:tc>
                  <w:tcPr>
                    <w:tcW w:w="129" w:type="pct"/>
                    <w:hideMark/>
                  </w:tcPr>
                  <w:p w14:paraId="53801B05"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[8] </w:t>
                    </w:r>
                  </w:p>
                </w:tc>
                <w:tc>
                  <w:tcPr>
                    <w:tcW w:w="0" w:type="auto"/>
                    <w:hideMark/>
                  </w:tcPr>
                  <w:p w14:paraId="74997790" w14:textId="77777777" w:rsidR="008B24D4" w:rsidRPr="008B24D4" w:rsidRDefault="008B24D4" w:rsidP="00817143">
                    <w:pPr>
                      <w:pStyle w:val="Bibliography"/>
                      <w:rPr>
                        <w:rFonts w:ascii="Arial" w:hAnsi="Arial" w:cs="Arial"/>
                        <w:noProof/>
                        <w:sz w:val="20"/>
                        <w:lang w:val="en-US"/>
                      </w:rPr>
                    </w:pPr>
                    <w:r w:rsidRPr="008B24D4">
                      <w:rPr>
                        <w:rFonts w:ascii="Arial" w:hAnsi="Arial" w:cs="Arial"/>
                        <w:noProof/>
                        <w:sz w:val="20"/>
                        <w:lang w:val="en-US"/>
                      </w:rPr>
                      <w:t xml:space="preserve">T. Howlett, Open Source Security Tools: A Practical Guide to Security Applications, Prentice Hall PTR, 2004. </w:t>
                    </w:r>
                  </w:p>
                </w:tc>
              </w:tr>
            </w:tbl>
            <w:p w14:paraId="3AA01119" w14:textId="77777777" w:rsidR="008B24D4" w:rsidRPr="008B24D4" w:rsidRDefault="008B24D4" w:rsidP="008B24D4">
              <w:pPr>
                <w:rPr>
                  <w:rFonts w:eastAsia="Times New Roman" w:cs="Arial"/>
                  <w:noProof/>
                  <w:sz w:val="20"/>
                </w:rPr>
              </w:pPr>
            </w:p>
            <w:p w14:paraId="638754EC" w14:textId="29970A4F" w:rsidR="008B24D4" w:rsidRPr="008B24D4" w:rsidRDefault="008B24D4" w:rsidP="008B24D4">
              <w:pPr>
                <w:rPr>
                  <w:rFonts w:cs="Arial"/>
                  <w:sz w:val="20"/>
                </w:rPr>
              </w:pPr>
              <w:r w:rsidRPr="008B24D4">
                <w:rPr>
                  <w:rFonts w:cs="Arial"/>
                  <w:b/>
                  <w:bCs/>
                  <w:noProof/>
                  <w:sz w:val="20"/>
                </w:rPr>
                <w:lastRenderedPageBreak/>
                <w:fldChar w:fldCharType="end"/>
              </w:r>
            </w:p>
          </w:sdtContent>
        </w:sdt>
      </w:sdtContent>
    </w:sdt>
    <w:sectPr w:rsidR="008B24D4" w:rsidRPr="008B24D4"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B24D4">
      <w:rPr>
        <w:b/>
        <w:noProof/>
        <w:szCs w:val="16"/>
      </w:rPr>
      <w:t>10</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B24D4">
      <w:rPr>
        <w:b/>
        <w:noProof/>
        <w:szCs w:val="16"/>
      </w:rPr>
      <w:t>10</w:t>
    </w:r>
    <w:r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B24D4">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B24D4">
      <w:rPr>
        <w:b/>
        <w:noProof/>
        <w:szCs w:val="16"/>
      </w:rPr>
      <w:t>10</w:t>
    </w:r>
    <w:r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A7B49"/>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4FAE"/>
    <w:rsid w:val="002C69D7"/>
    <w:rsid w:val="002C6AD6"/>
    <w:rsid w:val="002D0A23"/>
    <w:rsid w:val="002D11FC"/>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3F53"/>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288B"/>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1BF"/>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2981"/>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24D4"/>
    <w:rsid w:val="008B4B00"/>
    <w:rsid w:val="008B4F20"/>
    <w:rsid w:val="008B7FFD"/>
    <w:rsid w:val="008C16B2"/>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13FD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D5B97"/>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5AD1"/>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8B24D4"/>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Kev19</b:Tag>
    <b:SourceType>InternetSite</b:SourceType>
    <b:Guid>{685A43B7-0BA9-4FA1-A0CD-C08F70E102B7}</b:Guid>
    <b:Author>
      <b:Author>
        <b:NameList>
          <b:Person>
            <b:Last>Kevin Ferguson</b:Last>
            <b:First>Peter</b:First>
            <b:Middle>Loshin, Michael Cobb, et al</b:Middle>
          </b:Person>
        </b:NameList>
      </b:Author>
    </b:Author>
    <b:Title>Encrytpion</b:Title>
    <b:ProductionCompany>TechTarget</b:ProductionCompany>
    <b:Year>2019</b:Year>
    <b:Month>October (Updated)</b:Month>
    <b:YearAccessed>2019</b:YearAccessed>
    <b:MonthAccessed>Decemeber</b:MonthAccessed>
    <b:DayAccessed>2</b:DayAccessed>
    <b:URL>https://searchsecurity.techtarget.com/definition/encryption</b:URL>
    <b:RefOrder>1</b:RefOrder>
  </b:Source>
  <b:Source>
    <b:Tag>Rou19</b:Tag>
    <b:SourceType>InternetSite</b:SourceType>
    <b:Guid>{0B7522D5-2A28-4D1B-88AE-814042FA6A8E}</b:Guid>
    <b:Author>
      <b:Author>
        <b:NameList>
          <b:Person>
            <b:Last>Rouse</b:Last>
            <b:First>Margaret</b:First>
          </b:Person>
        </b:NameList>
      </b:Author>
    </b:Author>
    <b:Title>Data Encryption Standard</b:Title>
    <b:ProductionCompany>TechTarget</b:ProductionCompany>
    <b:YearAccessed>2019</b:YearAccessed>
    <b:MonthAccessed>December</b:MonthAccessed>
    <b:DayAccessed>1</b:DayAccessed>
    <b:URL>https://searchsecurity.techtarget.com/definition/Data-Encryption-Standard</b:URL>
    <b:RefOrder>2</b:RefOrder>
  </b:Source>
  <b:Source>
    <b:Tag>Tim11</b:Tag>
    <b:SourceType>Book</b:SourceType>
    <b:Guid>{2B4CF666-938A-4223-A77E-E6C0EA695B40}</b:Guid>
    <b:Author>
      <b:Author>
        <b:NameList>
          <b:Person>
            <b:Last>Stapko</b:Last>
            <b:First>Timothy</b:First>
          </b:Person>
        </b:NameList>
      </b:Author>
    </b:Author>
    <b:Title>ractical Embedded Security: Building Secure Resource-Constrained Systems</b:Title>
    <b:Year>2011</b:Year>
    <b:Publisher>Newnes</b:Publisher>
    <b:RefOrder>3</b:RefOrder>
  </b:Source>
  <b:Source>
    <b:Tag>Mar19</b:Tag>
    <b:SourceType>InternetSite</b:SourceType>
    <b:Guid>{4CA4FC51-36B3-40A3-9174-4BBD06380BF2}</b:Guid>
    <b:Author>
      <b:Author>
        <b:NameList>
          <b:Person>
            <b:Last>Margaret Rouse</b:Last>
            <b:First>MIchael</b:First>
            <b:Middle>Cobb, et al</b:Middle>
          </b:Person>
        </b:NameList>
      </b:Author>
    </b:Author>
    <b:Title>Advanced Encryption Standard (AES) </b:Title>
    <b:ProductionCompany>Tech Target</b:ProductionCompany>
    <b:YearAccessed>2019</b:YearAccessed>
    <b:MonthAccessed>December</b:MonthAccessed>
    <b:DayAccessed>2</b:DayAccessed>
    <b:URL>https://searchsecurity.techtarget.com/definition/Advanced-Encryption-Standard</b:URL>
    <b:RefOrder>4</b:RefOrder>
  </b:Source>
  <b:Source>
    <b:Tag>Mar191</b:Tag>
    <b:SourceType>InternetSite</b:SourceType>
    <b:Guid>{2DE4F59F-CFB9-433C-9A4E-0931DE09D12B}</b:Guid>
    <b:Author>
      <b:Author>
        <b:NameList>
          <b:Person>
            <b:Last>Rouse</b:Last>
            <b:First>Margaret</b:First>
          </b:Person>
        </b:NameList>
      </b:Author>
    </b:Author>
    <b:Title>RSA algorithm (Rivest-Shamir-Adleman) </b:Title>
    <b:ProductionCompany>TechTarget</b:ProductionCompany>
    <b:YearAccessed>2019</b:YearAccessed>
    <b:MonthAccessed>December</b:MonthAccessed>
    <b:DayAccessed>2</b:DayAccessed>
    <b:URL>https://searchsecurity.techtarget.com/definition/RSA</b:URL>
    <b:RefOrder>5</b:RefOrder>
  </b:Source>
  <b:Source>
    <b:Tag>GSJ19</b:Tag>
    <b:SourceType>InternetSite</b:SourceType>
    <b:Guid>{67BA5A27-0F36-4229-823F-4235FF100F8F}</b:Guid>
    <b:Author>
      <b:Author>
        <b:NameList>
          <b:Person>
            <b:Last>Jackson</b:Last>
            <b:First>G.</b:First>
            <b:Middle>S.</b:Middle>
          </b:Person>
        </b:NameList>
      </b:Author>
    </b:Author>
    <b:Title>The Difference Between SHA &amp; AES Encryption</b:Title>
    <b:ProductionCompany>It Still Works</b:ProductionCompany>
    <b:YearAccessed>2019</b:YearAccessed>
    <b:MonthAccessed>December</b:MonthAccessed>
    <b:DayAccessed>2</b:DayAccessed>
    <b:URL>https://itstillworks.com/difference-between-sha-aes-encryption-2271.html</b:URL>
    <b:RefOrder>6</b:RefOrder>
  </b:Source>
  <b:Source>
    <b:Tag>NSA09</b:Tag>
    <b:SourceType>InternetSite</b:SourceType>
    <b:Guid>{5B4B29BE-9A61-4F55-BF1C-C42B2F3ABA29}</b:Guid>
    <b:Author>
      <b:Author>
        <b:NameList>
          <b:Person>
            <b:Last>NSA</b:Last>
          </b:Person>
        </b:NameList>
      </b:Author>
    </b:Author>
    <b:Title>The Case for Elliptic Curve Cryptography</b:Title>
    <b:ProductionCompany>National Security Agency</b:ProductionCompany>
    <b:Year>2009</b:Year>
    <b:Month>January</b:Month>
    <b:Day>15</b:Day>
    <b:YearAccessed>2019</b:YearAccessed>
    <b:URL>https://web.archive.org/web/20090117023500/http://www.nsa.gov/business/programs/elliptic_curve.shtml</b:URL>
    <b:MonthAccessed>December</b:MonthAccessed>
    <b:DayAccessed>3</b:DayAccessed>
    <b:RefOrder>7</b:RefOrder>
  </b:Source>
  <b:Source>
    <b:Tag>How04</b:Tag>
    <b:SourceType>Book</b:SourceType>
    <b:Guid>{02F1E24C-9A68-40CC-ABDD-F3097FA476E8}</b:Guid>
    <b:Author>
      <b:Author>
        <b:NameList>
          <b:Person>
            <b:Last>Howlett</b:Last>
            <b:First>Tony</b:First>
          </b:Person>
        </b:NameList>
      </b:Author>
    </b:Author>
    <b:Title>Open Source Security Tools: A Practical Guide to Security Applications</b:Title>
    <b:Year>2004</b:Year>
    <b:Publisher>Prentice Hall PTR</b:Publisher>
    <b:RefOrder>8</b:RefOrder>
  </b:Source>
</b:Sources>
</file>

<file path=customXml/itemProps1.xml><?xml version="1.0" encoding="utf-8"?>
<ds:datastoreItem xmlns:ds="http://schemas.openxmlformats.org/officeDocument/2006/customXml" ds:itemID="{C4B76930-BC4A-4E5C-848C-2ECE7504D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2817</Words>
  <Characters>16061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18841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Chris Hopkins</cp:lastModifiedBy>
  <cp:revision>2</cp:revision>
  <cp:lastPrinted>2015-06-25T18:27:00Z</cp:lastPrinted>
  <dcterms:created xsi:type="dcterms:W3CDTF">2019-12-10T08:47:00Z</dcterms:created>
  <dcterms:modified xsi:type="dcterms:W3CDTF">2019-12-10T08:47:00Z</dcterms:modified>
</cp:coreProperties>
</file>