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D4007" w:rsidRDefault="003F73EB">
      <w:pPr>
        <w:rPr>
          <w:rFonts w:ascii="Segoe UI" w:hAnsi="Segoe UI" w:cs="Segoe UI"/>
          <w:b/>
          <w:color w:val="C00000"/>
          <w:sz w:val="27"/>
          <w:szCs w:val="27"/>
          <w:shd w:val="clear" w:color="auto" w:fill="FFFFFF"/>
        </w:rPr>
      </w:pPr>
      <w:r w:rsidRPr="003F73EB">
        <w:rPr>
          <w:rFonts w:ascii="Segoe UI" w:hAnsi="Segoe UI" w:cs="Segoe UI"/>
          <w:b/>
          <w:color w:val="C00000"/>
          <w:sz w:val="27"/>
          <w:szCs w:val="27"/>
          <w:shd w:val="clear" w:color="auto" w:fill="FFFFFF"/>
        </w:rPr>
        <w:drawing>
          <wp:inline distT="0" distB="0" distL="0" distR="0">
            <wp:extent cx="1885950" cy="952500"/>
            <wp:effectExtent l="19050" t="0" r="0" b="0"/>
            <wp:docPr id="2" name="Picture 1" descr="C:\Users\Alina\Desktop\UNIVERSITY\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na\Desktop\UNIVERSITY\uwtsd-london-logo-black.png"/>
                    <pic:cNvPicPr>
                      <a:picLocks noChangeAspect="1" noChangeArrowheads="1"/>
                    </pic:cNvPicPr>
                  </pic:nvPicPr>
                  <pic:blipFill>
                    <a:blip r:embed="rId5"/>
                    <a:srcRect/>
                    <a:stretch>
                      <a:fillRect/>
                    </a:stretch>
                  </pic:blipFill>
                  <pic:spPr bwMode="auto">
                    <a:xfrm>
                      <a:off x="0" y="0"/>
                      <a:ext cx="1885950" cy="952500"/>
                    </a:xfrm>
                    <a:prstGeom prst="rect">
                      <a:avLst/>
                    </a:prstGeom>
                    <a:noFill/>
                    <a:ln w="9525">
                      <a:noFill/>
                      <a:miter lim="800000"/>
                      <a:headEnd/>
                      <a:tailEnd/>
                    </a:ln>
                  </pic:spPr>
                </pic:pic>
              </a:graphicData>
            </a:graphic>
          </wp:inline>
        </w:drawing>
      </w:r>
    </w:p>
    <w:p w:rsidR="003F73EB" w:rsidRPr="003F73EB" w:rsidRDefault="003F73EB">
      <w:pPr>
        <w:rPr>
          <w:rFonts w:asciiTheme="majorHAnsi" w:hAnsiTheme="majorHAnsi" w:cs="Segoe UI"/>
          <w:b/>
          <w:color w:val="C00000"/>
          <w:sz w:val="32"/>
          <w:szCs w:val="32"/>
          <w:shd w:val="clear" w:color="auto" w:fill="FFFFFF"/>
        </w:rPr>
      </w:pPr>
    </w:p>
    <w:p w:rsidR="003F73EB" w:rsidRPr="003F73EB" w:rsidRDefault="003F73EB">
      <w:pPr>
        <w:rPr>
          <w:rFonts w:asciiTheme="majorHAnsi" w:hAnsiTheme="majorHAnsi" w:cs="Segoe UI"/>
          <w:b/>
          <w:color w:val="C00000"/>
          <w:sz w:val="32"/>
          <w:szCs w:val="32"/>
          <w:shd w:val="clear" w:color="auto" w:fill="FFFFFF"/>
        </w:rPr>
      </w:pPr>
    </w:p>
    <w:p w:rsidR="009D4007" w:rsidRPr="003F73EB" w:rsidRDefault="009D4007">
      <w:pPr>
        <w:rPr>
          <w:rFonts w:asciiTheme="majorHAnsi" w:hAnsiTheme="majorHAnsi" w:cs="Segoe UI"/>
          <w:b/>
          <w:color w:val="C00000"/>
          <w:sz w:val="32"/>
          <w:szCs w:val="32"/>
          <w:shd w:val="clear" w:color="auto" w:fill="FFFFFF"/>
        </w:rPr>
      </w:pPr>
    </w:p>
    <w:p w:rsidR="00B00E03" w:rsidRDefault="003F73EB" w:rsidP="00B00E03">
      <w:pPr>
        <w:tabs>
          <w:tab w:val="left" w:pos="3045"/>
        </w:tabs>
        <w:jc w:val="center"/>
        <w:rPr>
          <w:rFonts w:asciiTheme="majorHAnsi" w:hAnsiTheme="majorHAnsi" w:cs="Segoe UI"/>
          <w:b/>
          <w:i/>
          <w:color w:val="000000" w:themeColor="text1"/>
          <w:sz w:val="32"/>
          <w:szCs w:val="32"/>
          <w:shd w:val="clear" w:color="auto" w:fill="FFFFFF"/>
        </w:rPr>
      </w:pPr>
      <w:r w:rsidRPr="003F73EB">
        <w:rPr>
          <w:rFonts w:asciiTheme="majorHAnsi" w:hAnsiTheme="majorHAnsi" w:cs="Segoe UI"/>
          <w:b/>
          <w:i/>
          <w:color w:val="000000" w:themeColor="text1"/>
          <w:sz w:val="32"/>
          <w:szCs w:val="32"/>
          <w:shd w:val="clear" w:color="auto" w:fill="FFFFFF"/>
        </w:rPr>
        <w:t>INTERNATIONAL FINANCIAL MANAGEMENT-LCBB6002</w:t>
      </w:r>
    </w:p>
    <w:p w:rsidR="003F73EB" w:rsidRDefault="003F73EB" w:rsidP="003F73EB">
      <w:pPr>
        <w:tabs>
          <w:tab w:val="left" w:pos="3045"/>
        </w:tabs>
        <w:rPr>
          <w:rFonts w:asciiTheme="majorHAnsi" w:hAnsiTheme="majorHAnsi" w:cs="Segoe UI"/>
          <w:b/>
          <w:i/>
          <w:color w:val="000000" w:themeColor="text1"/>
          <w:sz w:val="32"/>
          <w:szCs w:val="32"/>
          <w:shd w:val="clear" w:color="auto" w:fill="FFFFFF"/>
        </w:rPr>
      </w:pPr>
    </w:p>
    <w:p w:rsidR="003F73EB" w:rsidRPr="003F73EB" w:rsidRDefault="003F73EB" w:rsidP="003F73EB">
      <w:pPr>
        <w:tabs>
          <w:tab w:val="left" w:pos="3045"/>
        </w:tabs>
        <w:rPr>
          <w:rFonts w:asciiTheme="majorHAnsi" w:hAnsiTheme="majorHAnsi" w:cs="Segoe UI"/>
          <w:b/>
          <w:i/>
          <w:color w:val="000000" w:themeColor="text1"/>
          <w:sz w:val="32"/>
          <w:szCs w:val="32"/>
          <w:shd w:val="clear" w:color="auto" w:fill="FFFFFF"/>
        </w:rPr>
      </w:pPr>
    </w:p>
    <w:p w:rsidR="003F73EB" w:rsidRDefault="003F73EB" w:rsidP="003F73EB">
      <w:pPr>
        <w:jc w:val="center"/>
        <w:rPr>
          <w:rFonts w:ascii="Segoe UI" w:hAnsi="Segoe UI" w:cs="Segoe UI"/>
          <w:b/>
          <w:color w:val="C00000"/>
          <w:sz w:val="27"/>
          <w:szCs w:val="27"/>
          <w:shd w:val="clear" w:color="auto" w:fill="FFFFFF"/>
        </w:rPr>
      </w:pPr>
      <w:r w:rsidRPr="009D4007">
        <w:rPr>
          <w:rFonts w:ascii="Segoe UI" w:hAnsi="Segoe UI" w:cs="Segoe UI"/>
          <w:b/>
          <w:color w:val="C00000"/>
          <w:sz w:val="27"/>
          <w:szCs w:val="27"/>
          <w:shd w:val="clear" w:color="auto" w:fill="FFFFFF"/>
        </w:rPr>
        <w:t>Managing Foreign Exchange Risk: An Integrated Strategic Approach for Multinational Corporations</w:t>
      </w:r>
    </w:p>
    <w:p w:rsidR="00B00E03" w:rsidRPr="009D4007" w:rsidRDefault="00B00E03" w:rsidP="003F73EB">
      <w:pPr>
        <w:jc w:val="center"/>
        <w:rPr>
          <w:b/>
          <w:color w:val="C00000"/>
        </w:rPr>
      </w:pPr>
    </w:p>
    <w:p w:rsidR="00B00E03" w:rsidRPr="00B00E03" w:rsidRDefault="00B00E03" w:rsidP="00B00E03">
      <w:pPr>
        <w:spacing w:after="120" w:line="360" w:lineRule="auto"/>
        <w:jc w:val="center"/>
        <w:rPr>
          <w:rFonts w:cs="Times New Roman"/>
          <w:b/>
          <w:i/>
          <w:sz w:val="32"/>
          <w:szCs w:val="32"/>
        </w:rPr>
      </w:pPr>
      <w:r w:rsidRPr="00B00E03">
        <w:rPr>
          <w:rFonts w:cs="Times New Roman"/>
          <w:b/>
          <w:i/>
          <w:sz w:val="32"/>
          <w:szCs w:val="32"/>
        </w:rPr>
        <w:t xml:space="preserve">Lecturer: </w:t>
      </w:r>
      <w:proofErr w:type="spellStart"/>
      <w:r w:rsidRPr="00B00E03">
        <w:rPr>
          <w:rFonts w:cs="Times New Roman"/>
          <w:b/>
          <w:i/>
          <w:sz w:val="32"/>
          <w:szCs w:val="32"/>
        </w:rPr>
        <w:t>Zainab</w:t>
      </w:r>
      <w:proofErr w:type="spellEnd"/>
      <w:r w:rsidRPr="00B00E03">
        <w:rPr>
          <w:rFonts w:cs="Times New Roman"/>
          <w:b/>
          <w:i/>
          <w:sz w:val="32"/>
          <w:szCs w:val="32"/>
        </w:rPr>
        <w:t xml:space="preserve"> Atta</w:t>
      </w:r>
    </w:p>
    <w:p w:rsidR="003F73EB" w:rsidRDefault="003F73EB" w:rsidP="00B00E03">
      <w:pPr>
        <w:jc w:val="center"/>
      </w:pPr>
    </w:p>
    <w:p w:rsidR="003F73EB" w:rsidRDefault="003F73EB" w:rsidP="003F73EB">
      <w:pPr>
        <w:tabs>
          <w:tab w:val="left" w:pos="3045"/>
        </w:tabs>
        <w:rPr>
          <w:rFonts w:asciiTheme="majorHAnsi" w:hAnsiTheme="majorHAnsi" w:cs="Segoe UI"/>
          <w:b/>
          <w:color w:val="000000" w:themeColor="text1"/>
          <w:sz w:val="32"/>
          <w:szCs w:val="32"/>
          <w:shd w:val="clear" w:color="auto" w:fill="FFFFFF"/>
        </w:rPr>
      </w:pPr>
    </w:p>
    <w:p w:rsidR="003F73EB" w:rsidRDefault="003F73EB" w:rsidP="003F73EB">
      <w:pPr>
        <w:tabs>
          <w:tab w:val="left" w:pos="3045"/>
        </w:tabs>
        <w:rPr>
          <w:rFonts w:asciiTheme="majorHAnsi" w:hAnsiTheme="majorHAnsi" w:cs="Segoe UI"/>
          <w:b/>
          <w:color w:val="000000" w:themeColor="text1"/>
          <w:sz w:val="32"/>
          <w:szCs w:val="32"/>
          <w:shd w:val="clear" w:color="auto" w:fill="FFFFFF"/>
        </w:rPr>
      </w:pPr>
    </w:p>
    <w:p w:rsidR="003F73EB" w:rsidRPr="003F73EB" w:rsidRDefault="003F73EB" w:rsidP="003F73EB">
      <w:pPr>
        <w:tabs>
          <w:tab w:val="left" w:pos="3045"/>
        </w:tabs>
        <w:rPr>
          <w:rFonts w:asciiTheme="majorHAnsi" w:hAnsiTheme="majorHAnsi" w:cs="Segoe UI"/>
          <w:b/>
          <w:color w:val="C00000"/>
          <w:sz w:val="27"/>
          <w:szCs w:val="27"/>
          <w:shd w:val="clear" w:color="auto" w:fill="FFFFFF"/>
        </w:rPr>
      </w:pPr>
    </w:p>
    <w:p w:rsidR="003F73EB" w:rsidRDefault="003F73EB">
      <w:pPr>
        <w:rPr>
          <w:rFonts w:ascii="Segoe UI" w:hAnsi="Segoe UI" w:cs="Segoe UI"/>
          <w:b/>
          <w:color w:val="C00000"/>
          <w:sz w:val="27"/>
          <w:szCs w:val="27"/>
          <w:shd w:val="clear" w:color="auto" w:fill="FFFFFF"/>
        </w:rPr>
      </w:pPr>
    </w:p>
    <w:p w:rsidR="003F73EB" w:rsidRDefault="003F73EB">
      <w:pPr>
        <w:rPr>
          <w:rFonts w:ascii="Segoe UI" w:hAnsi="Segoe UI" w:cs="Segoe UI"/>
          <w:b/>
          <w:color w:val="C00000"/>
          <w:sz w:val="27"/>
          <w:szCs w:val="27"/>
          <w:shd w:val="clear" w:color="auto" w:fill="FFFFFF"/>
        </w:rPr>
      </w:pPr>
    </w:p>
    <w:p w:rsidR="003F73EB" w:rsidRDefault="003F73EB">
      <w:pPr>
        <w:rPr>
          <w:rFonts w:ascii="Segoe UI" w:hAnsi="Segoe UI" w:cs="Segoe UI"/>
          <w:b/>
          <w:color w:val="C00000"/>
          <w:sz w:val="27"/>
          <w:szCs w:val="27"/>
          <w:shd w:val="clear" w:color="auto" w:fill="FFFFFF"/>
        </w:rPr>
      </w:pPr>
    </w:p>
    <w:p w:rsidR="009D4007" w:rsidRDefault="009D4007">
      <w:pPr>
        <w:rPr>
          <w:rFonts w:ascii="Segoe UI" w:hAnsi="Segoe UI" w:cs="Segoe UI"/>
          <w:b/>
          <w:color w:val="C00000"/>
          <w:sz w:val="27"/>
          <w:szCs w:val="27"/>
          <w:shd w:val="clear" w:color="auto" w:fill="FFFFFF"/>
        </w:rPr>
      </w:pPr>
    </w:p>
    <w:p w:rsidR="00B00E03" w:rsidRPr="00B00E03" w:rsidRDefault="00B00E03" w:rsidP="00B00E03">
      <w:pPr>
        <w:rPr>
          <w:rFonts w:cs="Times New Roman"/>
          <w:b/>
          <w:i/>
          <w:sz w:val="28"/>
          <w:szCs w:val="28"/>
        </w:rPr>
      </w:pPr>
      <w:r w:rsidRPr="00B00E03">
        <w:rPr>
          <w:rFonts w:cs="Times New Roman"/>
          <w:b/>
          <w:i/>
          <w:sz w:val="28"/>
          <w:szCs w:val="28"/>
        </w:rPr>
        <w:t xml:space="preserve">Student Name: </w:t>
      </w:r>
      <w:proofErr w:type="spellStart"/>
      <w:r w:rsidRPr="00B00E03">
        <w:rPr>
          <w:rFonts w:cs="Times New Roman"/>
          <w:b/>
          <w:i/>
          <w:sz w:val="28"/>
          <w:szCs w:val="28"/>
        </w:rPr>
        <w:t>Alina</w:t>
      </w:r>
      <w:proofErr w:type="spellEnd"/>
      <w:r w:rsidRPr="00B00E03">
        <w:rPr>
          <w:rFonts w:cs="Times New Roman"/>
          <w:b/>
          <w:i/>
          <w:sz w:val="28"/>
          <w:szCs w:val="28"/>
        </w:rPr>
        <w:t xml:space="preserve">-Paula </w:t>
      </w:r>
      <w:proofErr w:type="spellStart"/>
      <w:r w:rsidRPr="00B00E03">
        <w:rPr>
          <w:rFonts w:cs="Times New Roman"/>
          <w:b/>
          <w:i/>
          <w:sz w:val="28"/>
          <w:szCs w:val="28"/>
        </w:rPr>
        <w:t>Manolache</w:t>
      </w:r>
      <w:proofErr w:type="spellEnd"/>
    </w:p>
    <w:p w:rsidR="009D4007" w:rsidRPr="00B00E03" w:rsidRDefault="00B00E03" w:rsidP="00B00E03">
      <w:pPr>
        <w:rPr>
          <w:b/>
        </w:rPr>
      </w:pPr>
      <w:r w:rsidRPr="00B00E03">
        <w:rPr>
          <w:rFonts w:cs="Times New Roman"/>
          <w:b/>
          <w:i/>
          <w:sz w:val="28"/>
          <w:szCs w:val="28"/>
        </w:rPr>
        <w:t>Student ID: 2114609</w:t>
      </w:r>
    </w:p>
    <w:p w:rsidR="009D4007" w:rsidRDefault="009D4007" w:rsidP="009D4007"/>
    <w:p w:rsidR="009D4007" w:rsidRDefault="009D4007" w:rsidP="009D4007"/>
    <w:p w:rsidR="009D4007" w:rsidRDefault="009D4007" w:rsidP="009D4007"/>
    <w:p w:rsidR="009D4007" w:rsidRDefault="009D4007" w:rsidP="009D4007"/>
    <w:p w:rsidR="009D4007" w:rsidRDefault="009D4007" w:rsidP="009D4007"/>
    <w:p w:rsidR="009D4007" w:rsidRDefault="009D4007" w:rsidP="009D4007"/>
    <w:p w:rsidR="009D4007" w:rsidRDefault="009D4007" w:rsidP="009D4007"/>
    <w:p w:rsidR="009D4007" w:rsidRDefault="009D4007" w:rsidP="009D4007"/>
    <w:p w:rsidR="009D4007" w:rsidRDefault="009D4007" w:rsidP="009D4007"/>
    <w:p w:rsidR="009D4007" w:rsidRDefault="009D4007" w:rsidP="009D4007"/>
    <w:p w:rsidR="009D4007" w:rsidRDefault="009D4007" w:rsidP="009D4007"/>
    <w:p w:rsidR="009D4007" w:rsidRDefault="009D4007" w:rsidP="009D4007"/>
    <w:p w:rsidR="009D4007" w:rsidRDefault="009D4007" w:rsidP="009D4007"/>
    <w:p w:rsidR="009D4007" w:rsidRDefault="009D4007" w:rsidP="009D4007"/>
    <w:p w:rsidR="009D4007" w:rsidRDefault="009D4007" w:rsidP="009D4007"/>
    <w:p w:rsidR="009D4007" w:rsidRDefault="009D4007" w:rsidP="009D4007"/>
    <w:p w:rsidR="009D4007" w:rsidRDefault="009D4007" w:rsidP="009D4007"/>
    <w:p w:rsidR="009D4007" w:rsidRDefault="009D4007" w:rsidP="009D4007"/>
    <w:sdt>
      <w:sdtPr>
        <w:rPr>
          <w:rFonts w:asciiTheme="minorHAnsi" w:eastAsiaTheme="minorHAnsi" w:hAnsiTheme="minorHAnsi" w:cstheme="minorBidi"/>
          <w:color w:val="auto"/>
          <w:sz w:val="22"/>
          <w:szCs w:val="22"/>
          <w:lang w:val="en-GB"/>
        </w:rPr>
        <w:id w:val="1828941663"/>
        <w:docPartObj>
          <w:docPartGallery w:val="Table of Contents"/>
          <w:docPartUnique/>
        </w:docPartObj>
      </w:sdtPr>
      <w:sdtEndPr>
        <w:rPr>
          <w:b/>
          <w:bCs/>
          <w:noProof/>
        </w:rPr>
      </w:sdtEndPr>
      <w:sdtContent>
        <w:p w:rsidR="009D4007" w:rsidRPr="009D4007" w:rsidRDefault="009D4007">
          <w:pPr>
            <w:pStyle w:val="TOCHeading"/>
            <w:rPr>
              <w:color w:val="C00000"/>
            </w:rPr>
          </w:pPr>
          <w:r w:rsidRPr="009D4007">
            <w:rPr>
              <w:color w:val="C00000"/>
            </w:rPr>
            <w:t>Table of Contents</w:t>
          </w:r>
        </w:p>
        <w:p w:rsidR="009D4007" w:rsidRPr="009D4007" w:rsidRDefault="009D4007" w:rsidP="009D4007">
          <w:pPr>
            <w:rPr>
              <w:lang w:val="en-US"/>
            </w:rPr>
          </w:pPr>
        </w:p>
        <w:p w:rsidR="000C125B" w:rsidRDefault="00BB14FC">
          <w:pPr>
            <w:pStyle w:val="TOC1"/>
            <w:tabs>
              <w:tab w:val="right" w:leader="dot" w:pos="9016"/>
            </w:tabs>
            <w:rPr>
              <w:rFonts w:eastAsiaTheme="minorEastAsia"/>
              <w:noProof/>
              <w:lang w:eastAsia="en-GB"/>
            </w:rPr>
          </w:pPr>
          <w:r>
            <w:rPr>
              <w:b/>
              <w:bCs/>
              <w:noProof/>
            </w:rPr>
            <w:fldChar w:fldCharType="begin"/>
          </w:r>
          <w:r w:rsidR="009D4007">
            <w:rPr>
              <w:b/>
              <w:bCs/>
              <w:noProof/>
            </w:rPr>
            <w:instrText xml:space="preserve"> TOC \o "1-3" \h \z \u </w:instrText>
          </w:r>
          <w:r>
            <w:rPr>
              <w:b/>
              <w:bCs/>
              <w:noProof/>
            </w:rPr>
            <w:fldChar w:fldCharType="separate"/>
          </w:r>
          <w:hyperlink w:anchor="_Toc153901280" w:history="1">
            <w:r w:rsidR="000C125B" w:rsidRPr="00AE13CB">
              <w:rPr>
                <w:rStyle w:val="Hyperlink"/>
                <w:b/>
                <w:noProof/>
              </w:rPr>
              <w:t>Introduction</w:t>
            </w:r>
            <w:r w:rsidR="000C125B">
              <w:rPr>
                <w:noProof/>
                <w:webHidden/>
              </w:rPr>
              <w:tab/>
            </w:r>
            <w:r>
              <w:rPr>
                <w:noProof/>
                <w:webHidden/>
              </w:rPr>
              <w:fldChar w:fldCharType="begin"/>
            </w:r>
            <w:r w:rsidR="000C125B">
              <w:rPr>
                <w:noProof/>
                <w:webHidden/>
              </w:rPr>
              <w:instrText xml:space="preserve"> PAGEREF _Toc153901280 \h </w:instrText>
            </w:r>
            <w:r>
              <w:rPr>
                <w:noProof/>
                <w:webHidden/>
              </w:rPr>
            </w:r>
            <w:r>
              <w:rPr>
                <w:noProof/>
                <w:webHidden/>
              </w:rPr>
              <w:fldChar w:fldCharType="separate"/>
            </w:r>
            <w:r w:rsidR="000C125B">
              <w:rPr>
                <w:noProof/>
                <w:webHidden/>
              </w:rPr>
              <w:t>3</w:t>
            </w:r>
            <w:r>
              <w:rPr>
                <w:noProof/>
                <w:webHidden/>
              </w:rPr>
              <w:fldChar w:fldCharType="end"/>
            </w:r>
          </w:hyperlink>
        </w:p>
        <w:p w:rsidR="000C125B" w:rsidRDefault="00BB14FC">
          <w:pPr>
            <w:pStyle w:val="TOC1"/>
            <w:tabs>
              <w:tab w:val="right" w:leader="dot" w:pos="9016"/>
            </w:tabs>
            <w:rPr>
              <w:rFonts w:eastAsiaTheme="minorEastAsia"/>
              <w:noProof/>
              <w:lang w:eastAsia="en-GB"/>
            </w:rPr>
          </w:pPr>
          <w:hyperlink w:anchor="_Toc153901281" w:history="1">
            <w:r w:rsidR="000C125B" w:rsidRPr="00AE13CB">
              <w:rPr>
                <w:rStyle w:val="Hyperlink"/>
                <w:b/>
                <w:noProof/>
              </w:rPr>
              <w:t>Body</w:t>
            </w:r>
            <w:r w:rsidR="000C125B">
              <w:rPr>
                <w:noProof/>
                <w:webHidden/>
              </w:rPr>
              <w:tab/>
            </w:r>
            <w:r>
              <w:rPr>
                <w:noProof/>
                <w:webHidden/>
              </w:rPr>
              <w:fldChar w:fldCharType="begin"/>
            </w:r>
            <w:r w:rsidR="000C125B">
              <w:rPr>
                <w:noProof/>
                <w:webHidden/>
              </w:rPr>
              <w:instrText xml:space="preserve"> PAGEREF _Toc153901281 \h </w:instrText>
            </w:r>
            <w:r>
              <w:rPr>
                <w:noProof/>
                <w:webHidden/>
              </w:rPr>
            </w:r>
            <w:r>
              <w:rPr>
                <w:noProof/>
                <w:webHidden/>
              </w:rPr>
              <w:fldChar w:fldCharType="separate"/>
            </w:r>
            <w:r w:rsidR="000C125B">
              <w:rPr>
                <w:noProof/>
                <w:webHidden/>
              </w:rPr>
              <w:t>3</w:t>
            </w:r>
            <w:r>
              <w:rPr>
                <w:noProof/>
                <w:webHidden/>
              </w:rPr>
              <w:fldChar w:fldCharType="end"/>
            </w:r>
          </w:hyperlink>
        </w:p>
        <w:p w:rsidR="000C125B" w:rsidRDefault="00BB14FC">
          <w:pPr>
            <w:pStyle w:val="TOC1"/>
            <w:tabs>
              <w:tab w:val="right" w:leader="dot" w:pos="9016"/>
            </w:tabs>
            <w:rPr>
              <w:rFonts w:eastAsiaTheme="minorEastAsia"/>
              <w:noProof/>
              <w:lang w:eastAsia="en-GB"/>
            </w:rPr>
          </w:pPr>
          <w:hyperlink w:anchor="_Toc153901282" w:history="1">
            <w:r w:rsidR="000C125B" w:rsidRPr="00AE13CB">
              <w:rPr>
                <w:rStyle w:val="Hyperlink"/>
                <w:b/>
                <w:noProof/>
              </w:rPr>
              <w:t>Conclusion</w:t>
            </w:r>
            <w:r w:rsidR="000C125B">
              <w:rPr>
                <w:noProof/>
                <w:webHidden/>
              </w:rPr>
              <w:tab/>
            </w:r>
            <w:r>
              <w:rPr>
                <w:noProof/>
                <w:webHidden/>
              </w:rPr>
              <w:fldChar w:fldCharType="begin"/>
            </w:r>
            <w:r w:rsidR="000C125B">
              <w:rPr>
                <w:noProof/>
                <w:webHidden/>
              </w:rPr>
              <w:instrText xml:space="preserve"> PAGEREF _Toc153901282 \h </w:instrText>
            </w:r>
            <w:r>
              <w:rPr>
                <w:noProof/>
                <w:webHidden/>
              </w:rPr>
            </w:r>
            <w:r>
              <w:rPr>
                <w:noProof/>
                <w:webHidden/>
              </w:rPr>
              <w:fldChar w:fldCharType="separate"/>
            </w:r>
            <w:r w:rsidR="000C125B">
              <w:rPr>
                <w:noProof/>
                <w:webHidden/>
              </w:rPr>
              <w:t>5</w:t>
            </w:r>
            <w:r>
              <w:rPr>
                <w:noProof/>
                <w:webHidden/>
              </w:rPr>
              <w:fldChar w:fldCharType="end"/>
            </w:r>
          </w:hyperlink>
        </w:p>
        <w:p w:rsidR="000C125B" w:rsidRDefault="00BB14FC">
          <w:pPr>
            <w:pStyle w:val="TOC1"/>
            <w:tabs>
              <w:tab w:val="right" w:leader="dot" w:pos="9016"/>
            </w:tabs>
            <w:rPr>
              <w:rFonts w:eastAsiaTheme="minorEastAsia"/>
              <w:noProof/>
              <w:lang w:eastAsia="en-GB"/>
            </w:rPr>
          </w:pPr>
          <w:hyperlink w:anchor="_Toc153901283" w:history="1">
            <w:r w:rsidR="000C125B" w:rsidRPr="00AE13CB">
              <w:rPr>
                <w:rStyle w:val="Hyperlink"/>
                <w:b/>
                <w:noProof/>
              </w:rPr>
              <w:t>References</w:t>
            </w:r>
            <w:r w:rsidR="000C125B">
              <w:rPr>
                <w:noProof/>
                <w:webHidden/>
              </w:rPr>
              <w:tab/>
            </w:r>
            <w:r>
              <w:rPr>
                <w:noProof/>
                <w:webHidden/>
              </w:rPr>
              <w:fldChar w:fldCharType="begin"/>
            </w:r>
            <w:r w:rsidR="000C125B">
              <w:rPr>
                <w:noProof/>
                <w:webHidden/>
              </w:rPr>
              <w:instrText xml:space="preserve"> PAGEREF _Toc153901283 \h </w:instrText>
            </w:r>
            <w:r>
              <w:rPr>
                <w:noProof/>
                <w:webHidden/>
              </w:rPr>
            </w:r>
            <w:r>
              <w:rPr>
                <w:noProof/>
                <w:webHidden/>
              </w:rPr>
              <w:fldChar w:fldCharType="separate"/>
            </w:r>
            <w:r w:rsidR="000C125B">
              <w:rPr>
                <w:noProof/>
                <w:webHidden/>
              </w:rPr>
              <w:t>6</w:t>
            </w:r>
            <w:r>
              <w:rPr>
                <w:noProof/>
                <w:webHidden/>
              </w:rPr>
              <w:fldChar w:fldCharType="end"/>
            </w:r>
          </w:hyperlink>
        </w:p>
        <w:p w:rsidR="009D4007" w:rsidRDefault="00BB14FC">
          <w:r>
            <w:rPr>
              <w:b/>
              <w:bCs/>
              <w:noProof/>
            </w:rPr>
            <w:fldChar w:fldCharType="end"/>
          </w:r>
        </w:p>
      </w:sdtContent>
    </w:sdt>
    <w:p w:rsidR="009D4007" w:rsidRDefault="009D4007">
      <w:r>
        <w:br w:type="page"/>
      </w:r>
      <w:bookmarkStart w:id="0" w:name="_GoBack"/>
      <w:bookmarkEnd w:id="0"/>
    </w:p>
    <w:p w:rsidR="009D4007" w:rsidRDefault="009D4007" w:rsidP="009D4007">
      <w:pPr>
        <w:pStyle w:val="Heading1"/>
        <w:rPr>
          <w:b/>
          <w:color w:val="C00000"/>
        </w:rPr>
      </w:pPr>
      <w:bookmarkStart w:id="1" w:name="_Toc153901280"/>
      <w:r w:rsidRPr="009D4007">
        <w:rPr>
          <w:b/>
          <w:color w:val="C00000"/>
        </w:rPr>
        <w:lastRenderedPageBreak/>
        <w:t>Introduction</w:t>
      </w:r>
      <w:bookmarkEnd w:id="1"/>
    </w:p>
    <w:p w:rsidR="009D4007" w:rsidRPr="009D4007" w:rsidRDefault="009D4007" w:rsidP="009D4007"/>
    <w:p w:rsidR="00F309FB" w:rsidRDefault="00F309FB" w:rsidP="00F309FB">
      <w:r>
        <w:t>Multinational corporations (MNCs) face considerable foreign exchange risk when conducting transactions in multiple currencies, which expose them to losses caused by unfavo</w:t>
      </w:r>
      <w:r w:rsidR="000B2B28">
        <w:t>u</w:t>
      </w:r>
      <w:r>
        <w:t>rable currency fluctuations when there is a difference between assets or liabilities denominated in different currencies (Madura, 2022). MNCs implement various strategies to manage this risk depending on factors like their risk aversion level, exposures they face, organisational capabilities and regulatory environments - this essay critically analyses key strategies such as currency derivatives, operational techniques and organisational approaches used by MNCs when managing transactions involving multiple currencies involving assets or liabilities denominated in different currencies - this essay critically analyses some major strategies such as currency derivatives, operational techniques and organisational approaches to help manage this risk effectively.</w:t>
      </w:r>
    </w:p>
    <w:p w:rsidR="00F309FB" w:rsidRDefault="00F309FB" w:rsidP="00F309FB">
      <w:r>
        <w:t>Currency derivatives are financial instruments designed to give their holders the ability to hedge against or speculate on currency movements (Giddy &amp;</w:t>
      </w:r>
      <w:proofErr w:type="spellStart"/>
      <w:r>
        <w:t>Dufey</w:t>
      </w:r>
      <w:proofErr w:type="spellEnd"/>
      <w:r>
        <w:t>, 2022). Common derivatives used for managing foreign exchange risks include forwards, futures, options and swaps. Forward agreements allow multinationals to secure favo</w:t>
      </w:r>
      <w:r w:rsidR="000B2B28">
        <w:t>u</w:t>
      </w:r>
      <w:r>
        <w:t>rable rates by making private agreements to buy or sell currency at a specific exchange rate at a future date, with over 60% of large US non-financial firms using forwards (</w:t>
      </w:r>
      <w:proofErr w:type="spellStart"/>
      <w:r>
        <w:t>Allayannis</w:t>
      </w:r>
      <w:proofErr w:type="spellEnd"/>
      <w:r>
        <w:t xml:space="preserve"> et al, 2012). Futures are similar, yet standardised and exchange-traded versions, though more suitable for speculators than hedgers. Options, on the other hand, give investors the right but not obligation to buy or sell at agreed rates while swaps allow companies to convert </w:t>
      </w:r>
      <w:proofErr w:type="spellStart"/>
      <w:r>
        <w:t>cashflows</w:t>
      </w:r>
      <w:proofErr w:type="spellEnd"/>
      <w:r>
        <w:t xml:space="preserve"> in different currencies into one another.</w:t>
      </w:r>
    </w:p>
    <w:p w:rsidR="000C125B" w:rsidRPr="000C125B" w:rsidRDefault="000C125B" w:rsidP="000C125B">
      <w:pPr>
        <w:pStyle w:val="Heading1"/>
        <w:rPr>
          <w:b/>
        </w:rPr>
      </w:pPr>
      <w:bookmarkStart w:id="2" w:name="_Toc153901281"/>
      <w:r w:rsidRPr="000C125B">
        <w:rPr>
          <w:b/>
          <w:color w:val="FF0000"/>
        </w:rPr>
        <w:t>Body</w:t>
      </w:r>
      <w:bookmarkEnd w:id="2"/>
    </w:p>
    <w:p w:rsidR="00F309FB" w:rsidRDefault="00F309FB" w:rsidP="00F309FB">
      <w:r>
        <w:t>MNCs should carefully consider whether derivatives can offer them any advantage against alternatives like spot and money markets (</w:t>
      </w:r>
      <w:proofErr w:type="spellStart"/>
      <w:r>
        <w:t>Eiteman</w:t>
      </w:r>
      <w:proofErr w:type="spellEnd"/>
      <w:r>
        <w:t xml:space="preserve"> et al, 2022). Research into derivative usage identifies factors which impact its adoption such as foreign sales ratio, growth opportunities, liquidity, leverage, tax optimisation potential and geographic diversity (</w:t>
      </w:r>
      <w:proofErr w:type="spellStart"/>
      <w:r>
        <w:t>Allayannis&amp;Ofek</w:t>
      </w:r>
      <w:proofErr w:type="spellEnd"/>
      <w:r>
        <w:t xml:space="preserve"> 2001). Derivative types also depend upon exposures being hedged - options may suit unpredictable </w:t>
      </w:r>
      <w:proofErr w:type="spellStart"/>
      <w:r>
        <w:t>cashflows</w:t>
      </w:r>
      <w:proofErr w:type="spellEnd"/>
      <w:r>
        <w:t xml:space="preserve"> while forwards match known commitments more precisely; large MNCs make most use of derivatives due to economies of scale and financial sophistication (</w:t>
      </w:r>
      <w:proofErr w:type="spellStart"/>
      <w:r>
        <w:t>Allayannis&amp;Ofek</w:t>
      </w:r>
      <w:proofErr w:type="spellEnd"/>
      <w:r>
        <w:t xml:space="preserve"> 2001).</w:t>
      </w:r>
    </w:p>
    <w:p w:rsidR="00F309FB" w:rsidRDefault="00F309FB" w:rsidP="00F309FB">
      <w:r>
        <w:t>Operational techniques that highlight this strategy include currency risk sharing between MNCs and stakeholders through adjustments like pricing or supplier payments. Multinational corporations may raise export prices in foreign currency to offset currency declines or adjust import payments based on exchange rate fluctuations through contractual clauses (Shapiro 2022). Such tactics transfer risk, but may reduce competitiveness or damage relationships. Leading MNCs employ back-to-back loan arrangements selectively depending on factors like market dynamics, bargaining power and ability to switch suppliers. Better relationship management through communication and collaboration rather than strict risk transfer is often more sustainable (</w:t>
      </w:r>
      <w:proofErr w:type="spellStart"/>
      <w:r>
        <w:t>Hilson</w:t>
      </w:r>
      <w:proofErr w:type="spellEnd"/>
      <w:r>
        <w:t>&amp; Murray-Webster 2022).</w:t>
      </w:r>
    </w:p>
    <w:p w:rsidR="00F309FB" w:rsidRDefault="00F309FB" w:rsidP="00F309FB">
      <w:r>
        <w:t>Localising production and sourcing proportionally with sales and costs in each currency is another method for mitigating currency mismatches and naturally diversifying your exposure (</w:t>
      </w:r>
      <w:proofErr w:type="spellStart"/>
      <w:r>
        <w:t>Eiteman</w:t>
      </w:r>
      <w:proofErr w:type="spellEnd"/>
      <w:r>
        <w:t xml:space="preserve"> et al, 2022), but it limits flexibility and incurs high costs. Transaction-level currency diversification rather than single exposure hedging can also be adopted when necessary; typically invoicing currencies tend to correlate with production locations so expanding international operational presence helps this strategy (Goldberg &amp;</w:t>
      </w:r>
      <w:proofErr w:type="spellStart"/>
      <w:r>
        <w:t>Tille</w:t>
      </w:r>
      <w:proofErr w:type="spellEnd"/>
      <w:r>
        <w:t>, 2022). But diversifying invoicing beyond vehicle currencies like USD and EUR can incur higher processing costs as processing costs increase further.</w:t>
      </w:r>
    </w:p>
    <w:p w:rsidR="00F309FB" w:rsidRDefault="00F309FB" w:rsidP="00F309FB">
      <w:r>
        <w:lastRenderedPageBreak/>
        <w:t>Leading multinationals are adopting more strategic structural approaches to managing currency risk across international operations by reconfiguring their organisations strategically. One such strategy involves centralising currency risk management through expert treasury departments governing exposures between entities for greater oversight and coordination (</w:t>
      </w:r>
      <w:proofErr w:type="spellStart"/>
      <w:r>
        <w:t>Brunhart</w:t>
      </w:r>
      <w:proofErr w:type="spellEnd"/>
      <w:r>
        <w:t>, 2016). Furthermore, financial subsidiaries with dedicated hedging departments consolidate external hedging transactions in one centralised location to enhance governance while taking advantage of economies of scale; their use correlates strongly with derivative usage (</w:t>
      </w:r>
      <w:proofErr w:type="spellStart"/>
      <w:r>
        <w:t>Aabo</w:t>
      </w:r>
      <w:proofErr w:type="spellEnd"/>
      <w:r>
        <w:t xml:space="preserve"> et al., 2010) while also giving access to wider hedging counterparties than internal hedging options can afforded internally.</w:t>
      </w:r>
    </w:p>
    <w:p w:rsidR="00F309FB" w:rsidRDefault="00F309FB" w:rsidP="00F309FB">
      <w:r>
        <w:t>Local funding of international operations with matching asset and liability currencies proactively reduces structural imbalance risks from currency fluctuations without needing hedging transactions (</w:t>
      </w:r>
      <w:proofErr w:type="spellStart"/>
      <w:r>
        <w:t>Brunhart</w:t>
      </w:r>
      <w:proofErr w:type="spellEnd"/>
      <w:r>
        <w:t xml:space="preserve">, 2016). However, restrictions on cross-border capital flows could prevent this option. Currency pooling allows companies to aggregate currency exposures globally at head office level, providing a central netting mechanism and mitigating exposures and costs across operating units. Participating affiliates exchange local currency </w:t>
      </w:r>
      <w:proofErr w:type="spellStart"/>
      <w:r>
        <w:t>cashflows</w:t>
      </w:r>
      <w:proofErr w:type="spellEnd"/>
      <w:r>
        <w:t xml:space="preserve"> for head office's base currency. Thus, the central entity bears currency risk relative to local funding but provides better oversight and coordination while freeing units to focus on core operations instead of currency hedging, an area in which many may lack capabilities.</w:t>
      </w:r>
    </w:p>
    <w:p w:rsidR="00F309FB" w:rsidRDefault="00F309FB" w:rsidP="00F309FB">
      <w:r>
        <w:t>Multinational enterprise structures that combine international operations within regional headquarters can also help multinational enterprises better manage exposures (</w:t>
      </w:r>
      <w:proofErr w:type="spellStart"/>
      <w:r>
        <w:t>Fatemi</w:t>
      </w:r>
      <w:proofErr w:type="spellEnd"/>
      <w:r>
        <w:t>, 1988). Regional managers tend to possess greater insight into local market dynamics than head office, providing for more informed and responsive hedging decisions made at regional headquarters than by head office alone. Unfortunately, such decentralisation limits coordination and consistency. Matrix structures aim to achieve this equilibrium by combining centralised global currency risk governance with regional flexibility over exposures and hedging execution; however these come with increased administrative complexity as well as potential goal conflicts which must be carefully managed before adoption by multinational enterprises.</w:t>
      </w:r>
    </w:p>
    <w:p w:rsidR="00F309FB" w:rsidRDefault="00F309FB" w:rsidP="00F309FB">
      <w:r>
        <w:t>Bartram, Brown and Conrad (2011) conducted extensive research across over 6000 non-financial US firms that utilized financial hedging strategies. On average, these firms realized a 1.1% higher firm value relative to non-hedgers. Operational hedging also produced positive impacts. The research employed various statistical controls and provided evidence of how hedging currency exposures increases shareholder returns. Methodically, derivatives and foreign currency debt were the most efficient methods, while overseas operations and pricing strategies still added significant value. Subsequent granular research on multinationals' derivative usage revealed that moderate hedging increases firm value but excessive transactions can erode gains - underscoring the need for appropriate strategic balance (</w:t>
      </w:r>
      <w:proofErr w:type="spellStart"/>
      <w:r>
        <w:t>Allayannis</w:t>
      </w:r>
      <w:proofErr w:type="spellEnd"/>
      <w:r>
        <w:t xml:space="preserve"> et al. 2012).</w:t>
      </w:r>
    </w:p>
    <w:p w:rsidR="00F309FB" w:rsidRDefault="00F309FB" w:rsidP="00F309FB">
      <w:r>
        <w:t xml:space="preserve">Overall, the analysis demonstrates that managing foreign currency risk is complex with no clear-cut "best" solution available; multinational corporations must therefore make strategic choices that balance risk reduction against costs and constraints when it comes to managing this aspect of risk management. Combining financial hedges to lock-in rates with operational sharing and exposure management flexibility is preferable to over relying on one approach alone. Structural changes to align currencies internally make this mixed approach easy to achieve. Selectivity based on precise exposures is also paramount - general high level derivatives like forwards are useful in providing predictable </w:t>
      </w:r>
      <w:proofErr w:type="spellStart"/>
      <w:r>
        <w:t>cashflows</w:t>
      </w:r>
      <w:proofErr w:type="spellEnd"/>
      <w:r>
        <w:t xml:space="preserve">; specific risks should be hedged with tailored hedging products instead. Central governance provides oversight while regional empowerment to respond to local markets is still necessary. The ideal mix ultimately depends on several key considerations, such as organisational capabilities, risk perceptions, geographic footprint, market dynamics and product </w:t>
      </w:r>
      <w:r>
        <w:lastRenderedPageBreak/>
        <w:t>profile. Furthermore, regulatory burdens like derivatives documentation and accounting rules must also be overcome successfully. Regular exposure measurement and strategy reviews help ensure approaches keep up with changing corporate profiles and currency markets, but evidence demonstrates that actively managing foreign exchange exposures creates shareholder value for international businesses.</w:t>
      </w:r>
    </w:p>
    <w:p w:rsidR="00F309FB" w:rsidRDefault="00F309FB" w:rsidP="00F309FB">
      <w:r>
        <w:t>Conclusion In conclusion, managing foreign exchange risk is an ongoing strategic challenge for multinational corporations. This analysis examined key financial, operational and organisational approaches and found that tailoring methods specifically to specific exposures and organisational environments was most successful in mitigating foreign exchange risk.</w:t>
      </w:r>
    </w:p>
    <w:p w:rsidR="00F309FB" w:rsidRDefault="00F309FB" w:rsidP="00F309FB">
      <w:r>
        <w:t>Currency derivatives provide significant financial hedging advantages by locking in rates, but proper expertise must be applied in order to exploit their full potential; over-reliance can have unintended repercussions, and currency risk transfer through import/export pricing and contracts may offer flexibility; however, using them recklessly could damage relationships or market position, necessitating selectivity when choosing this route. Localisation and diversification of currency exposures provide natural hedging while invoice currency decisions need to balance processing costs against risks.</w:t>
      </w:r>
    </w:p>
    <w:p w:rsidR="00F309FB" w:rsidRDefault="00F309FB" w:rsidP="00F309FB">
      <w:r>
        <w:t>Operatively, sophisticated MNCs with sophisticated treasury functions employ centralized but specialised treasury functions that oversee financial hedging execution and exposure governance, including derivative usage. Such functions help secure better hedging rates while accounting for substantial derivative usage. Local funding and pooling techniques used internally also reduce currency mismatches within an MNC while cross-border finance restrictions must also be navigated successfully. Incorporating regional empowerment or global matrix structures helps balance needed central control with local flexibility over dynamic exposures.</w:t>
      </w:r>
    </w:p>
    <w:p w:rsidR="00F309FB" w:rsidRDefault="00F309FB" w:rsidP="00F309FB">
      <w:r>
        <w:t>Wide-ranging empirical evidence confirms both financial and operational strategies significantly increase shareholder returns, with moderate tailored derivative usage and natural hedging having optimal effects. Unfortunately, regulations, costs, and market restrictions present significant restrictions, making regular reviews essential to ensure optimal performance over time.</w:t>
      </w:r>
    </w:p>
    <w:p w:rsidR="00F309FB" w:rsidRDefault="00F309FB" w:rsidP="00F309FB">
      <w:r>
        <w:t>Future innovations and automation will become key elements in effectively executing integrated hedging strategies in response to currency volatility amid global unpredictability. Machine learning may provide better exposure forecasting and tailored derivative usage while distributed ledgers increase transparency over complex multi-entity exposures. As specialist financial subsidiaries also continue evolving, human governance, expertise, and relationships remain fundamental for understanding currency risk assessments effectively.</w:t>
      </w:r>
    </w:p>
    <w:p w:rsidR="009D4007" w:rsidRPr="009D4007" w:rsidRDefault="009D4007" w:rsidP="009D4007">
      <w:pPr>
        <w:pStyle w:val="Heading1"/>
        <w:rPr>
          <w:b/>
          <w:color w:val="C00000"/>
        </w:rPr>
      </w:pPr>
      <w:bookmarkStart w:id="3" w:name="_Toc153901282"/>
      <w:r w:rsidRPr="009D4007">
        <w:rPr>
          <w:b/>
          <w:color w:val="C00000"/>
        </w:rPr>
        <w:t>Conclusion</w:t>
      </w:r>
      <w:bookmarkEnd w:id="3"/>
    </w:p>
    <w:p w:rsidR="00F309FB" w:rsidRDefault="00F309FB" w:rsidP="00F309FB">
      <w:r>
        <w:t xml:space="preserve">Overall MNCs without integrated hedging strategies face increasing currency volatility risk which threatens their competitive edge and threatens their overall business success. Combining financial hedges, operational flexibility and organisational capabilities into an approach that's diverse enough to mitigate risks while strengthening market position is an effective way to manage risks and boost your position on the market. But over-reliance on rigid derivatives or singular methods often proves inadequate when confronted with modern exposures. The best combination is firm-specific and requires continuous strategic alignment as corporate profiles and currency markets shift with globalisation. Through proactive use of tailored derivatives, pricing mechanisms, supply chain collaboration and structural configurations, multinationals can effectively mitigate foreign exchange </w:t>
      </w:r>
      <w:r>
        <w:lastRenderedPageBreak/>
        <w:t>risks to unlock value for international shareholders. To do so requires comprehensive approaches which integrate financial, operational and organisational dimensions across entities.</w:t>
      </w:r>
    </w:p>
    <w:p w:rsidR="00F309FB" w:rsidRDefault="00F309FB" w:rsidP="00F309FB"/>
    <w:p w:rsidR="00F309FB" w:rsidRDefault="00F309FB" w:rsidP="00F309FB"/>
    <w:p w:rsidR="00DA337C" w:rsidRPr="009D4007" w:rsidRDefault="009D4007" w:rsidP="009D4007">
      <w:pPr>
        <w:pStyle w:val="Heading1"/>
        <w:rPr>
          <w:b/>
          <w:color w:val="C00000"/>
        </w:rPr>
      </w:pPr>
      <w:bookmarkStart w:id="4" w:name="_Toc153901283"/>
      <w:r w:rsidRPr="009D4007">
        <w:rPr>
          <w:b/>
          <w:color w:val="C00000"/>
        </w:rPr>
        <w:t>References</w:t>
      </w:r>
      <w:bookmarkEnd w:id="4"/>
    </w:p>
    <w:p w:rsidR="009D4007" w:rsidRPr="009D4007" w:rsidRDefault="009D4007" w:rsidP="009D4007"/>
    <w:p w:rsidR="00DA337C" w:rsidRPr="00DA337C" w:rsidRDefault="00DA337C" w:rsidP="00DA337C">
      <w:proofErr w:type="spellStart"/>
      <w:r w:rsidRPr="00DA337C">
        <w:t>Aabo</w:t>
      </w:r>
      <w:proofErr w:type="spellEnd"/>
      <w:r w:rsidRPr="00DA337C">
        <w:t xml:space="preserve">, T., </w:t>
      </w:r>
      <w:proofErr w:type="spellStart"/>
      <w:r w:rsidRPr="00DA337C">
        <w:t>Høg</w:t>
      </w:r>
      <w:proofErr w:type="spellEnd"/>
      <w:r w:rsidRPr="00DA337C">
        <w:t>, E. and Kuhn, J., 2010. Integrated foreign exchange risk management: the role of importers and exporters. Managerial Finance, 36(10), pp.803-824.</w:t>
      </w:r>
    </w:p>
    <w:p w:rsidR="00DA337C" w:rsidRPr="00DA337C" w:rsidRDefault="00DA337C" w:rsidP="00DA337C">
      <w:proofErr w:type="spellStart"/>
      <w:r w:rsidRPr="00DA337C">
        <w:t>Allayannis</w:t>
      </w:r>
      <w:proofErr w:type="spellEnd"/>
      <w:r w:rsidRPr="00DA337C">
        <w:t xml:space="preserve">, G., </w:t>
      </w:r>
      <w:proofErr w:type="spellStart"/>
      <w:r w:rsidRPr="00DA337C">
        <w:t>Lel</w:t>
      </w:r>
      <w:proofErr w:type="spellEnd"/>
      <w:r w:rsidRPr="00DA337C">
        <w:t>, U. and Miller, D.P., 2012. The use of foreign currency derivatives, corporate governance, and firm value around the world. Journal of International Economics, 87(1), pp.65-79.</w:t>
      </w:r>
    </w:p>
    <w:p w:rsidR="00DA337C" w:rsidRPr="00DA337C" w:rsidRDefault="00DA337C" w:rsidP="00DA337C">
      <w:proofErr w:type="spellStart"/>
      <w:r w:rsidRPr="00DA337C">
        <w:t>Allayannis</w:t>
      </w:r>
      <w:proofErr w:type="spellEnd"/>
      <w:r w:rsidRPr="00DA337C">
        <w:t xml:space="preserve">, G. and </w:t>
      </w:r>
      <w:proofErr w:type="spellStart"/>
      <w:r w:rsidRPr="00DA337C">
        <w:t>Ofek</w:t>
      </w:r>
      <w:proofErr w:type="spellEnd"/>
      <w:r w:rsidRPr="00DA337C">
        <w:t>, E., 2001. Exchange rate exposure, hedging, and the use of foreign currency derivatives. Journal of international money and finance, 20(2), pp.273-296.</w:t>
      </w:r>
    </w:p>
    <w:p w:rsidR="00DA337C" w:rsidRPr="00DA337C" w:rsidRDefault="00DA337C" w:rsidP="00DA337C">
      <w:r w:rsidRPr="00DA337C">
        <w:t>Bartram, S.M., Brown, G.W. and Conrad, J., 2011. The effects of derivatives on firm risk and value. Journal of Financial and Quantitative Analysis, 46(4), pp.967-999.</w:t>
      </w:r>
    </w:p>
    <w:p w:rsidR="00DA337C" w:rsidRPr="00DA337C" w:rsidRDefault="00DA337C" w:rsidP="00DA337C">
      <w:proofErr w:type="spellStart"/>
      <w:r w:rsidRPr="00DA337C">
        <w:t>Brunhart</w:t>
      </w:r>
      <w:proofErr w:type="spellEnd"/>
      <w:r w:rsidRPr="00DA337C">
        <w:t>, A., 2016. Managing financial risks of multinational corporations: an overview. In Managing the Financial Risks of Global Operations (pp. 11-32). Palgrave Macmillan, London.</w:t>
      </w:r>
    </w:p>
    <w:p w:rsidR="00DA337C" w:rsidRPr="00DA337C" w:rsidRDefault="00DA337C" w:rsidP="00DA337C">
      <w:proofErr w:type="spellStart"/>
      <w:r w:rsidRPr="00DA337C">
        <w:t>Eiteman</w:t>
      </w:r>
      <w:proofErr w:type="spellEnd"/>
      <w:r w:rsidRPr="00DA337C">
        <w:t xml:space="preserve">, D.K., </w:t>
      </w:r>
      <w:proofErr w:type="spellStart"/>
      <w:r w:rsidRPr="00DA337C">
        <w:t>Stonehill</w:t>
      </w:r>
      <w:proofErr w:type="spellEnd"/>
      <w:r w:rsidRPr="00DA337C">
        <w:t>, A.I. and Moffett, M.H., 2022. Multinational business finance. Pearson.</w:t>
      </w:r>
    </w:p>
    <w:p w:rsidR="00DA337C" w:rsidRPr="00DA337C" w:rsidRDefault="00DA337C" w:rsidP="00DA337C">
      <w:proofErr w:type="spellStart"/>
      <w:r w:rsidRPr="00DA337C">
        <w:t>Fatemi</w:t>
      </w:r>
      <w:proofErr w:type="spellEnd"/>
      <w:r w:rsidRPr="00DA337C">
        <w:t>, A.M., 1988. The effects of international diversification on corporate financing policy. Journal of Business research, 16(1), pp.17-30.</w:t>
      </w:r>
    </w:p>
    <w:p w:rsidR="00DA337C" w:rsidRPr="00DA337C" w:rsidRDefault="00DA337C" w:rsidP="00DA337C">
      <w:r w:rsidRPr="00DA337C">
        <w:t xml:space="preserve">Giddy, I.H. and </w:t>
      </w:r>
      <w:proofErr w:type="spellStart"/>
      <w:r w:rsidRPr="00DA337C">
        <w:t>Dufey</w:t>
      </w:r>
      <w:proofErr w:type="spellEnd"/>
      <w:r w:rsidRPr="00DA337C">
        <w:t>, G., 2022. The management of foreign exchange risk.</w:t>
      </w:r>
    </w:p>
    <w:p w:rsidR="00DA337C" w:rsidRPr="00DA337C" w:rsidRDefault="00DA337C" w:rsidP="00DA337C">
      <w:r w:rsidRPr="00DA337C">
        <w:t xml:space="preserve">Goldberg, L.S. and </w:t>
      </w:r>
      <w:proofErr w:type="spellStart"/>
      <w:r w:rsidRPr="00DA337C">
        <w:t>Tille</w:t>
      </w:r>
      <w:proofErr w:type="spellEnd"/>
      <w:r w:rsidRPr="00DA337C">
        <w:t>, C., 2022. Micro, macro, and strategic forces in international trade invoicing: Synthesis and novel patterns. Journal of International Economics, 133, p.103612.</w:t>
      </w:r>
    </w:p>
    <w:p w:rsidR="00DA337C" w:rsidRPr="00DA337C" w:rsidRDefault="00DA337C" w:rsidP="00DA337C">
      <w:proofErr w:type="spellStart"/>
      <w:r w:rsidRPr="00DA337C">
        <w:t>Hilson</w:t>
      </w:r>
      <w:proofErr w:type="spellEnd"/>
      <w:r w:rsidRPr="00DA337C">
        <w:t>, C. and Murray-Webster, R., 2022. Understanding and managing risk attitude. Routledge.</w:t>
      </w:r>
    </w:p>
    <w:p w:rsidR="00DA337C" w:rsidRPr="00DA337C" w:rsidRDefault="00DA337C" w:rsidP="00DA337C">
      <w:r w:rsidRPr="00DA337C">
        <w:t>Madura, J., 2022. International financial management. Cengage learning.</w:t>
      </w:r>
    </w:p>
    <w:p w:rsidR="00DA337C" w:rsidRPr="00DA337C" w:rsidRDefault="00DA337C" w:rsidP="00DA337C">
      <w:r w:rsidRPr="00DA337C">
        <w:t>Shapiro, A.C., 2022. Multinational financial management. John Wiley &amp; Sons.</w:t>
      </w:r>
    </w:p>
    <w:p w:rsidR="00C43B92" w:rsidRDefault="00C43B92"/>
    <w:sectPr w:rsidR="00C43B92" w:rsidSect="00BB14F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A337C"/>
    <w:rsid w:val="000B2B28"/>
    <w:rsid w:val="000C125B"/>
    <w:rsid w:val="003F73EB"/>
    <w:rsid w:val="009D4007"/>
    <w:rsid w:val="00B00E03"/>
    <w:rsid w:val="00BA7B01"/>
    <w:rsid w:val="00BB14FC"/>
    <w:rsid w:val="00C43B92"/>
    <w:rsid w:val="00DA337C"/>
    <w:rsid w:val="00F309F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14FC"/>
  </w:style>
  <w:style w:type="paragraph" w:styleId="Heading1">
    <w:name w:val="heading 1"/>
    <w:basedOn w:val="Normal"/>
    <w:next w:val="Normal"/>
    <w:link w:val="Heading1Char"/>
    <w:uiPriority w:val="9"/>
    <w:qFormat/>
    <w:rsid w:val="009D400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00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D4007"/>
    <w:pPr>
      <w:outlineLvl w:val="9"/>
    </w:pPr>
    <w:rPr>
      <w:lang w:val="en-US"/>
    </w:rPr>
  </w:style>
  <w:style w:type="paragraph" w:styleId="TOC1">
    <w:name w:val="toc 1"/>
    <w:basedOn w:val="Normal"/>
    <w:next w:val="Normal"/>
    <w:autoRedefine/>
    <w:uiPriority w:val="39"/>
    <w:unhideWhenUsed/>
    <w:rsid w:val="009D4007"/>
    <w:pPr>
      <w:spacing w:after="100"/>
    </w:pPr>
  </w:style>
  <w:style w:type="character" w:styleId="Hyperlink">
    <w:name w:val="Hyperlink"/>
    <w:basedOn w:val="DefaultParagraphFont"/>
    <w:uiPriority w:val="99"/>
    <w:unhideWhenUsed/>
    <w:rsid w:val="009D4007"/>
    <w:rPr>
      <w:color w:val="0563C1" w:themeColor="hyperlink"/>
      <w:u w:val="single"/>
    </w:rPr>
  </w:style>
  <w:style w:type="paragraph" w:styleId="BalloonText">
    <w:name w:val="Balloon Text"/>
    <w:basedOn w:val="Normal"/>
    <w:link w:val="BalloonTextChar"/>
    <w:uiPriority w:val="99"/>
    <w:semiHidden/>
    <w:unhideWhenUsed/>
    <w:rsid w:val="003F73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3E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31557286">
      <w:bodyDiv w:val="1"/>
      <w:marLeft w:val="0"/>
      <w:marRight w:val="0"/>
      <w:marTop w:val="0"/>
      <w:marBottom w:val="0"/>
      <w:divBdr>
        <w:top w:val="none" w:sz="0" w:space="0" w:color="auto"/>
        <w:left w:val="none" w:sz="0" w:space="0" w:color="auto"/>
        <w:bottom w:val="none" w:sz="0" w:space="0" w:color="auto"/>
        <w:right w:val="none" w:sz="0" w:space="0" w:color="auto"/>
      </w:divBdr>
    </w:div>
    <w:div w:id="217859042">
      <w:bodyDiv w:val="1"/>
      <w:marLeft w:val="0"/>
      <w:marRight w:val="0"/>
      <w:marTop w:val="0"/>
      <w:marBottom w:val="0"/>
      <w:divBdr>
        <w:top w:val="none" w:sz="0" w:space="0" w:color="auto"/>
        <w:left w:val="none" w:sz="0" w:space="0" w:color="auto"/>
        <w:bottom w:val="none" w:sz="0" w:space="0" w:color="auto"/>
        <w:right w:val="none" w:sz="0" w:space="0" w:color="auto"/>
      </w:divBdr>
    </w:div>
    <w:div w:id="237133522">
      <w:bodyDiv w:val="1"/>
      <w:marLeft w:val="0"/>
      <w:marRight w:val="0"/>
      <w:marTop w:val="0"/>
      <w:marBottom w:val="0"/>
      <w:divBdr>
        <w:top w:val="none" w:sz="0" w:space="0" w:color="auto"/>
        <w:left w:val="none" w:sz="0" w:space="0" w:color="auto"/>
        <w:bottom w:val="none" w:sz="0" w:space="0" w:color="auto"/>
        <w:right w:val="none" w:sz="0" w:space="0" w:color="auto"/>
      </w:divBdr>
    </w:div>
    <w:div w:id="436995095">
      <w:bodyDiv w:val="1"/>
      <w:marLeft w:val="0"/>
      <w:marRight w:val="0"/>
      <w:marTop w:val="0"/>
      <w:marBottom w:val="0"/>
      <w:divBdr>
        <w:top w:val="none" w:sz="0" w:space="0" w:color="auto"/>
        <w:left w:val="none" w:sz="0" w:space="0" w:color="auto"/>
        <w:bottom w:val="none" w:sz="0" w:space="0" w:color="auto"/>
        <w:right w:val="none" w:sz="0" w:space="0" w:color="auto"/>
      </w:divBdr>
    </w:div>
    <w:div w:id="622689056">
      <w:bodyDiv w:val="1"/>
      <w:marLeft w:val="0"/>
      <w:marRight w:val="0"/>
      <w:marTop w:val="0"/>
      <w:marBottom w:val="0"/>
      <w:divBdr>
        <w:top w:val="none" w:sz="0" w:space="0" w:color="auto"/>
        <w:left w:val="none" w:sz="0" w:space="0" w:color="auto"/>
        <w:bottom w:val="none" w:sz="0" w:space="0" w:color="auto"/>
        <w:right w:val="none" w:sz="0" w:space="0" w:color="auto"/>
      </w:divBdr>
    </w:div>
    <w:div w:id="1100219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EC6EB8-298A-437E-954C-4A6E46D85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2151</Words>
  <Characters>12267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Golden Boy</dc:creator>
  <cp:lastModifiedBy>Alina</cp:lastModifiedBy>
  <cp:revision>4</cp:revision>
  <dcterms:created xsi:type="dcterms:W3CDTF">2024-01-01T23:33:00Z</dcterms:created>
  <dcterms:modified xsi:type="dcterms:W3CDTF">2024-01-01T23:50:00Z</dcterms:modified>
</cp:coreProperties>
</file>