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6812A" w14:textId="3CEC36DF" w:rsidR="009B5C2E" w:rsidRPr="009B5C2E" w:rsidRDefault="009B5C2E" w:rsidP="009B5C2E">
      <w:pPr>
        <w:overflowPunct w:val="0"/>
        <w:autoSpaceDE w:val="0"/>
        <w:autoSpaceDN w:val="0"/>
        <w:adjustRightInd w:val="0"/>
        <w:spacing w:line="240" w:lineRule="auto"/>
        <w:jc w:val="both"/>
        <w:textAlignment w:val="baseline"/>
        <w:rPr>
          <w:rFonts w:ascii="Arial" w:eastAsia="Times New Roman" w:hAnsi="Arial" w:cs="Arial"/>
          <w:b/>
          <w:bCs/>
          <w:sz w:val="20"/>
          <w:szCs w:val="20"/>
          <w:u w:val="single"/>
          <w:lang w:eastAsia="en-GB"/>
        </w:rPr>
      </w:pPr>
      <w:r w:rsidRPr="009B5C2E">
        <w:rPr>
          <w:rFonts w:ascii="Arial" w:eastAsia="Times New Roman" w:hAnsi="Arial" w:cs="Arial"/>
          <w:b/>
          <w:bCs/>
          <w:sz w:val="20"/>
          <w:szCs w:val="20"/>
          <w:u w:val="single"/>
          <w:lang w:eastAsia="en-GB"/>
        </w:rPr>
        <w:t>Assess the role of community policing in fostering and maintaining community cohesion.</w:t>
      </w:r>
    </w:p>
    <w:p w14:paraId="626D2C12" w14:textId="5B155F51"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The expression c</w:t>
      </w:r>
      <w:r w:rsidRPr="00E32574">
        <w:rPr>
          <w:rFonts w:ascii="Arial" w:eastAsia="Times New Roman" w:hAnsi="Arial" w:cs="Arial"/>
          <w:sz w:val="20"/>
          <w:szCs w:val="20"/>
          <w:lang w:eastAsia="en-GB"/>
        </w:rPr>
        <w:t>ommunity</w:t>
      </w:r>
      <w:r>
        <w:rPr>
          <w:rFonts w:ascii="Arial" w:eastAsia="Times New Roman" w:hAnsi="Arial" w:cs="Arial"/>
          <w:sz w:val="20"/>
          <w:szCs w:val="20"/>
          <w:lang w:eastAsia="en-GB"/>
        </w:rPr>
        <w:t xml:space="preserve"> cohesion is used to describe neighbourhoods featuring strong and positive relationships between all persons within the community, regardless of their backgrounds. “Cohesion” relates to a shared, common vision and a sense of belonging among the community, therefore diversity of people’s backgrounds needs to be valued and similar opportunities available to people of all walks of life. Cohesion of communities is intrinsic to a functioning society and is therefore directly linked with the role of the police within communities. Community Policing is one of three competing models, in addition to Problem-oriented policing and intelligence-led policing. Community policing does not have a clear definition but has most recently been referred to as a “philosophy of policing which defines the nature of a new kind of relationship between the police and the public” </w:t>
      </w:r>
      <w:r w:rsidRPr="00944440">
        <w:rPr>
          <w:rFonts w:ascii="Arial" w:eastAsia="Times New Roman" w:hAnsi="Arial" w:cs="Arial"/>
          <w:sz w:val="20"/>
          <w:szCs w:val="20"/>
          <w:lang w:eastAsia="en-GB"/>
        </w:rPr>
        <w:t>(Bennett</w:t>
      </w:r>
      <w:r>
        <w:rPr>
          <w:rFonts w:ascii="Arial" w:eastAsia="Times New Roman" w:hAnsi="Arial" w:cs="Arial"/>
          <w:sz w:val="20"/>
          <w:szCs w:val="20"/>
          <w:lang w:eastAsia="en-GB"/>
        </w:rPr>
        <w:t>, 2008</w:t>
      </w:r>
      <w:r w:rsidRPr="00944440">
        <w:rPr>
          <w:rFonts w:ascii="Arial" w:eastAsia="Times New Roman" w:hAnsi="Arial" w:cs="Arial"/>
          <w:sz w:val="20"/>
          <w:szCs w:val="20"/>
          <w:lang w:eastAsia="en-GB"/>
        </w:rPr>
        <w:t>)</w:t>
      </w:r>
      <w:r>
        <w:rPr>
          <w:rFonts w:ascii="Arial" w:eastAsia="Times New Roman" w:hAnsi="Arial" w:cs="Arial"/>
          <w:sz w:val="20"/>
          <w:szCs w:val="20"/>
          <w:lang w:eastAsia="en-GB"/>
        </w:rPr>
        <w:t>. The nature of the relationship between the public and the police has a substantial impact on the solidity of the community, with breakdowns in this relationship leading to inequality of opportunities of different people in the community and negative perceptions of the police. These create a snowball effect which will be explored to assess the importance of the police within society. This essay will explore significant historic events that have influenced community engagement with the police, the benefits of community engagement and the barriers to community policing and cohesion.</w:t>
      </w:r>
    </w:p>
    <w:p w14:paraId="1140986A" w14:textId="77777777"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The original concept of neighbourhood policing can be traced back to the early 18</w:t>
      </w:r>
      <w:r w:rsidRPr="00106092">
        <w:rPr>
          <w:rFonts w:ascii="Arial" w:eastAsia="Times New Roman" w:hAnsi="Arial" w:cs="Arial"/>
          <w:sz w:val="20"/>
          <w:szCs w:val="20"/>
          <w:vertAlign w:val="superscript"/>
          <w:lang w:eastAsia="en-GB"/>
        </w:rPr>
        <w:t>th</w:t>
      </w:r>
      <w:r>
        <w:rPr>
          <w:rFonts w:ascii="Arial" w:eastAsia="Times New Roman" w:hAnsi="Arial" w:cs="Arial"/>
          <w:sz w:val="20"/>
          <w:szCs w:val="20"/>
          <w:lang w:eastAsia="en-GB"/>
        </w:rPr>
        <w:t xml:space="preserve"> century when members of the local community undertook roles known as “watchmen” </w:t>
      </w:r>
      <w:r w:rsidRPr="00106092">
        <w:rPr>
          <w:rFonts w:ascii="Arial" w:eastAsia="Times New Roman" w:hAnsi="Arial" w:cs="Arial"/>
          <w:sz w:val="20"/>
          <w:szCs w:val="20"/>
          <w:lang w:eastAsia="en-GB"/>
        </w:rPr>
        <w:t>(UK Parliament)</w:t>
      </w:r>
      <w:r>
        <w:rPr>
          <w:rFonts w:ascii="Arial" w:eastAsia="Times New Roman" w:hAnsi="Arial" w:cs="Arial"/>
          <w:sz w:val="20"/>
          <w:szCs w:val="20"/>
          <w:lang w:eastAsia="en-GB"/>
        </w:rPr>
        <w:t xml:space="preserve">. In current times, </w:t>
      </w:r>
      <w:proofErr w:type="gramStart"/>
      <w:r>
        <w:rPr>
          <w:rFonts w:ascii="Arial" w:eastAsia="Times New Roman" w:hAnsi="Arial" w:cs="Arial"/>
          <w:sz w:val="20"/>
          <w:szCs w:val="20"/>
          <w:lang w:eastAsia="en-GB"/>
        </w:rPr>
        <w:t>it is clear that the</w:t>
      </w:r>
      <w:proofErr w:type="gramEnd"/>
      <w:r>
        <w:rPr>
          <w:rFonts w:ascii="Arial" w:eastAsia="Times New Roman" w:hAnsi="Arial" w:cs="Arial"/>
          <w:sz w:val="20"/>
          <w:szCs w:val="20"/>
          <w:lang w:eastAsia="en-GB"/>
        </w:rPr>
        <w:t xml:space="preserve"> gap between the public and the Police has widened significantly, and this can be seen as a direct result in several failings of Police Forces across Wales and England over the past century. It is vital to review and analyse events through history </w:t>
      </w:r>
      <w:proofErr w:type="gramStart"/>
      <w:r>
        <w:rPr>
          <w:rFonts w:ascii="Arial" w:eastAsia="Times New Roman" w:hAnsi="Arial" w:cs="Arial"/>
          <w:sz w:val="20"/>
          <w:szCs w:val="20"/>
          <w:lang w:eastAsia="en-GB"/>
        </w:rPr>
        <w:t>in order to</w:t>
      </w:r>
      <w:proofErr w:type="gramEnd"/>
      <w:r>
        <w:rPr>
          <w:rFonts w:ascii="Arial" w:eastAsia="Times New Roman" w:hAnsi="Arial" w:cs="Arial"/>
          <w:sz w:val="20"/>
          <w:szCs w:val="20"/>
          <w:lang w:eastAsia="en-GB"/>
        </w:rPr>
        <w:t xml:space="preserve"> work towards a more efficient and progressive future. This is particularly important when considering the role of the Police within communities and in a broader context, society itself. One of the most infamous events of the past few decades in terms of Policing in the community was the Brixton Riots of 1981. In an article written in 2021, 40 years on from the event, </w:t>
      </w:r>
      <w:proofErr w:type="spellStart"/>
      <w:r>
        <w:rPr>
          <w:rFonts w:ascii="Arial" w:eastAsia="Times New Roman" w:hAnsi="Arial" w:cs="Arial"/>
          <w:sz w:val="20"/>
          <w:szCs w:val="20"/>
          <w:lang w:eastAsia="en-GB"/>
        </w:rPr>
        <w:t>Aamna</w:t>
      </w:r>
      <w:proofErr w:type="spellEnd"/>
      <w:r>
        <w:rPr>
          <w:rFonts w:ascii="Arial" w:eastAsia="Times New Roman" w:hAnsi="Arial" w:cs="Arial"/>
          <w:sz w:val="20"/>
          <w:szCs w:val="20"/>
          <w:lang w:eastAsia="en-GB"/>
        </w:rPr>
        <w:t xml:space="preserve"> </w:t>
      </w:r>
      <w:proofErr w:type="spellStart"/>
      <w:r>
        <w:rPr>
          <w:rFonts w:ascii="Arial" w:eastAsia="Times New Roman" w:hAnsi="Arial" w:cs="Arial"/>
          <w:sz w:val="20"/>
          <w:szCs w:val="20"/>
          <w:lang w:eastAsia="en-GB"/>
        </w:rPr>
        <w:t>Modhin</w:t>
      </w:r>
      <w:proofErr w:type="spellEnd"/>
      <w:r>
        <w:rPr>
          <w:rFonts w:ascii="Arial" w:eastAsia="Times New Roman" w:hAnsi="Arial" w:cs="Arial"/>
          <w:sz w:val="20"/>
          <w:szCs w:val="20"/>
          <w:lang w:eastAsia="en-GB"/>
        </w:rPr>
        <w:t xml:space="preserve"> reflects on the chaos of the Brixton Riots as well the reasons behind why they occurred and how the Riots became a catalyst for change within Policing in England Wales. ‘Operation Swamp’ was the name given to the Police exercise whereby around 100 plain-clothed Police Officers patrolled the streets of Brixton and within just one week, stopped over 1,000 black men and arrested around 100 of them for varying offences. On one of the final days of the planned Police operation, PC </w:t>
      </w:r>
      <w:proofErr w:type="spellStart"/>
      <w:r>
        <w:rPr>
          <w:rFonts w:ascii="Arial" w:eastAsia="Times New Roman" w:hAnsi="Arial" w:cs="Arial"/>
          <w:sz w:val="20"/>
          <w:szCs w:val="20"/>
          <w:lang w:eastAsia="en-GB"/>
        </w:rPr>
        <w:t>Margiotta</w:t>
      </w:r>
      <w:proofErr w:type="spellEnd"/>
      <w:r>
        <w:rPr>
          <w:rFonts w:ascii="Arial" w:eastAsia="Times New Roman" w:hAnsi="Arial" w:cs="Arial"/>
          <w:sz w:val="20"/>
          <w:szCs w:val="20"/>
          <w:lang w:eastAsia="en-GB"/>
        </w:rPr>
        <w:t xml:space="preserve"> stopped a young black man who was bleeding from a stab wound. The male ran off from the officer and rumours then spread that Police had prevented the male accessing medical attention, resulting in his death shortly after. Tension grew within the community due to them deeming the Police patrols targeted and unfair. Subsequently, the </w:t>
      </w:r>
      <w:proofErr w:type="gramStart"/>
      <w:r>
        <w:rPr>
          <w:rFonts w:ascii="Arial" w:eastAsia="Times New Roman" w:hAnsi="Arial" w:cs="Arial"/>
          <w:sz w:val="20"/>
          <w:szCs w:val="20"/>
          <w:lang w:eastAsia="en-GB"/>
        </w:rPr>
        <w:t>11</w:t>
      </w:r>
      <w:r w:rsidRPr="00E6371A">
        <w:rPr>
          <w:rFonts w:ascii="Arial" w:eastAsia="Times New Roman" w:hAnsi="Arial" w:cs="Arial"/>
          <w:sz w:val="20"/>
          <w:szCs w:val="20"/>
          <w:vertAlign w:val="superscript"/>
          <w:lang w:eastAsia="en-GB"/>
        </w:rPr>
        <w:t>th</w:t>
      </w:r>
      <w:proofErr w:type="gramEnd"/>
      <w:r>
        <w:rPr>
          <w:rFonts w:ascii="Arial" w:eastAsia="Times New Roman" w:hAnsi="Arial" w:cs="Arial"/>
          <w:sz w:val="20"/>
          <w:szCs w:val="20"/>
          <w:lang w:eastAsia="en-GB"/>
        </w:rPr>
        <w:t xml:space="preserve"> April instead of being the last planned day of Operation Swamp, became the first day of the Brixton Riots. The Riots spanned the entire weekend and caused an estimated £7.5 million in damage as well as resulting in around 350 people being injured, including rioters and Police officers </w:t>
      </w:r>
      <w:r w:rsidRPr="00E6371A">
        <w:rPr>
          <w:rFonts w:ascii="Arial" w:eastAsia="Times New Roman" w:hAnsi="Arial" w:cs="Arial"/>
          <w:sz w:val="20"/>
          <w:szCs w:val="20"/>
          <w:lang w:eastAsia="en-GB"/>
        </w:rPr>
        <w:t>(</w:t>
      </w:r>
      <w:proofErr w:type="spellStart"/>
      <w:r w:rsidRPr="00E6371A">
        <w:rPr>
          <w:rFonts w:ascii="Arial" w:eastAsia="Times New Roman" w:hAnsi="Arial" w:cs="Arial"/>
          <w:sz w:val="20"/>
          <w:szCs w:val="20"/>
          <w:lang w:eastAsia="en-GB"/>
        </w:rPr>
        <w:t>Mohdin</w:t>
      </w:r>
      <w:proofErr w:type="spellEnd"/>
      <w:r>
        <w:rPr>
          <w:rFonts w:ascii="Arial" w:eastAsia="Times New Roman" w:hAnsi="Arial" w:cs="Arial"/>
          <w:sz w:val="20"/>
          <w:szCs w:val="20"/>
          <w:lang w:eastAsia="en-GB"/>
        </w:rPr>
        <w:t>, 2021</w:t>
      </w:r>
      <w:r w:rsidRPr="00E6371A">
        <w:rPr>
          <w:rFonts w:ascii="Arial" w:eastAsia="Times New Roman" w:hAnsi="Arial" w:cs="Arial"/>
          <w:sz w:val="20"/>
          <w:szCs w:val="20"/>
          <w:lang w:eastAsia="en-GB"/>
        </w:rPr>
        <w:t>)</w:t>
      </w:r>
      <w:r>
        <w:rPr>
          <w:rFonts w:ascii="Arial" w:eastAsia="Times New Roman" w:hAnsi="Arial" w:cs="Arial"/>
          <w:sz w:val="20"/>
          <w:szCs w:val="20"/>
          <w:lang w:eastAsia="en-GB"/>
        </w:rPr>
        <w:t xml:space="preserve">. Around four years after the riots, Lord Scarman produced the Scarman Report which in-turn brought about the Police and Criminal Evidence Act 1984. The report examined the reasons behind why the people of Brixton rioted and found that young, black youths who came from deprived backgrounds were being unfairly treated by the Police and their use of the “Sus Laws” </w:t>
      </w:r>
      <w:r w:rsidRPr="001D654A">
        <w:rPr>
          <w:rFonts w:ascii="Arial" w:eastAsia="Times New Roman" w:hAnsi="Arial" w:cs="Arial"/>
          <w:sz w:val="20"/>
          <w:szCs w:val="20"/>
          <w:lang w:eastAsia="en-GB"/>
        </w:rPr>
        <w:t>(Jefferson</w:t>
      </w:r>
      <w:r>
        <w:rPr>
          <w:rFonts w:ascii="Arial" w:eastAsia="Times New Roman" w:hAnsi="Arial" w:cs="Arial"/>
          <w:sz w:val="20"/>
          <w:szCs w:val="20"/>
          <w:lang w:eastAsia="en-GB"/>
        </w:rPr>
        <w:t>, 2012</w:t>
      </w:r>
      <w:r w:rsidRPr="001D654A">
        <w:rPr>
          <w:rFonts w:ascii="Arial" w:eastAsia="Times New Roman" w:hAnsi="Arial" w:cs="Arial"/>
          <w:sz w:val="20"/>
          <w:szCs w:val="20"/>
          <w:lang w:eastAsia="en-GB"/>
        </w:rPr>
        <w:t>)</w:t>
      </w:r>
      <w:r>
        <w:rPr>
          <w:rFonts w:ascii="Arial" w:eastAsia="Times New Roman" w:hAnsi="Arial" w:cs="Arial"/>
          <w:sz w:val="20"/>
          <w:szCs w:val="20"/>
          <w:lang w:eastAsia="en-GB"/>
        </w:rPr>
        <w:t xml:space="preserve">. The Police and Criminal Evidence Act is a written basis for the powers held by the Police to prevent and detect crime, and more significantly, it lays out the codes of practice for the exercise of these powers by officers </w:t>
      </w:r>
      <w:r w:rsidRPr="00067C66">
        <w:rPr>
          <w:rFonts w:ascii="Arial" w:eastAsia="Times New Roman" w:hAnsi="Arial" w:cs="Arial"/>
          <w:sz w:val="20"/>
          <w:szCs w:val="20"/>
          <w:lang w:eastAsia="en-GB"/>
        </w:rPr>
        <w:t>(Gov.uk)</w:t>
      </w:r>
      <w:r>
        <w:rPr>
          <w:rFonts w:ascii="Arial" w:eastAsia="Times New Roman" w:hAnsi="Arial" w:cs="Arial"/>
          <w:sz w:val="20"/>
          <w:szCs w:val="20"/>
          <w:lang w:eastAsia="en-GB"/>
        </w:rPr>
        <w:t xml:space="preserve">. </w:t>
      </w:r>
    </w:p>
    <w:p w14:paraId="7623E73B" w14:textId="77777777"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The Brixton Riots are one of the first examples highlighting the divide between communities and the Police widening and showed how the public no longer wished to engage with the Police. This divide remains prevalent in the 21</w:t>
      </w:r>
      <w:r w:rsidRPr="00067C66">
        <w:rPr>
          <w:rFonts w:ascii="Arial" w:eastAsia="Times New Roman" w:hAnsi="Arial" w:cs="Arial"/>
          <w:sz w:val="20"/>
          <w:szCs w:val="20"/>
          <w:vertAlign w:val="superscript"/>
          <w:lang w:eastAsia="en-GB"/>
        </w:rPr>
        <w:t>st</w:t>
      </w:r>
      <w:r>
        <w:rPr>
          <w:rFonts w:ascii="Arial" w:eastAsia="Times New Roman" w:hAnsi="Arial" w:cs="Arial"/>
          <w:sz w:val="20"/>
          <w:szCs w:val="20"/>
          <w:lang w:eastAsia="en-GB"/>
        </w:rPr>
        <w:t xml:space="preserve"> century with the London 2011 Riots, which occurred following the death of Mark Duggan. Mark Duggan was one of the focuses of the Metropolitan Police’s “Operation Trident”. The aim of the operation was to target and reduce gun crime in black communities within the Force area. On the </w:t>
      </w:r>
      <w:proofErr w:type="gramStart"/>
      <w:r>
        <w:rPr>
          <w:rFonts w:ascii="Arial" w:eastAsia="Times New Roman" w:hAnsi="Arial" w:cs="Arial"/>
          <w:sz w:val="20"/>
          <w:szCs w:val="20"/>
          <w:lang w:eastAsia="en-GB"/>
        </w:rPr>
        <w:t>4</w:t>
      </w:r>
      <w:r w:rsidRPr="00440CE3">
        <w:rPr>
          <w:rFonts w:ascii="Arial" w:eastAsia="Times New Roman" w:hAnsi="Arial" w:cs="Arial"/>
          <w:sz w:val="20"/>
          <w:szCs w:val="20"/>
          <w:vertAlign w:val="superscript"/>
          <w:lang w:eastAsia="en-GB"/>
        </w:rPr>
        <w:t>th</w:t>
      </w:r>
      <w:proofErr w:type="gramEnd"/>
      <w:r>
        <w:rPr>
          <w:rFonts w:ascii="Arial" w:eastAsia="Times New Roman" w:hAnsi="Arial" w:cs="Arial"/>
          <w:sz w:val="20"/>
          <w:szCs w:val="20"/>
          <w:lang w:eastAsia="en-GB"/>
        </w:rPr>
        <w:t xml:space="preserve"> August 2011, when Police pulled the taxi over that Duggan was travelling in, he leapt out of the vehicle and was shot by an officer resulting in his death. A gun was found near the body of </w:t>
      </w:r>
      <w:proofErr w:type="gramStart"/>
      <w:r>
        <w:rPr>
          <w:rFonts w:ascii="Arial" w:eastAsia="Times New Roman" w:hAnsi="Arial" w:cs="Arial"/>
          <w:sz w:val="20"/>
          <w:szCs w:val="20"/>
          <w:lang w:eastAsia="en-GB"/>
        </w:rPr>
        <w:t>Duggan</w:t>
      </w:r>
      <w:proofErr w:type="gramEnd"/>
      <w:r>
        <w:rPr>
          <w:rFonts w:ascii="Arial" w:eastAsia="Times New Roman" w:hAnsi="Arial" w:cs="Arial"/>
          <w:sz w:val="20"/>
          <w:szCs w:val="20"/>
          <w:lang w:eastAsia="en-GB"/>
        </w:rPr>
        <w:t xml:space="preserve"> but it had not been fired. News of Duggan’s death spread the community and members of the community then began attacking the Police and looting, which also transcended into setting fires to local shops and putting other members of the public in danger. The effects of the riots were wide-ranging with five people dying, over 200 sustained injuries and millions of pounds of damage was caused </w:t>
      </w:r>
      <w:r w:rsidRPr="00440CE3">
        <w:rPr>
          <w:rFonts w:ascii="Arial" w:eastAsia="Times New Roman" w:hAnsi="Arial" w:cs="Arial"/>
          <w:sz w:val="20"/>
          <w:szCs w:val="20"/>
          <w:lang w:eastAsia="en-GB"/>
        </w:rPr>
        <w:t>(Bell</w:t>
      </w:r>
      <w:r>
        <w:rPr>
          <w:rFonts w:ascii="Arial" w:eastAsia="Times New Roman" w:hAnsi="Arial" w:cs="Arial"/>
          <w:sz w:val="20"/>
          <w:szCs w:val="20"/>
          <w:lang w:eastAsia="en-GB"/>
        </w:rPr>
        <w:t>, 2021</w:t>
      </w:r>
      <w:r w:rsidRPr="00440CE3">
        <w:rPr>
          <w:rFonts w:ascii="Arial" w:eastAsia="Times New Roman" w:hAnsi="Arial" w:cs="Arial"/>
          <w:sz w:val="20"/>
          <w:szCs w:val="20"/>
          <w:lang w:eastAsia="en-GB"/>
        </w:rPr>
        <w:t>)</w:t>
      </w:r>
      <w:r>
        <w:rPr>
          <w:rFonts w:ascii="Arial" w:eastAsia="Times New Roman" w:hAnsi="Arial" w:cs="Arial"/>
          <w:sz w:val="20"/>
          <w:szCs w:val="20"/>
          <w:lang w:eastAsia="en-GB"/>
        </w:rPr>
        <w:t>.</w:t>
      </w:r>
    </w:p>
    <w:p w14:paraId="5A6AC2A2" w14:textId="77777777"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These events emphasised the importance of community engagement </w:t>
      </w:r>
      <w:proofErr w:type="gramStart"/>
      <w:r>
        <w:rPr>
          <w:rFonts w:ascii="Arial" w:eastAsia="Times New Roman" w:hAnsi="Arial" w:cs="Arial"/>
          <w:sz w:val="20"/>
          <w:szCs w:val="20"/>
          <w:lang w:eastAsia="en-GB"/>
        </w:rPr>
        <w:t>in order to</w:t>
      </w:r>
      <w:proofErr w:type="gramEnd"/>
      <w:r>
        <w:rPr>
          <w:rFonts w:ascii="Arial" w:eastAsia="Times New Roman" w:hAnsi="Arial" w:cs="Arial"/>
          <w:sz w:val="20"/>
          <w:szCs w:val="20"/>
          <w:lang w:eastAsia="en-GB"/>
        </w:rPr>
        <w:t xml:space="preserve"> improve the confidence of the Public within the Police service. One of the more visual steps taken was the creation of the role of Police Community Support Officers. The Home Secretary at the time, David Blunkett, created the </w:t>
      </w:r>
      <w:r>
        <w:rPr>
          <w:rFonts w:ascii="Arial" w:eastAsia="Times New Roman" w:hAnsi="Arial" w:cs="Arial"/>
          <w:sz w:val="20"/>
          <w:szCs w:val="20"/>
          <w:lang w:eastAsia="en-GB"/>
        </w:rPr>
        <w:lastRenderedPageBreak/>
        <w:t xml:space="preserve">role to respond to lower-level community issues such as Anti-social Behaviour, </w:t>
      </w:r>
      <w:proofErr w:type="gramStart"/>
      <w:r>
        <w:rPr>
          <w:rFonts w:ascii="Arial" w:eastAsia="Times New Roman" w:hAnsi="Arial" w:cs="Arial"/>
          <w:sz w:val="20"/>
          <w:szCs w:val="20"/>
          <w:lang w:eastAsia="en-GB"/>
        </w:rPr>
        <w:t>and also</w:t>
      </w:r>
      <w:proofErr w:type="gramEnd"/>
      <w:r>
        <w:rPr>
          <w:rFonts w:ascii="Arial" w:eastAsia="Times New Roman" w:hAnsi="Arial" w:cs="Arial"/>
          <w:sz w:val="20"/>
          <w:szCs w:val="20"/>
          <w:lang w:eastAsia="en-GB"/>
        </w:rPr>
        <w:t xml:space="preserve"> to provide a more prominent uniformed presence within communities </w:t>
      </w:r>
      <w:r w:rsidRPr="004C22C8">
        <w:rPr>
          <w:rFonts w:ascii="Arial" w:eastAsia="Times New Roman" w:hAnsi="Arial" w:cs="Arial"/>
          <w:sz w:val="20"/>
          <w:szCs w:val="20"/>
          <w:lang w:eastAsia="en-GB"/>
        </w:rPr>
        <w:t>(The Police Foundation)</w:t>
      </w:r>
      <w:r>
        <w:rPr>
          <w:rFonts w:ascii="Arial" w:eastAsia="Times New Roman" w:hAnsi="Arial" w:cs="Arial"/>
          <w:sz w:val="20"/>
          <w:szCs w:val="20"/>
          <w:lang w:eastAsia="en-GB"/>
        </w:rPr>
        <w:t xml:space="preserve">. The British Crime Survey found in 2004-2005 that more officers on foot patrol and permanently based PCSOs were the leading factors in what made members of the public feel safest in their homes </w:t>
      </w:r>
      <w:r w:rsidRPr="00EA0B6B">
        <w:rPr>
          <w:rFonts w:ascii="Arial" w:eastAsia="Times New Roman" w:hAnsi="Arial" w:cs="Arial"/>
          <w:sz w:val="20"/>
          <w:szCs w:val="20"/>
          <w:lang w:eastAsia="en-GB"/>
        </w:rPr>
        <w:t>(</w:t>
      </w:r>
      <w:proofErr w:type="spellStart"/>
      <w:r w:rsidRPr="00EA0B6B">
        <w:rPr>
          <w:rFonts w:ascii="Arial" w:eastAsia="Times New Roman" w:hAnsi="Arial" w:cs="Arial"/>
          <w:sz w:val="20"/>
          <w:szCs w:val="20"/>
          <w:lang w:eastAsia="en-GB"/>
        </w:rPr>
        <w:t>Upson</w:t>
      </w:r>
      <w:proofErr w:type="spellEnd"/>
      <w:r>
        <w:rPr>
          <w:rFonts w:ascii="Arial" w:eastAsia="Times New Roman" w:hAnsi="Arial" w:cs="Arial"/>
          <w:sz w:val="20"/>
          <w:szCs w:val="20"/>
          <w:lang w:eastAsia="en-GB"/>
        </w:rPr>
        <w:t>, 2006</w:t>
      </w:r>
      <w:r w:rsidRPr="00EA0B6B">
        <w:rPr>
          <w:rFonts w:ascii="Arial" w:eastAsia="Times New Roman" w:hAnsi="Arial" w:cs="Arial"/>
          <w:sz w:val="20"/>
          <w:szCs w:val="20"/>
          <w:lang w:eastAsia="en-GB"/>
        </w:rPr>
        <w:t>)</w:t>
      </w:r>
      <w:r>
        <w:rPr>
          <w:rFonts w:ascii="Arial" w:eastAsia="Times New Roman" w:hAnsi="Arial" w:cs="Arial"/>
          <w:sz w:val="20"/>
          <w:szCs w:val="20"/>
          <w:lang w:eastAsia="en-GB"/>
        </w:rPr>
        <w:t xml:space="preserve">. PCSOS are a prime example of how community engagement with the Police Service is key to cohesion of local people as well as the efficiency of a Police Force. </w:t>
      </w:r>
      <w:proofErr w:type="gramStart"/>
      <w:r>
        <w:rPr>
          <w:rFonts w:ascii="Arial" w:eastAsia="Times New Roman" w:hAnsi="Arial" w:cs="Arial"/>
          <w:sz w:val="20"/>
          <w:szCs w:val="20"/>
          <w:lang w:eastAsia="en-GB"/>
        </w:rPr>
        <w:t>In order to</w:t>
      </w:r>
      <w:proofErr w:type="gramEnd"/>
      <w:r>
        <w:rPr>
          <w:rFonts w:ascii="Arial" w:eastAsia="Times New Roman" w:hAnsi="Arial" w:cs="Arial"/>
          <w:sz w:val="20"/>
          <w:szCs w:val="20"/>
          <w:lang w:eastAsia="en-GB"/>
        </w:rPr>
        <w:t xml:space="preserve"> achieve this, as stated by Sir Robert Peel, the Police require the consent of the public to work successfully. Public engagement should occur at all </w:t>
      </w:r>
      <w:proofErr w:type="gramStart"/>
      <w:r>
        <w:rPr>
          <w:rFonts w:ascii="Arial" w:eastAsia="Times New Roman" w:hAnsi="Arial" w:cs="Arial"/>
          <w:sz w:val="20"/>
          <w:szCs w:val="20"/>
          <w:lang w:eastAsia="en-GB"/>
        </w:rPr>
        <w:t>stages;</w:t>
      </w:r>
      <w:proofErr w:type="gramEnd"/>
      <w:r>
        <w:rPr>
          <w:rFonts w:ascii="Arial" w:eastAsia="Times New Roman" w:hAnsi="Arial" w:cs="Arial"/>
          <w:sz w:val="20"/>
          <w:szCs w:val="20"/>
          <w:lang w:eastAsia="en-GB"/>
        </w:rPr>
        <w:t xml:space="preserve"> Democratic Mandate, Intermediate Strategic and Neighbourhood Policing. The democratic mandate lays out the dominant philosophy for Policing and allows the public to better understand Police actions therefore increasing Police accountability. The intermediate strategic level of engagement refers to policy, planning and critical incidents. This stage highlights the </w:t>
      </w:r>
      <w:proofErr w:type="spellStart"/>
      <w:r>
        <w:rPr>
          <w:rFonts w:ascii="Arial" w:eastAsia="Times New Roman" w:hAnsi="Arial" w:cs="Arial"/>
          <w:sz w:val="20"/>
          <w:szCs w:val="20"/>
          <w:lang w:eastAsia="en-GB"/>
        </w:rPr>
        <w:t>affects</w:t>
      </w:r>
      <w:proofErr w:type="spellEnd"/>
      <w:r>
        <w:rPr>
          <w:rFonts w:ascii="Arial" w:eastAsia="Times New Roman" w:hAnsi="Arial" w:cs="Arial"/>
          <w:sz w:val="20"/>
          <w:szCs w:val="20"/>
          <w:lang w:eastAsia="en-GB"/>
        </w:rPr>
        <w:t xml:space="preserve"> of policing on individuals and communities. The Neighbourhood Policing level is based around community engagement in terms of local priorities and problems and therefore shows an increase in public confidence when they are involved </w:t>
      </w:r>
      <w:r w:rsidRPr="00533236">
        <w:rPr>
          <w:rFonts w:ascii="Arial" w:eastAsia="Times New Roman" w:hAnsi="Arial" w:cs="Arial"/>
          <w:sz w:val="20"/>
          <w:szCs w:val="20"/>
          <w:lang w:eastAsia="en-GB"/>
        </w:rPr>
        <w:t>(College of Policing</w:t>
      </w:r>
      <w:r>
        <w:rPr>
          <w:rFonts w:ascii="Arial" w:eastAsia="Times New Roman" w:hAnsi="Arial" w:cs="Arial"/>
          <w:sz w:val="20"/>
          <w:szCs w:val="20"/>
          <w:lang w:eastAsia="en-GB"/>
        </w:rPr>
        <w:t>, 2013</w:t>
      </w:r>
      <w:r w:rsidRPr="00533236">
        <w:rPr>
          <w:rFonts w:ascii="Arial" w:eastAsia="Times New Roman" w:hAnsi="Arial" w:cs="Arial"/>
          <w:sz w:val="20"/>
          <w:szCs w:val="20"/>
          <w:lang w:eastAsia="en-GB"/>
        </w:rPr>
        <w:t>)</w:t>
      </w:r>
      <w:r>
        <w:rPr>
          <w:rFonts w:ascii="Arial" w:eastAsia="Times New Roman" w:hAnsi="Arial" w:cs="Arial"/>
          <w:sz w:val="20"/>
          <w:szCs w:val="20"/>
          <w:lang w:eastAsia="en-GB"/>
        </w:rPr>
        <w:t xml:space="preserve">. </w:t>
      </w:r>
    </w:p>
    <w:p w14:paraId="4CB9B8F6" w14:textId="77777777"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Community cohesion is beneficial to the police force but more importantly, it can make significant improvements to the lives of individuals within communities. It is vital to achieve and maintain community cohesion as this can remove barriers to individuals and can address metaphoric fractures and community tension, as well as providing more equal opportunities such as education and employment. One of the most substantial characteristics that requires community cohesion is race and religion, as these often factor into community tension such as the Brixton riots. The Brixton Riots also evidenced an intelligence void that occurred as a lack of public engagement. Lecturer Barbara Bennett produced a report for the University of Cambridge exploring the “Changing Religious Identities” within Policing. She recommends that her findings of Police knowledge and engagement with people of all races and ethnicities enables </w:t>
      </w:r>
      <w:proofErr w:type="gramStart"/>
      <w:r>
        <w:rPr>
          <w:rFonts w:ascii="Arial" w:eastAsia="Times New Roman" w:hAnsi="Arial" w:cs="Arial"/>
          <w:sz w:val="20"/>
          <w:szCs w:val="20"/>
          <w:lang w:eastAsia="en-GB"/>
        </w:rPr>
        <w:t>policy-makers</w:t>
      </w:r>
      <w:proofErr w:type="gramEnd"/>
      <w:r>
        <w:rPr>
          <w:rFonts w:ascii="Arial" w:eastAsia="Times New Roman" w:hAnsi="Arial" w:cs="Arial"/>
          <w:sz w:val="20"/>
          <w:szCs w:val="20"/>
          <w:lang w:eastAsia="en-GB"/>
        </w:rPr>
        <w:t xml:space="preserve"> and officers to enhance “public responsiveness, accountability and satisfaction”.</w:t>
      </w:r>
    </w:p>
    <w:p w14:paraId="0BF995BA" w14:textId="77777777"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The constant development of technology and uptake of social media increasing in persons of all age ranges allows negative information and opinions on the Police to spread quicker than ever before. This besides negative pre-existing opinions of the police resulting from negative interactions further accentuates the necessity for person-to-person interactions with the public and the Police. The Police Reform and Social Responsibility Act 2011 included section 34 which entails a legal requirement for chief officers to consult with member of the public and local communities </w:t>
      </w:r>
      <w:r w:rsidRPr="00BB76B4">
        <w:rPr>
          <w:rFonts w:ascii="Arial" w:eastAsia="Times New Roman" w:hAnsi="Arial" w:cs="Arial"/>
          <w:sz w:val="20"/>
          <w:szCs w:val="20"/>
          <w:lang w:eastAsia="en-GB"/>
        </w:rPr>
        <w:t>(UK Parliament</w:t>
      </w:r>
      <w:r>
        <w:rPr>
          <w:rFonts w:ascii="Arial" w:eastAsia="Times New Roman" w:hAnsi="Arial" w:cs="Arial"/>
          <w:sz w:val="20"/>
          <w:szCs w:val="20"/>
          <w:lang w:eastAsia="en-GB"/>
        </w:rPr>
        <w:t>, 2011</w:t>
      </w:r>
      <w:r w:rsidRPr="00BB76B4">
        <w:rPr>
          <w:rFonts w:ascii="Arial" w:eastAsia="Times New Roman" w:hAnsi="Arial" w:cs="Arial"/>
          <w:sz w:val="20"/>
          <w:szCs w:val="20"/>
          <w:lang w:eastAsia="en-GB"/>
        </w:rPr>
        <w:t>)</w:t>
      </w:r>
      <w:r>
        <w:rPr>
          <w:rFonts w:ascii="Arial" w:eastAsia="Times New Roman" w:hAnsi="Arial" w:cs="Arial"/>
          <w:sz w:val="20"/>
          <w:szCs w:val="20"/>
          <w:lang w:eastAsia="en-GB"/>
        </w:rPr>
        <w:t xml:space="preserve">. The Act also outlines the responsibility of officers to maintain a targeted, visible presence and to have both formal and informal contact with communities. The Act encourages Police to tailor engagement to those of different backgrounds and upbringings, ultimately allowing the Police to further understand the needs of the community </w:t>
      </w:r>
      <w:r w:rsidRPr="006C3833">
        <w:rPr>
          <w:rFonts w:ascii="Arial" w:eastAsia="Times New Roman" w:hAnsi="Arial" w:cs="Arial"/>
          <w:sz w:val="20"/>
          <w:szCs w:val="20"/>
          <w:lang w:eastAsia="en-GB"/>
        </w:rPr>
        <w:t xml:space="preserve">(College of Policing, </w:t>
      </w:r>
      <w:r>
        <w:rPr>
          <w:rFonts w:ascii="Arial" w:eastAsia="Times New Roman" w:hAnsi="Arial" w:cs="Arial"/>
          <w:sz w:val="20"/>
          <w:szCs w:val="20"/>
          <w:lang w:eastAsia="en-GB"/>
        </w:rPr>
        <w:t>2021).</w:t>
      </w:r>
    </w:p>
    <w:p w14:paraId="00F1CAAE" w14:textId="77777777"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There are several ways to increase community engagement. For the Police, one example is a community impact assessment (CIA). A CIA identifies issues within community confidence in the police. A CIA will identify vulnerable individuals and groups, develop intelligence, and provide an analysis of community confidence. Another example is through community tension indicators and triggers. The Institute of Community Cohesion, chaired by Professor Ted Cantle and Sir Hugh Orde OBE provides a step-by-step guide including the concept of a tension monitoring group. The guide explores how the group should be made up of member from the Police, community safety teams, the education system, the youth service, environment, and housing services. This group then analyses possible tensions arising through political differences, racial and religious groups, criminal behaviour among others. They promote the EEP (Experience, Evidenced, Potential). Evidence relates to the thoughts and feelings of communities and that perception is as relevant as </w:t>
      </w:r>
      <w:proofErr w:type="gramStart"/>
      <w:r>
        <w:rPr>
          <w:rFonts w:ascii="Arial" w:eastAsia="Times New Roman" w:hAnsi="Arial" w:cs="Arial"/>
          <w:sz w:val="20"/>
          <w:szCs w:val="20"/>
          <w:lang w:eastAsia="en-GB"/>
        </w:rPr>
        <w:t>factual information</w:t>
      </w:r>
      <w:proofErr w:type="gramEnd"/>
      <w:r>
        <w:rPr>
          <w:rFonts w:ascii="Arial" w:eastAsia="Times New Roman" w:hAnsi="Arial" w:cs="Arial"/>
          <w:sz w:val="20"/>
          <w:szCs w:val="20"/>
          <w:lang w:eastAsia="en-GB"/>
        </w:rPr>
        <w:t xml:space="preserve">. Evidenced relates to the incident that has occurred or is still occurring. Potential encourages the group to consider predicted or planned activity and other forthcoming events. As well as the Police engaging with the community, there are several ways for the community to integrate themselves within local policing. Community members can join neighbourhood watch schemes, developing the intelligence of the Police as well as building regular relationships and contact with Police. A more modern example is through the engagement of the community via Police social media and at large public events. The Police use of social media continues to engage with </w:t>
      </w:r>
      <w:proofErr w:type="spellStart"/>
      <w:proofErr w:type="gramStart"/>
      <w:r>
        <w:rPr>
          <w:rFonts w:ascii="Arial" w:eastAsia="Times New Roman" w:hAnsi="Arial" w:cs="Arial"/>
          <w:sz w:val="20"/>
          <w:szCs w:val="20"/>
          <w:lang w:eastAsia="en-GB"/>
        </w:rPr>
        <w:t>it’s</w:t>
      </w:r>
      <w:proofErr w:type="spellEnd"/>
      <w:proofErr w:type="gramEnd"/>
      <w:r>
        <w:rPr>
          <w:rFonts w:ascii="Arial" w:eastAsia="Times New Roman" w:hAnsi="Arial" w:cs="Arial"/>
          <w:sz w:val="20"/>
          <w:szCs w:val="20"/>
          <w:lang w:eastAsia="en-GB"/>
        </w:rPr>
        <w:t xml:space="preserve"> followers through requesting information from witness, sharing missing or wanted persons for community awareness as well as providing court results to emphasise crime detection and prevention. Public events are another key opportunity for engagement. Events such as Pride and religious celebrations offer the chance for officers to engage with people of protected characteristics, improving relations and developing their knowledge or minority groups, cultural or societal traditions and understanding of possible trigger points.</w:t>
      </w:r>
    </w:p>
    <w:p w14:paraId="56F91AF9" w14:textId="77777777"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lastRenderedPageBreak/>
        <w:t xml:space="preserve">The role of the Police within community cohesion is vital. Police forces across England and Wales police by consent and it is necessary for the public to have confidence in the Police and satisfaction in the service. There are several possible barriers to cohesion such as political, cultural, </w:t>
      </w:r>
      <w:proofErr w:type="gramStart"/>
      <w:r>
        <w:rPr>
          <w:rFonts w:ascii="Arial" w:eastAsia="Times New Roman" w:hAnsi="Arial" w:cs="Arial"/>
          <w:sz w:val="20"/>
          <w:szCs w:val="20"/>
          <w:lang w:eastAsia="en-GB"/>
        </w:rPr>
        <w:t>religious</w:t>
      </w:r>
      <w:proofErr w:type="gramEnd"/>
      <w:r>
        <w:rPr>
          <w:rFonts w:ascii="Arial" w:eastAsia="Times New Roman" w:hAnsi="Arial" w:cs="Arial"/>
          <w:sz w:val="20"/>
          <w:szCs w:val="20"/>
          <w:lang w:eastAsia="en-GB"/>
        </w:rPr>
        <w:t xml:space="preserve"> and racial differences and these differences can create inequalities between different groups of varying backgrounds. There are a multitude of benefits when community cohesion is achieved including an increase in public perceptions of safety, a reduction in disorder and anti-social behaviour, an increase in public perception of the Police and improvements in officer attitudes and job satisfaction. Historic events such as the Brixton Riots 1981 and London riots 2011 signify the importance of accountability of the Police and community cohesion. The riots highlighted five causes to </w:t>
      </w:r>
      <w:proofErr w:type="gramStart"/>
      <w:r>
        <w:rPr>
          <w:rFonts w:ascii="Arial" w:eastAsia="Times New Roman" w:hAnsi="Arial" w:cs="Arial"/>
          <w:sz w:val="20"/>
          <w:szCs w:val="20"/>
          <w:lang w:eastAsia="en-GB"/>
        </w:rPr>
        <w:t>failure;</w:t>
      </w:r>
      <w:proofErr w:type="gramEnd"/>
      <w:r>
        <w:rPr>
          <w:rFonts w:ascii="Arial" w:eastAsia="Times New Roman" w:hAnsi="Arial" w:cs="Arial"/>
          <w:sz w:val="20"/>
          <w:szCs w:val="20"/>
          <w:lang w:eastAsia="en-GB"/>
        </w:rPr>
        <w:t xml:space="preserve"> incorrect community representation, over-policing, under-serving, community stigmatisation and bias towards popular issues. The extent of the negative effects of a breakdown in community and the police versus the positives of community cohesion confirm that policing is imperative to maintain cohesion and efficient policing. </w:t>
      </w:r>
    </w:p>
    <w:p w14:paraId="2D8CB147" w14:textId="51F0FEC0"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Word Count:</w:t>
      </w:r>
      <w:r>
        <w:rPr>
          <w:rFonts w:ascii="Arial" w:eastAsia="Times New Roman" w:hAnsi="Arial" w:cs="Arial"/>
          <w:sz w:val="20"/>
          <w:szCs w:val="20"/>
          <w:lang w:eastAsia="en-GB"/>
        </w:rPr>
        <w:t xml:space="preserve"> </w:t>
      </w:r>
      <w:r>
        <w:rPr>
          <w:rFonts w:ascii="Arial" w:eastAsia="Times New Roman" w:hAnsi="Arial" w:cs="Arial"/>
          <w:sz w:val="20"/>
          <w:szCs w:val="20"/>
          <w:lang w:eastAsia="en-GB"/>
        </w:rPr>
        <w:t>1905</w:t>
      </w:r>
    </w:p>
    <w:p w14:paraId="2569F553" w14:textId="6CF5485E"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p>
    <w:p w14:paraId="18E62879" w14:textId="22F45B88" w:rsidR="009B5C2E" w:rsidRP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u w:val="single"/>
          <w:lang w:eastAsia="en-GB"/>
        </w:rPr>
      </w:pPr>
      <w:r w:rsidRPr="009B5C2E">
        <w:rPr>
          <w:rFonts w:ascii="Arial" w:eastAsia="Times New Roman" w:hAnsi="Arial" w:cs="Arial"/>
          <w:sz w:val="20"/>
          <w:szCs w:val="20"/>
          <w:u w:val="single"/>
          <w:lang w:eastAsia="en-GB"/>
        </w:rPr>
        <w:t>Bibliography</w:t>
      </w:r>
    </w:p>
    <w:p w14:paraId="49938BCF" w14:textId="3C67665B"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p>
    <w:p w14:paraId="07ADAB0D" w14:textId="77777777" w:rsidR="009B5C2E" w:rsidRDefault="009B5C2E" w:rsidP="009B5C2E">
      <w:pPr>
        <w:pStyle w:val="NormalWeb"/>
        <w:spacing w:before="0" w:beforeAutospacing="0" w:after="0" w:afterAutospacing="0" w:line="480" w:lineRule="auto"/>
        <w:ind w:left="720" w:hanging="720"/>
      </w:pPr>
      <w:r>
        <w:t xml:space="preserve">Bell, Bethan. “Riots 10 Years On: The Five Summer Nights When London Burned.” </w:t>
      </w:r>
      <w:r>
        <w:rPr>
          <w:i/>
          <w:iCs/>
        </w:rPr>
        <w:t>BBC News</w:t>
      </w:r>
      <w:r>
        <w:t>, 6 Aug. 2021, www.bbc.co.uk/news/uk-england-london-58058031.</w:t>
      </w:r>
    </w:p>
    <w:p w14:paraId="2C87C008" w14:textId="77777777" w:rsidR="009B5C2E" w:rsidRDefault="009B5C2E" w:rsidP="009B5C2E">
      <w:pPr>
        <w:pStyle w:val="NormalWeb"/>
        <w:spacing w:before="0" w:beforeAutospacing="0" w:after="0" w:afterAutospacing="0" w:line="480" w:lineRule="auto"/>
        <w:ind w:left="720" w:hanging="720"/>
      </w:pPr>
      <w:r>
        <w:t xml:space="preserve">Bennett, Barbara. “Effective Community Policing: Negotiating Changing Religious Identities.” </w:t>
      </w:r>
      <w:r>
        <w:rPr>
          <w:i/>
          <w:iCs/>
        </w:rPr>
        <w:t>Www.interfaith.cam.ac.uk</w:t>
      </w:r>
      <w:r>
        <w:t>, 28 May 2014, www.interfaith.cam.ac.uk/resources/lecturespapersandspeeches/effectivecommunitypolicing.</w:t>
      </w:r>
    </w:p>
    <w:p w14:paraId="6EDEB01F" w14:textId="77777777" w:rsidR="009B5C2E" w:rsidRDefault="009B5C2E" w:rsidP="009B5C2E">
      <w:pPr>
        <w:pStyle w:val="NormalWeb"/>
        <w:spacing w:before="0" w:beforeAutospacing="0" w:after="0" w:afterAutospacing="0" w:line="480" w:lineRule="auto"/>
        <w:ind w:left="720" w:hanging="720"/>
      </w:pPr>
      <w:r>
        <w:t>Bennett, Trevor. “CJM COMMUNITY POLICING.” Criminal Justice Matters, 30 Jan. 2008.</w:t>
      </w:r>
    </w:p>
    <w:p w14:paraId="70177E75" w14:textId="77777777" w:rsidR="009B5C2E" w:rsidRDefault="009B5C2E" w:rsidP="009B5C2E">
      <w:pPr>
        <w:pStyle w:val="NormalWeb"/>
        <w:spacing w:before="0" w:beforeAutospacing="0" w:after="0" w:afterAutospacing="0" w:line="480" w:lineRule="auto"/>
        <w:ind w:left="720" w:hanging="720"/>
      </w:pPr>
      <w:r>
        <w:t xml:space="preserve">College of Policing. “Engagement.” </w:t>
      </w:r>
      <w:r>
        <w:rPr>
          <w:i/>
          <w:iCs/>
        </w:rPr>
        <w:t>College of Policing</w:t>
      </w:r>
      <w:r>
        <w:t>, 23 Oct. 2013, www.college.police.uk/app/engagement-and-communication/engagement.</w:t>
      </w:r>
    </w:p>
    <w:p w14:paraId="505B4F9B" w14:textId="77777777" w:rsidR="009B5C2E" w:rsidRDefault="009B5C2E" w:rsidP="009B5C2E">
      <w:pPr>
        <w:pStyle w:val="NormalWeb"/>
        <w:spacing w:before="0" w:beforeAutospacing="0" w:after="0" w:afterAutospacing="0" w:line="480" w:lineRule="auto"/>
        <w:ind w:left="720" w:hanging="720"/>
      </w:pPr>
      <w:r>
        <w:t xml:space="preserve">---. “Engaging Communities.” </w:t>
      </w:r>
      <w:r>
        <w:rPr>
          <w:i/>
          <w:iCs/>
        </w:rPr>
        <w:t>College of Policing</w:t>
      </w:r>
      <w:r>
        <w:t>, 11 Jan. 2021, www.college.police.uk/guidance/neighbourhood-policing/engaging-communities.</w:t>
      </w:r>
    </w:p>
    <w:p w14:paraId="5A09C5F3" w14:textId="77777777" w:rsidR="009B5C2E" w:rsidRDefault="009B5C2E" w:rsidP="009B5C2E">
      <w:pPr>
        <w:pStyle w:val="NormalWeb"/>
        <w:spacing w:before="0" w:beforeAutospacing="0" w:after="0" w:afterAutospacing="0" w:line="480" w:lineRule="auto"/>
        <w:ind w:left="720" w:hanging="720"/>
      </w:pPr>
      <w:r>
        <w:t xml:space="preserve">Gov.uk. “Police and Criminal Evidence Act 1984.” </w:t>
      </w:r>
      <w:r>
        <w:rPr>
          <w:i/>
          <w:iCs/>
        </w:rPr>
        <w:t>Legislation.gov.uk</w:t>
      </w:r>
      <w:r>
        <w:t>, 1984, www.legislation.gov.uk/ukpga/1984/60/contents.</w:t>
      </w:r>
    </w:p>
    <w:p w14:paraId="43FBD08C" w14:textId="77777777" w:rsidR="009B5C2E" w:rsidRDefault="009B5C2E" w:rsidP="009B5C2E">
      <w:pPr>
        <w:pStyle w:val="NormalWeb"/>
        <w:spacing w:before="0" w:beforeAutospacing="0" w:after="0" w:afterAutospacing="0" w:line="480" w:lineRule="auto"/>
        <w:ind w:left="720" w:hanging="720"/>
      </w:pPr>
      <w:r>
        <w:t xml:space="preserve">Home Office. “Police Reform and Social Responsibility Act 2011.” </w:t>
      </w:r>
      <w:r>
        <w:rPr>
          <w:i/>
          <w:iCs/>
        </w:rPr>
        <w:t>Legislation.gov.uk</w:t>
      </w:r>
      <w:r>
        <w:t>, 2011, www.legislation.gov.uk/ukpga/2011/13/section/34#:~:text=34Engagement%20with%20local%20people&amp;text=(1)A%20chief%20officer%20of.</w:t>
      </w:r>
    </w:p>
    <w:p w14:paraId="2E7C5976" w14:textId="77777777" w:rsidR="009B5C2E" w:rsidRDefault="009B5C2E" w:rsidP="009B5C2E">
      <w:pPr>
        <w:pStyle w:val="NormalWeb"/>
        <w:spacing w:before="0" w:beforeAutospacing="0" w:after="0" w:afterAutospacing="0" w:line="480" w:lineRule="auto"/>
        <w:ind w:left="720" w:hanging="720"/>
      </w:pPr>
      <w:r>
        <w:lastRenderedPageBreak/>
        <w:t xml:space="preserve">Institute of Community Cohesion. </w:t>
      </w:r>
      <w:r>
        <w:rPr>
          <w:i/>
          <w:iCs/>
        </w:rPr>
        <w:t>Understanding and Monitoring Tension and Conflict in Local Communities</w:t>
      </w:r>
      <w:r>
        <w:t>. 2010.</w:t>
      </w:r>
    </w:p>
    <w:p w14:paraId="7380CC18" w14:textId="77777777" w:rsidR="009B5C2E" w:rsidRDefault="009B5C2E" w:rsidP="009B5C2E">
      <w:pPr>
        <w:pStyle w:val="NormalWeb"/>
        <w:spacing w:before="0" w:beforeAutospacing="0" w:after="0" w:afterAutospacing="0" w:line="480" w:lineRule="auto"/>
        <w:ind w:left="720" w:hanging="720"/>
      </w:pPr>
      <w:r>
        <w:t xml:space="preserve">Jefferson, Tony. “Policing the Riots: From Bristol and Brixton to Tottenham, via Toxteth, Handsworth, </w:t>
      </w:r>
      <w:proofErr w:type="gramStart"/>
      <w:r>
        <w:t>Etc.</w:t>
      </w:r>
      <w:proofErr w:type="gramEnd"/>
      <w:r>
        <w:t xml:space="preserve">” </w:t>
      </w:r>
      <w:r>
        <w:rPr>
          <w:i/>
          <w:iCs/>
        </w:rPr>
        <w:t>Criminal Justice Matters</w:t>
      </w:r>
      <w:r>
        <w:t>, vol. 87, no. 1, Mar. 2012, pp. 8–9, 10.1080/09627251.2012.670995.</w:t>
      </w:r>
    </w:p>
    <w:p w14:paraId="2F22B8D2" w14:textId="77777777" w:rsidR="009B5C2E" w:rsidRDefault="009B5C2E" w:rsidP="009B5C2E">
      <w:pPr>
        <w:pStyle w:val="NormalWeb"/>
        <w:spacing w:before="0" w:beforeAutospacing="0" w:after="0" w:afterAutospacing="0" w:line="480" w:lineRule="auto"/>
        <w:ind w:left="720" w:hanging="720"/>
      </w:pPr>
      <w:proofErr w:type="spellStart"/>
      <w:r>
        <w:t>Mohdin</w:t>
      </w:r>
      <w:proofErr w:type="spellEnd"/>
      <w:r>
        <w:t xml:space="preserve">, </w:t>
      </w:r>
      <w:proofErr w:type="spellStart"/>
      <w:r>
        <w:t>Aamna</w:t>
      </w:r>
      <w:proofErr w:type="spellEnd"/>
      <w:r>
        <w:t xml:space="preserve">. “The Brixton Riots 40 Years On: “a Watershed Moment for Race Relations.”” </w:t>
      </w:r>
      <w:r>
        <w:rPr>
          <w:i/>
          <w:iCs/>
        </w:rPr>
        <w:t>The Guardian</w:t>
      </w:r>
      <w:r>
        <w:t>, 11 Apr. 2021, www.theguardian.com/world/2021/apr/11/brixton-riots-40-years-on-a-watershed-moment-for-race-relations.</w:t>
      </w:r>
    </w:p>
    <w:p w14:paraId="62190CC1" w14:textId="77777777" w:rsidR="009B5C2E" w:rsidRDefault="009B5C2E" w:rsidP="009B5C2E">
      <w:pPr>
        <w:pStyle w:val="NormalWeb"/>
        <w:spacing w:before="0" w:beforeAutospacing="0" w:after="0" w:afterAutospacing="0" w:line="480" w:lineRule="auto"/>
        <w:ind w:left="720" w:hanging="720"/>
      </w:pPr>
      <w:r>
        <w:t xml:space="preserve">The Police Foundation. </w:t>
      </w:r>
      <w:r>
        <w:rPr>
          <w:i/>
          <w:iCs/>
        </w:rPr>
        <w:t>The Briefing</w:t>
      </w:r>
      <w:r>
        <w:t>. Mar. 2009.</w:t>
      </w:r>
    </w:p>
    <w:p w14:paraId="760B385A" w14:textId="77777777" w:rsidR="009B5C2E" w:rsidRDefault="009B5C2E" w:rsidP="009B5C2E">
      <w:pPr>
        <w:pStyle w:val="NormalWeb"/>
        <w:spacing w:before="0" w:beforeAutospacing="0" w:after="0" w:afterAutospacing="0" w:line="480" w:lineRule="auto"/>
        <w:ind w:left="720" w:hanging="720"/>
      </w:pPr>
      <w:r>
        <w:t xml:space="preserve">UK Parliament. “Watchmen and Constables.” </w:t>
      </w:r>
      <w:r>
        <w:rPr>
          <w:i/>
          <w:iCs/>
        </w:rPr>
        <w:t>UK Parliament</w:t>
      </w:r>
      <w:r>
        <w:t>, www.parliament.uk/about/living-heritage/transformingsociety/laworder/policeprisons/overview/watchmenconstables/.</w:t>
      </w:r>
    </w:p>
    <w:p w14:paraId="277DD8A5" w14:textId="77777777" w:rsidR="009B5C2E" w:rsidRDefault="009B5C2E" w:rsidP="009B5C2E">
      <w:pPr>
        <w:pStyle w:val="NormalWeb"/>
        <w:spacing w:before="0" w:beforeAutospacing="0" w:after="0" w:afterAutospacing="0" w:line="480" w:lineRule="auto"/>
        <w:ind w:left="720" w:hanging="720"/>
      </w:pPr>
      <w:proofErr w:type="spellStart"/>
      <w:r>
        <w:t>Upson</w:t>
      </w:r>
      <w:proofErr w:type="spellEnd"/>
      <w:r>
        <w:t xml:space="preserve">, Anna. “Perceptions and Experience of Anti-Social Behaviour: Findings from the 2004/05 British Crime Survey.” </w:t>
      </w:r>
      <w:r>
        <w:rPr>
          <w:i/>
          <w:iCs/>
        </w:rPr>
        <w:t>Www.gov.uk</w:t>
      </w:r>
      <w:r>
        <w:t>, 2006, assets.publishing.service.gov.uk/government/uploads/system/uploads/attachment_data/file/116228/rdsolr2106.pdf.</w:t>
      </w:r>
    </w:p>
    <w:p w14:paraId="65CE88F3" w14:textId="77777777" w:rsidR="009B5C2E" w:rsidRDefault="009B5C2E" w:rsidP="009B5C2E">
      <w:p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p>
    <w:p w14:paraId="20BA2177" w14:textId="77777777" w:rsidR="00D70C12" w:rsidRDefault="009B5C2E"/>
    <w:sectPr w:rsidR="00D70C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3911A" w14:textId="77777777" w:rsidR="009B5C2E" w:rsidRDefault="009B5C2E" w:rsidP="009B5C2E">
      <w:pPr>
        <w:spacing w:after="0" w:line="240" w:lineRule="auto"/>
      </w:pPr>
      <w:r>
        <w:separator/>
      </w:r>
    </w:p>
  </w:endnote>
  <w:endnote w:type="continuationSeparator" w:id="0">
    <w:p w14:paraId="60AAEE0F" w14:textId="77777777" w:rsidR="009B5C2E" w:rsidRDefault="009B5C2E" w:rsidP="009B5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1C618" w14:textId="77777777" w:rsidR="009B5C2E" w:rsidRDefault="009B5C2E" w:rsidP="009B5C2E">
      <w:pPr>
        <w:spacing w:after="0" w:line="240" w:lineRule="auto"/>
      </w:pPr>
      <w:r>
        <w:separator/>
      </w:r>
    </w:p>
  </w:footnote>
  <w:footnote w:type="continuationSeparator" w:id="0">
    <w:p w14:paraId="367B72A7" w14:textId="77777777" w:rsidR="009B5C2E" w:rsidRDefault="009B5C2E" w:rsidP="009B5C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C2E"/>
    <w:rsid w:val="003E3A13"/>
    <w:rsid w:val="00480D03"/>
    <w:rsid w:val="005C7349"/>
    <w:rsid w:val="009B5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0B8A7"/>
  <w15:chartTrackingRefBased/>
  <w15:docId w15:val="{BFC052A4-6E55-461A-B40C-3F65C235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C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5C2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639740">
      <w:bodyDiv w:val="1"/>
      <w:marLeft w:val="0"/>
      <w:marRight w:val="0"/>
      <w:marTop w:val="0"/>
      <w:marBottom w:val="0"/>
      <w:divBdr>
        <w:top w:val="none" w:sz="0" w:space="0" w:color="auto"/>
        <w:left w:val="none" w:sz="0" w:space="0" w:color="auto"/>
        <w:bottom w:val="none" w:sz="0" w:space="0" w:color="auto"/>
        <w:right w:val="none" w:sz="0" w:space="0" w:color="auto"/>
      </w:divBdr>
      <w:divsChild>
        <w:div w:id="495651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2166</Words>
  <Characters>12349</Characters>
  <Application>Microsoft Office Word</Application>
  <DocSecurity>0</DocSecurity>
  <Lines>102</Lines>
  <Paragraphs>28</Paragraphs>
  <ScaleCrop>false</ScaleCrop>
  <Company>South Wales Police</Company>
  <LinksUpToDate>false</LinksUpToDate>
  <CharactersWithSpaces>14487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Acreman,Katie swp6786</dc:creator>
  <cp:keywords/>
  <dc:description/>
  <cp:lastModifiedBy>Acreman,Katie swp6786</cp:lastModifiedBy>
  <cp:revision>1</cp:revision>
  <dcterms:created xsi:type="dcterms:W3CDTF">2022-05-30T22:55:00Z</dcterms:created>
  <dcterms:modified xsi:type="dcterms:W3CDTF">2022-05-30T22:58:00Z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2022-05-30T22:57:47Z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8467d726-75d4-438b-b873-38ed846f7afe</vt:lpwstr>
  </property>
  <property fmtid="{D5CDD505-2E9C-101B-9397-08002B2CF9AE}" pid="8" name="MSIP_Label_66cf8fe5-b7b7-4df7-b38d-1c61ac2f6639_ContentBits">
    <vt:lpwstr>0</vt:lpwstr>
  </property>
</Properties>
</file>