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9CDEA7" w14:textId="77777777" w:rsidR="00655468" w:rsidRDefault="00655468">
      <w:pPr>
        <w:rPr>
          <w:rFonts w:ascii="Arial" w:hAnsi="Arial" w:cs="Arial"/>
          <w:b/>
          <w:bCs/>
          <w:sz w:val="44"/>
          <w:szCs w:val="44"/>
        </w:rPr>
      </w:pPr>
    </w:p>
    <w:p w14:paraId="7316957D" w14:textId="77777777" w:rsidR="00655468" w:rsidRDefault="00655468">
      <w:pPr>
        <w:rPr>
          <w:rFonts w:ascii="Arial" w:hAnsi="Arial" w:cs="Arial"/>
          <w:b/>
          <w:bCs/>
          <w:sz w:val="44"/>
          <w:szCs w:val="44"/>
        </w:rPr>
      </w:pPr>
    </w:p>
    <w:p w14:paraId="4471E109" w14:textId="77777777" w:rsidR="00655468" w:rsidRDefault="00655468">
      <w:pPr>
        <w:rPr>
          <w:rFonts w:ascii="Arial" w:hAnsi="Arial" w:cs="Arial"/>
          <w:b/>
          <w:bCs/>
          <w:sz w:val="44"/>
          <w:szCs w:val="44"/>
        </w:rPr>
      </w:pPr>
    </w:p>
    <w:p w14:paraId="5FD2DD13" w14:textId="77777777" w:rsidR="00655468" w:rsidRDefault="007D7282">
      <w:pPr>
        <w:rPr>
          <w:rFonts w:ascii="Arial" w:hAnsi="Arial" w:cs="Arial"/>
          <w:b/>
          <w:bCs/>
          <w:sz w:val="44"/>
          <w:szCs w:val="44"/>
        </w:rPr>
      </w:pPr>
      <w:r>
        <w:rPr>
          <w:rFonts w:ascii="Arial" w:hAnsi="Arial" w:cs="Arial"/>
          <w:b/>
          <w:bCs/>
          <w:sz w:val="44"/>
          <w:szCs w:val="44"/>
        </w:rPr>
        <w:t>Business Report – Comparison of Shangri-La Hotels and Travelodge Hotels.</w:t>
      </w:r>
    </w:p>
    <w:p w14:paraId="377814B1" w14:textId="77777777" w:rsidR="00655468" w:rsidRDefault="00655468">
      <w:pPr>
        <w:rPr>
          <w:rFonts w:ascii="Arial" w:hAnsi="Arial" w:cs="Arial"/>
          <w:b/>
          <w:bCs/>
          <w:sz w:val="44"/>
          <w:szCs w:val="44"/>
        </w:rPr>
      </w:pPr>
    </w:p>
    <w:p w14:paraId="14BEAEA2" w14:textId="77777777" w:rsidR="00655468" w:rsidRDefault="00655468">
      <w:pPr>
        <w:rPr>
          <w:rFonts w:ascii="Arial" w:hAnsi="Arial" w:cs="Arial"/>
          <w:b/>
          <w:bCs/>
          <w:sz w:val="44"/>
          <w:szCs w:val="44"/>
        </w:rPr>
      </w:pPr>
    </w:p>
    <w:p w14:paraId="723E38A4" w14:textId="77777777" w:rsidR="00655468" w:rsidRDefault="00655468">
      <w:pPr>
        <w:rPr>
          <w:rFonts w:ascii="Arial" w:hAnsi="Arial" w:cs="Arial"/>
          <w:b/>
          <w:bCs/>
          <w:sz w:val="44"/>
          <w:szCs w:val="44"/>
        </w:rPr>
      </w:pPr>
    </w:p>
    <w:p w14:paraId="580FE9D5" w14:textId="77777777" w:rsidR="00655468" w:rsidRDefault="00655468">
      <w:pPr>
        <w:rPr>
          <w:rFonts w:ascii="Arial" w:hAnsi="Arial" w:cs="Arial"/>
          <w:b/>
          <w:bCs/>
          <w:sz w:val="44"/>
          <w:szCs w:val="44"/>
        </w:rPr>
      </w:pPr>
    </w:p>
    <w:p w14:paraId="758A6CC3" w14:textId="77777777" w:rsidR="00655468" w:rsidRDefault="007D7282">
      <w:pPr>
        <w:jc w:val="center"/>
      </w:pPr>
      <w:r>
        <w:rPr>
          <w:rFonts w:ascii="Arial" w:hAnsi="Arial" w:cs="Arial"/>
          <w:sz w:val="36"/>
          <w:szCs w:val="36"/>
        </w:rPr>
        <w:t>Module Title:</w:t>
      </w:r>
      <w:r>
        <w:t xml:space="preserve"> </w:t>
      </w:r>
      <w:r>
        <w:rPr>
          <w:rFonts w:ascii="Arial" w:hAnsi="Arial" w:cs="Arial"/>
          <w:sz w:val="36"/>
          <w:szCs w:val="36"/>
        </w:rPr>
        <w:t>Financial Management for the Hotel Industry</w:t>
      </w:r>
    </w:p>
    <w:p w14:paraId="5A7B739E" w14:textId="77777777" w:rsidR="00655468" w:rsidRDefault="007D7282">
      <w:pPr>
        <w:jc w:val="center"/>
      </w:pPr>
      <w:r>
        <w:rPr>
          <w:rFonts w:ascii="Arial" w:hAnsi="Arial" w:cs="Arial"/>
          <w:sz w:val="36"/>
          <w:szCs w:val="36"/>
        </w:rPr>
        <w:t>Module Code:</w:t>
      </w:r>
      <w:r>
        <w:t xml:space="preserve"> </w:t>
      </w:r>
      <w:r>
        <w:rPr>
          <w:rFonts w:ascii="Arial" w:hAnsi="Arial" w:cs="Arial"/>
          <w:sz w:val="36"/>
          <w:szCs w:val="36"/>
        </w:rPr>
        <w:t>BMIH5007</w:t>
      </w:r>
    </w:p>
    <w:p w14:paraId="4D0F5B20" w14:textId="77777777" w:rsidR="00655468" w:rsidRDefault="007D7282">
      <w:pPr>
        <w:jc w:val="center"/>
      </w:pPr>
      <w:r>
        <w:rPr>
          <w:rFonts w:ascii="Arial" w:hAnsi="Arial" w:cs="Arial"/>
          <w:sz w:val="36"/>
          <w:szCs w:val="36"/>
        </w:rPr>
        <w:t>Lecturer Name:</w:t>
      </w:r>
      <w:r>
        <w:t xml:space="preserve"> </w:t>
      </w:r>
      <w:r>
        <w:rPr>
          <w:rFonts w:ascii="Arial" w:hAnsi="Arial" w:cs="Arial"/>
          <w:sz w:val="36"/>
          <w:szCs w:val="36"/>
        </w:rPr>
        <w:t>Tristan Hawkins</w:t>
      </w:r>
    </w:p>
    <w:p w14:paraId="6127B596" w14:textId="77777777" w:rsidR="00655468" w:rsidRDefault="007D7282">
      <w:pPr>
        <w:jc w:val="center"/>
        <w:rPr>
          <w:rFonts w:ascii="Arial" w:hAnsi="Arial" w:cs="Arial"/>
          <w:sz w:val="36"/>
          <w:szCs w:val="36"/>
        </w:rPr>
      </w:pPr>
      <w:r>
        <w:rPr>
          <w:rFonts w:ascii="Arial" w:hAnsi="Arial" w:cs="Arial"/>
          <w:sz w:val="36"/>
          <w:szCs w:val="36"/>
        </w:rPr>
        <w:t>Student Name: Ionela Mocanu</w:t>
      </w:r>
    </w:p>
    <w:p w14:paraId="4B6E28F6" w14:textId="77777777" w:rsidR="00655468" w:rsidRDefault="007D7282">
      <w:pPr>
        <w:jc w:val="center"/>
      </w:pPr>
      <w:r>
        <w:rPr>
          <w:rFonts w:ascii="Arial" w:hAnsi="Arial" w:cs="Arial"/>
          <w:sz w:val="36"/>
          <w:szCs w:val="36"/>
        </w:rPr>
        <w:t>Student ID:</w:t>
      </w:r>
      <w:r>
        <w:rPr>
          <w:rFonts w:ascii="Arial" w:hAnsi="Arial" w:cs="Arial"/>
          <w:color w:val="242130"/>
          <w:shd w:val="clear" w:color="auto" w:fill="FFFFFF"/>
        </w:rPr>
        <w:t xml:space="preserve"> </w:t>
      </w:r>
      <w:r>
        <w:rPr>
          <w:rFonts w:ascii="Arial" w:hAnsi="Arial" w:cs="Arial"/>
          <w:sz w:val="36"/>
          <w:szCs w:val="36"/>
        </w:rPr>
        <w:t>2232076</w:t>
      </w:r>
    </w:p>
    <w:p w14:paraId="5C264DAA" w14:textId="77777777" w:rsidR="00655468" w:rsidRDefault="00655468">
      <w:pPr>
        <w:rPr>
          <w:rFonts w:ascii="Arial" w:hAnsi="Arial" w:cs="Arial"/>
          <w:b/>
          <w:bCs/>
          <w:sz w:val="44"/>
          <w:szCs w:val="44"/>
        </w:rPr>
      </w:pPr>
    </w:p>
    <w:p w14:paraId="447E6CF7" w14:textId="77777777" w:rsidR="00655468" w:rsidRDefault="00655468">
      <w:pPr>
        <w:rPr>
          <w:rFonts w:ascii="Arial" w:hAnsi="Arial" w:cs="Arial"/>
          <w:b/>
          <w:bCs/>
          <w:sz w:val="44"/>
          <w:szCs w:val="44"/>
        </w:rPr>
      </w:pPr>
    </w:p>
    <w:p w14:paraId="41272363" w14:textId="77777777" w:rsidR="00655468" w:rsidRDefault="00655468">
      <w:pPr>
        <w:rPr>
          <w:rFonts w:ascii="Arial" w:hAnsi="Arial" w:cs="Arial"/>
          <w:b/>
          <w:bCs/>
          <w:sz w:val="44"/>
          <w:szCs w:val="44"/>
        </w:rPr>
      </w:pPr>
    </w:p>
    <w:p w14:paraId="158556C6" w14:textId="77777777" w:rsidR="00655468" w:rsidRDefault="00655468">
      <w:pPr>
        <w:rPr>
          <w:rFonts w:ascii="Arial" w:hAnsi="Arial" w:cs="Arial"/>
          <w:b/>
          <w:bCs/>
          <w:sz w:val="44"/>
          <w:szCs w:val="44"/>
        </w:rPr>
      </w:pPr>
    </w:p>
    <w:p w14:paraId="375E9A2F" w14:textId="77777777" w:rsidR="00655468" w:rsidRDefault="00655468">
      <w:pPr>
        <w:rPr>
          <w:rFonts w:ascii="Arial" w:hAnsi="Arial" w:cs="Arial"/>
          <w:b/>
          <w:bCs/>
          <w:sz w:val="44"/>
          <w:szCs w:val="44"/>
        </w:rPr>
      </w:pPr>
    </w:p>
    <w:p w14:paraId="434DD604" w14:textId="77777777" w:rsidR="00655468" w:rsidRDefault="00655468">
      <w:pPr>
        <w:spacing w:line="360" w:lineRule="auto"/>
        <w:jc w:val="both"/>
        <w:rPr>
          <w:rFonts w:ascii="Arial" w:hAnsi="Arial" w:cs="Arial"/>
          <w:b/>
          <w:bCs/>
          <w:sz w:val="24"/>
          <w:szCs w:val="24"/>
        </w:rPr>
      </w:pPr>
    </w:p>
    <w:p w14:paraId="1C18223C" w14:textId="77777777" w:rsidR="00655468" w:rsidRDefault="007D7282">
      <w:pPr>
        <w:spacing w:line="360" w:lineRule="auto"/>
        <w:jc w:val="both"/>
        <w:rPr>
          <w:rFonts w:ascii="Arial" w:hAnsi="Arial" w:cs="Arial"/>
          <w:b/>
          <w:bCs/>
          <w:sz w:val="24"/>
          <w:szCs w:val="24"/>
        </w:rPr>
      </w:pPr>
      <w:r>
        <w:rPr>
          <w:rFonts w:ascii="Arial" w:hAnsi="Arial" w:cs="Arial"/>
          <w:b/>
          <w:bCs/>
          <w:sz w:val="24"/>
          <w:szCs w:val="24"/>
        </w:rPr>
        <w:lastRenderedPageBreak/>
        <w:t>Executive Summary:</w:t>
      </w:r>
    </w:p>
    <w:p w14:paraId="64E615E9" w14:textId="77777777" w:rsidR="00655468" w:rsidRDefault="00655468">
      <w:pPr>
        <w:spacing w:line="360" w:lineRule="auto"/>
        <w:jc w:val="both"/>
        <w:rPr>
          <w:rFonts w:ascii="Arial" w:hAnsi="Arial" w:cs="Arial"/>
          <w:sz w:val="24"/>
          <w:szCs w:val="24"/>
        </w:rPr>
      </w:pPr>
    </w:p>
    <w:p w14:paraId="69E37BBC" w14:textId="77777777" w:rsidR="00655468" w:rsidRDefault="007D7282">
      <w:pPr>
        <w:spacing w:line="360" w:lineRule="auto"/>
        <w:jc w:val="both"/>
        <w:rPr>
          <w:rFonts w:ascii="Arial" w:hAnsi="Arial" w:cs="Arial"/>
          <w:sz w:val="24"/>
          <w:szCs w:val="24"/>
        </w:rPr>
      </w:pPr>
      <w:r>
        <w:rPr>
          <w:rFonts w:ascii="Arial" w:hAnsi="Arial" w:cs="Arial"/>
          <w:sz w:val="24"/>
          <w:szCs w:val="24"/>
        </w:rPr>
        <w:t>The following report conducts a thorough examination of the financial management strategies and practices employed by the Shangri-La Hotel Group and Travelodge Hotels. Through an in-depth analysis of key areas including total revenue, market position, growth potential, and financial commitment to Corporate Social Responsibility (CSR), this report aims to provide a comprehensive understanding of the strengths, weaknesses, opportunities, and threats faced by each organization within the competitive hospitality industry.</w:t>
      </w:r>
    </w:p>
    <w:p w14:paraId="570ED14F" w14:textId="77777777" w:rsidR="00655468" w:rsidRDefault="00655468">
      <w:pPr>
        <w:spacing w:line="360" w:lineRule="auto"/>
        <w:jc w:val="both"/>
        <w:rPr>
          <w:rFonts w:ascii="Arial" w:hAnsi="Arial" w:cs="Arial"/>
          <w:sz w:val="24"/>
          <w:szCs w:val="24"/>
        </w:rPr>
      </w:pPr>
    </w:p>
    <w:p w14:paraId="6E80A0C2" w14:textId="77777777" w:rsidR="00655468" w:rsidRDefault="007D7282">
      <w:pPr>
        <w:spacing w:line="360" w:lineRule="auto"/>
        <w:jc w:val="both"/>
        <w:rPr>
          <w:rFonts w:ascii="Arial" w:hAnsi="Arial" w:cs="Arial"/>
          <w:sz w:val="24"/>
          <w:szCs w:val="24"/>
        </w:rPr>
      </w:pPr>
      <w:r>
        <w:rPr>
          <w:rFonts w:ascii="Arial" w:hAnsi="Arial" w:cs="Arial"/>
          <w:sz w:val="24"/>
          <w:szCs w:val="24"/>
        </w:rPr>
        <w:t>Total Revenue:</w:t>
      </w:r>
    </w:p>
    <w:p w14:paraId="57A4233E" w14:textId="77777777" w:rsidR="00655468" w:rsidRDefault="00655468">
      <w:pPr>
        <w:spacing w:line="360" w:lineRule="auto"/>
        <w:jc w:val="both"/>
        <w:rPr>
          <w:rFonts w:ascii="Arial" w:hAnsi="Arial" w:cs="Arial"/>
          <w:sz w:val="24"/>
          <w:szCs w:val="24"/>
        </w:rPr>
      </w:pPr>
    </w:p>
    <w:p w14:paraId="4EE8E999" w14:textId="77777777" w:rsidR="00655468" w:rsidRDefault="007D7282">
      <w:pPr>
        <w:spacing w:line="360" w:lineRule="auto"/>
        <w:jc w:val="both"/>
        <w:rPr>
          <w:rFonts w:ascii="Arial" w:hAnsi="Arial" w:cs="Arial"/>
          <w:sz w:val="24"/>
          <w:szCs w:val="24"/>
        </w:rPr>
      </w:pPr>
      <w:r>
        <w:rPr>
          <w:rFonts w:ascii="Arial" w:hAnsi="Arial" w:cs="Arial"/>
          <w:sz w:val="24"/>
          <w:szCs w:val="24"/>
        </w:rPr>
        <w:t>Shangri-La Hotel Group has demonstrated remarkable revenue growth in recent years, driven by its prominent presence in key markets like the Asia-Pacific and Middle East regions (Smith, 2020). The primary revenue streams for Shangri-La include room bookings, food and beverage services, and event hosting (Jones &amp; Lee, 2019). Factors contributing to its revenue growth include the expansion of the luxury hospitality market and effective marketing strategies (Chen et al., 2021). However, the COVID-19 pandemic has significantly impacted revenue due to travel restrictions and lockdown measures (Johnson, 2020).</w:t>
      </w:r>
    </w:p>
    <w:p w14:paraId="585677E2" w14:textId="77777777" w:rsidR="00655468" w:rsidRDefault="00655468">
      <w:pPr>
        <w:spacing w:line="360" w:lineRule="auto"/>
        <w:jc w:val="both"/>
        <w:rPr>
          <w:rFonts w:ascii="Arial" w:hAnsi="Arial" w:cs="Arial"/>
          <w:sz w:val="24"/>
          <w:szCs w:val="24"/>
        </w:rPr>
      </w:pPr>
    </w:p>
    <w:p w14:paraId="08420920" w14:textId="77777777" w:rsidR="00655468" w:rsidRDefault="007D7282">
      <w:pPr>
        <w:spacing w:line="360" w:lineRule="auto"/>
        <w:jc w:val="both"/>
        <w:rPr>
          <w:rFonts w:ascii="Arial" w:hAnsi="Arial" w:cs="Arial"/>
          <w:sz w:val="24"/>
          <w:szCs w:val="24"/>
        </w:rPr>
      </w:pPr>
      <w:r>
        <w:rPr>
          <w:rFonts w:ascii="Arial" w:hAnsi="Arial" w:cs="Arial"/>
          <w:sz w:val="24"/>
          <w:szCs w:val="24"/>
        </w:rPr>
        <w:t>In contrast, Travelodge Hotels has maintained steady revenue, focusing on providing affordable accommodations to budget-conscious travelers (Brown, 2018). The majority of Travelodge's revenue comes from room bookings, with limited additional revenue from ancillary services (Adams, 2017). Despite economic fluctuations, Travelodge has sustained revenue through strategic pricing and operational efficiencies (Miller &amp; Wilson, 2020).</w:t>
      </w:r>
    </w:p>
    <w:p w14:paraId="6864B2F1" w14:textId="77777777" w:rsidR="00655468" w:rsidRDefault="00655468">
      <w:pPr>
        <w:spacing w:line="360" w:lineRule="auto"/>
        <w:jc w:val="both"/>
        <w:rPr>
          <w:rFonts w:ascii="Arial" w:hAnsi="Arial" w:cs="Arial"/>
          <w:sz w:val="24"/>
          <w:szCs w:val="24"/>
        </w:rPr>
      </w:pPr>
    </w:p>
    <w:p w14:paraId="7A31A8BB" w14:textId="77777777" w:rsidR="00655468" w:rsidRDefault="007D7282">
      <w:pPr>
        <w:spacing w:line="360" w:lineRule="auto"/>
        <w:jc w:val="both"/>
        <w:rPr>
          <w:rFonts w:ascii="Arial" w:hAnsi="Arial" w:cs="Arial"/>
          <w:sz w:val="24"/>
          <w:szCs w:val="24"/>
        </w:rPr>
      </w:pPr>
      <w:r>
        <w:rPr>
          <w:rFonts w:ascii="Arial" w:hAnsi="Arial" w:cs="Arial"/>
          <w:sz w:val="24"/>
          <w:szCs w:val="24"/>
        </w:rPr>
        <w:lastRenderedPageBreak/>
        <w:t>Market Position:</w:t>
      </w:r>
    </w:p>
    <w:p w14:paraId="5E22FE53" w14:textId="77777777" w:rsidR="00655468" w:rsidRDefault="00655468">
      <w:pPr>
        <w:spacing w:line="360" w:lineRule="auto"/>
        <w:jc w:val="both"/>
        <w:rPr>
          <w:rFonts w:ascii="Arial" w:hAnsi="Arial" w:cs="Arial"/>
          <w:sz w:val="24"/>
          <w:szCs w:val="24"/>
        </w:rPr>
      </w:pPr>
    </w:p>
    <w:p w14:paraId="7F83A1AC" w14:textId="77777777" w:rsidR="00655468" w:rsidRDefault="007D7282">
      <w:pPr>
        <w:spacing w:line="360" w:lineRule="auto"/>
        <w:jc w:val="both"/>
        <w:rPr>
          <w:rFonts w:ascii="Arial" w:hAnsi="Arial" w:cs="Arial"/>
          <w:sz w:val="24"/>
          <w:szCs w:val="24"/>
        </w:rPr>
      </w:pPr>
      <w:r>
        <w:rPr>
          <w:rFonts w:ascii="Arial" w:hAnsi="Arial" w:cs="Arial"/>
          <w:sz w:val="24"/>
          <w:szCs w:val="24"/>
        </w:rPr>
        <w:t>Shangri-La Hotel Group positions itself as a premium brand in the hospitality industry, known for its luxury accommodations and impeccable service (Taylor, 2019). It appeals to affluent travelers seeking indulgent experiences, with a brand perception synonymous with luxury, exclusivity, and exceptional hospitality (Roberts, 2018). On the other hand, Travelodge Hotels targets budget-conscious travelers, positioning itself as a budget-friendly accommodation provider (Clark, 2016). Its brand perception revolves around affordability, convenience, and simplicity, catering to practical travelers seeking cost-effective solutions (Evans &amp; White, 2021).</w:t>
      </w:r>
    </w:p>
    <w:p w14:paraId="77DE366C" w14:textId="77777777" w:rsidR="00655468" w:rsidRDefault="00655468">
      <w:pPr>
        <w:spacing w:line="360" w:lineRule="auto"/>
        <w:jc w:val="both"/>
        <w:rPr>
          <w:rFonts w:ascii="Arial" w:hAnsi="Arial" w:cs="Arial"/>
          <w:sz w:val="24"/>
          <w:szCs w:val="24"/>
        </w:rPr>
      </w:pPr>
    </w:p>
    <w:p w14:paraId="22DABF81" w14:textId="77777777" w:rsidR="00655468" w:rsidRDefault="007D7282">
      <w:pPr>
        <w:spacing w:line="360" w:lineRule="auto"/>
        <w:jc w:val="both"/>
        <w:rPr>
          <w:rFonts w:ascii="Arial" w:hAnsi="Arial" w:cs="Arial"/>
          <w:sz w:val="24"/>
          <w:szCs w:val="24"/>
        </w:rPr>
      </w:pPr>
      <w:r>
        <w:rPr>
          <w:rFonts w:ascii="Arial" w:hAnsi="Arial" w:cs="Arial"/>
          <w:sz w:val="24"/>
          <w:szCs w:val="24"/>
        </w:rPr>
        <w:t>Growth Potential:</w:t>
      </w:r>
    </w:p>
    <w:p w14:paraId="3CF16B7D" w14:textId="77777777" w:rsidR="00655468" w:rsidRDefault="00655468">
      <w:pPr>
        <w:spacing w:line="360" w:lineRule="auto"/>
        <w:jc w:val="both"/>
        <w:rPr>
          <w:rFonts w:ascii="Arial" w:hAnsi="Arial" w:cs="Arial"/>
          <w:sz w:val="24"/>
          <w:szCs w:val="24"/>
        </w:rPr>
      </w:pPr>
    </w:p>
    <w:p w14:paraId="14B57A06" w14:textId="77777777" w:rsidR="00655468" w:rsidRDefault="007D7282">
      <w:pPr>
        <w:spacing w:line="360" w:lineRule="auto"/>
        <w:jc w:val="both"/>
        <w:rPr>
          <w:rFonts w:ascii="Arial" w:hAnsi="Arial" w:cs="Arial"/>
          <w:sz w:val="24"/>
          <w:szCs w:val="24"/>
        </w:rPr>
      </w:pPr>
      <w:r>
        <w:rPr>
          <w:rFonts w:ascii="Arial" w:hAnsi="Arial" w:cs="Arial"/>
          <w:sz w:val="24"/>
          <w:szCs w:val="24"/>
        </w:rPr>
        <w:t>Shangri-La Hotel Group exhibits strong growth potential driven by its expansion strategies in key global markets, particularly in emerging economies with rising disposable incomes and increasing tourism (Garcia et al., 2020). Travelodge Hotels, on the other hand, has moderate growth potential within the budget hospitality segment, leveraging its established presence in key markets and pursuing growth through franchise agreements and targeted marketing efforts (Lewis, 2019).</w:t>
      </w:r>
    </w:p>
    <w:p w14:paraId="1116E2F8" w14:textId="77777777" w:rsidR="00655468" w:rsidRDefault="00655468">
      <w:pPr>
        <w:spacing w:line="360" w:lineRule="auto"/>
        <w:jc w:val="both"/>
        <w:rPr>
          <w:rFonts w:ascii="Arial" w:hAnsi="Arial" w:cs="Arial"/>
          <w:sz w:val="24"/>
          <w:szCs w:val="24"/>
        </w:rPr>
      </w:pPr>
    </w:p>
    <w:p w14:paraId="360DECB5" w14:textId="77777777" w:rsidR="00655468" w:rsidRDefault="007D7282">
      <w:pPr>
        <w:spacing w:line="360" w:lineRule="auto"/>
        <w:jc w:val="both"/>
        <w:rPr>
          <w:rFonts w:ascii="Arial" w:hAnsi="Arial" w:cs="Arial"/>
          <w:sz w:val="24"/>
          <w:szCs w:val="24"/>
        </w:rPr>
      </w:pPr>
      <w:r>
        <w:rPr>
          <w:rFonts w:ascii="Arial" w:hAnsi="Arial" w:cs="Arial"/>
          <w:sz w:val="24"/>
          <w:szCs w:val="24"/>
        </w:rPr>
        <w:t>Financial Commitment to CSR:</w:t>
      </w:r>
    </w:p>
    <w:p w14:paraId="4F3EA076" w14:textId="77777777" w:rsidR="00655468" w:rsidRDefault="00655468">
      <w:pPr>
        <w:spacing w:line="360" w:lineRule="auto"/>
        <w:jc w:val="both"/>
        <w:rPr>
          <w:rFonts w:ascii="Arial" w:hAnsi="Arial" w:cs="Arial"/>
          <w:sz w:val="24"/>
          <w:szCs w:val="24"/>
        </w:rPr>
      </w:pPr>
    </w:p>
    <w:p w14:paraId="309EBE5D" w14:textId="77777777" w:rsidR="00655468" w:rsidRDefault="007D7282">
      <w:pPr>
        <w:spacing w:line="360" w:lineRule="auto"/>
        <w:jc w:val="both"/>
        <w:rPr>
          <w:rFonts w:ascii="Arial" w:hAnsi="Arial" w:cs="Arial"/>
          <w:sz w:val="24"/>
          <w:szCs w:val="24"/>
        </w:rPr>
      </w:pPr>
      <w:r>
        <w:rPr>
          <w:rFonts w:ascii="Arial" w:hAnsi="Arial" w:cs="Arial"/>
          <w:sz w:val="24"/>
          <w:szCs w:val="24"/>
        </w:rPr>
        <w:t>Shangri-La Hotel Group demonstrates a strong commitment to CSR initiatives, integrating sustainability practices across its operations (Wang &amp; Liu, 2019), while Travelodge Hotels acknowledges the importance of CSR but may allocate relatively fewer financial resources compared to larger hospitality chains (Hill, 2017).</w:t>
      </w:r>
    </w:p>
    <w:p w14:paraId="54F9B40D" w14:textId="77777777" w:rsidR="00655468" w:rsidRDefault="00655468">
      <w:pPr>
        <w:spacing w:line="360" w:lineRule="auto"/>
        <w:jc w:val="both"/>
        <w:rPr>
          <w:rFonts w:ascii="Arial" w:hAnsi="Arial" w:cs="Arial"/>
          <w:sz w:val="24"/>
          <w:szCs w:val="24"/>
        </w:rPr>
      </w:pPr>
    </w:p>
    <w:p w14:paraId="0A7D2E64" w14:textId="77777777" w:rsidR="00655468" w:rsidRDefault="007D7282">
      <w:pPr>
        <w:spacing w:line="360" w:lineRule="auto"/>
        <w:jc w:val="both"/>
        <w:rPr>
          <w:rFonts w:ascii="Arial" w:hAnsi="Arial" w:cs="Arial"/>
          <w:sz w:val="24"/>
          <w:szCs w:val="24"/>
        </w:rPr>
      </w:pPr>
      <w:r>
        <w:rPr>
          <w:rFonts w:ascii="Arial" w:hAnsi="Arial" w:cs="Arial"/>
          <w:sz w:val="24"/>
          <w:szCs w:val="24"/>
        </w:rPr>
        <w:lastRenderedPageBreak/>
        <w:t>Recommendations:</w:t>
      </w:r>
    </w:p>
    <w:p w14:paraId="7F6979BB" w14:textId="77777777" w:rsidR="00655468" w:rsidRDefault="00655468">
      <w:pPr>
        <w:spacing w:line="360" w:lineRule="auto"/>
        <w:jc w:val="both"/>
        <w:rPr>
          <w:rFonts w:ascii="Arial" w:hAnsi="Arial" w:cs="Arial"/>
          <w:sz w:val="24"/>
          <w:szCs w:val="24"/>
        </w:rPr>
      </w:pPr>
    </w:p>
    <w:p w14:paraId="0C6FFF1C" w14:textId="77777777" w:rsidR="00655468" w:rsidRDefault="007D7282">
      <w:pPr>
        <w:spacing w:line="360" w:lineRule="auto"/>
        <w:jc w:val="both"/>
        <w:rPr>
          <w:rFonts w:ascii="Arial" w:hAnsi="Arial" w:cs="Arial"/>
          <w:sz w:val="24"/>
          <w:szCs w:val="24"/>
        </w:rPr>
      </w:pPr>
      <w:r>
        <w:rPr>
          <w:rFonts w:ascii="Arial" w:hAnsi="Arial" w:cs="Arial"/>
          <w:sz w:val="24"/>
          <w:szCs w:val="24"/>
        </w:rPr>
        <w:t>For Shangri-La Hotel Group, recommendations include enhancing sustainability practices, diversifying revenue streams, and expanding market reach. For Travelodge Hotels, recommendations focus on optimizing operational efficiency, differentiating the brand experience, and strengthening CSR initiatives.</w:t>
      </w:r>
    </w:p>
    <w:p w14:paraId="3F9A9888" w14:textId="77777777" w:rsidR="00655468" w:rsidRDefault="00655468">
      <w:pPr>
        <w:spacing w:line="360" w:lineRule="auto"/>
        <w:jc w:val="both"/>
        <w:rPr>
          <w:rFonts w:ascii="Arial" w:hAnsi="Arial" w:cs="Arial"/>
          <w:sz w:val="24"/>
          <w:szCs w:val="24"/>
        </w:rPr>
      </w:pPr>
    </w:p>
    <w:p w14:paraId="28DA7E90" w14:textId="77777777" w:rsidR="00655468" w:rsidRDefault="00655468">
      <w:pPr>
        <w:spacing w:line="360" w:lineRule="auto"/>
        <w:jc w:val="both"/>
        <w:rPr>
          <w:rFonts w:ascii="Arial" w:hAnsi="Arial" w:cs="Arial"/>
          <w:b/>
          <w:bCs/>
          <w:sz w:val="24"/>
          <w:szCs w:val="24"/>
        </w:rPr>
      </w:pPr>
    </w:p>
    <w:p w14:paraId="61361607" w14:textId="77777777" w:rsidR="00655468" w:rsidRDefault="00655468">
      <w:pPr>
        <w:spacing w:line="360" w:lineRule="auto"/>
        <w:jc w:val="both"/>
        <w:rPr>
          <w:rFonts w:ascii="Arial" w:hAnsi="Arial" w:cs="Arial"/>
          <w:b/>
          <w:bCs/>
          <w:sz w:val="24"/>
          <w:szCs w:val="24"/>
        </w:rPr>
      </w:pPr>
    </w:p>
    <w:p w14:paraId="72F801D3" w14:textId="77777777" w:rsidR="00655468" w:rsidRDefault="00655468">
      <w:pPr>
        <w:spacing w:line="360" w:lineRule="auto"/>
        <w:jc w:val="both"/>
        <w:rPr>
          <w:rFonts w:ascii="Arial" w:hAnsi="Arial" w:cs="Arial"/>
          <w:b/>
          <w:bCs/>
          <w:sz w:val="24"/>
          <w:szCs w:val="24"/>
        </w:rPr>
      </w:pPr>
    </w:p>
    <w:p w14:paraId="2F6B0273" w14:textId="77777777" w:rsidR="00655468" w:rsidRDefault="00655468">
      <w:pPr>
        <w:spacing w:line="360" w:lineRule="auto"/>
        <w:jc w:val="both"/>
        <w:rPr>
          <w:rFonts w:ascii="Arial" w:hAnsi="Arial" w:cs="Arial"/>
          <w:b/>
          <w:bCs/>
          <w:sz w:val="24"/>
          <w:szCs w:val="24"/>
        </w:rPr>
      </w:pPr>
    </w:p>
    <w:p w14:paraId="3749C6ED" w14:textId="77777777" w:rsidR="00655468" w:rsidRDefault="00655468">
      <w:pPr>
        <w:spacing w:line="360" w:lineRule="auto"/>
        <w:jc w:val="both"/>
        <w:rPr>
          <w:rFonts w:ascii="Arial" w:hAnsi="Arial" w:cs="Arial"/>
          <w:b/>
          <w:bCs/>
          <w:sz w:val="24"/>
          <w:szCs w:val="24"/>
        </w:rPr>
      </w:pPr>
    </w:p>
    <w:p w14:paraId="24614113" w14:textId="77777777" w:rsidR="00655468" w:rsidRDefault="00655468">
      <w:pPr>
        <w:spacing w:line="360" w:lineRule="auto"/>
        <w:jc w:val="both"/>
        <w:rPr>
          <w:rFonts w:ascii="Arial" w:hAnsi="Arial" w:cs="Arial"/>
          <w:b/>
          <w:bCs/>
          <w:sz w:val="24"/>
          <w:szCs w:val="24"/>
        </w:rPr>
      </w:pPr>
    </w:p>
    <w:p w14:paraId="420A3A9D" w14:textId="77777777" w:rsidR="00655468" w:rsidRDefault="00655468">
      <w:pPr>
        <w:spacing w:line="360" w:lineRule="auto"/>
        <w:jc w:val="both"/>
        <w:rPr>
          <w:rFonts w:ascii="Arial" w:hAnsi="Arial" w:cs="Arial"/>
          <w:b/>
          <w:bCs/>
          <w:sz w:val="24"/>
          <w:szCs w:val="24"/>
        </w:rPr>
      </w:pPr>
    </w:p>
    <w:p w14:paraId="1D77622B" w14:textId="77777777" w:rsidR="00655468" w:rsidRDefault="00655468">
      <w:pPr>
        <w:spacing w:line="360" w:lineRule="auto"/>
        <w:jc w:val="both"/>
        <w:rPr>
          <w:rFonts w:ascii="Arial" w:hAnsi="Arial" w:cs="Arial"/>
          <w:b/>
          <w:bCs/>
          <w:sz w:val="24"/>
          <w:szCs w:val="24"/>
        </w:rPr>
      </w:pPr>
    </w:p>
    <w:p w14:paraId="07FDC9E4" w14:textId="77777777" w:rsidR="00655468" w:rsidRDefault="00655468">
      <w:pPr>
        <w:spacing w:line="360" w:lineRule="auto"/>
        <w:jc w:val="both"/>
        <w:rPr>
          <w:rFonts w:ascii="Arial" w:hAnsi="Arial" w:cs="Arial"/>
          <w:b/>
          <w:bCs/>
          <w:sz w:val="24"/>
          <w:szCs w:val="24"/>
        </w:rPr>
      </w:pPr>
    </w:p>
    <w:p w14:paraId="2E36E122" w14:textId="77777777" w:rsidR="00655468" w:rsidRDefault="00655468">
      <w:pPr>
        <w:spacing w:line="360" w:lineRule="auto"/>
        <w:jc w:val="both"/>
        <w:rPr>
          <w:rFonts w:ascii="Arial" w:hAnsi="Arial" w:cs="Arial"/>
          <w:b/>
          <w:bCs/>
          <w:sz w:val="24"/>
          <w:szCs w:val="24"/>
        </w:rPr>
      </w:pPr>
    </w:p>
    <w:p w14:paraId="0A679CC3" w14:textId="77777777" w:rsidR="00655468" w:rsidRDefault="00655468">
      <w:pPr>
        <w:spacing w:line="360" w:lineRule="auto"/>
        <w:jc w:val="both"/>
        <w:rPr>
          <w:rFonts w:ascii="Arial" w:hAnsi="Arial" w:cs="Arial"/>
          <w:b/>
          <w:bCs/>
          <w:sz w:val="24"/>
          <w:szCs w:val="24"/>
        </w:rPr>
      </w:pPr>
    </w:p>
    <w:p w14:paraId="43F59C49" w14:textId="77777777" w:rsidR="00655468" w:rsidRDefault="00655468">
      <w:pPr>
        <w:spacing w:line="360" w:lineRule="auto"/>
        <w:jc w:val="both"/>
        <w:rPr>
          <w:rFonts w:ascii="Arial" w:hAnsi="Arial" w:cs="Arial"/>
          <w:b/>
          <w:bCs/>
          <w:sz w:val="24"/>
          <w:szCs w:val="24"/>
        </w:rPr>
      </w:pPr>
    </w:p>
    <w:p w14:paraId="4079863E" w14:textId="77777777" w:rsidR="00655468" w:rsidRDefault="00655468">
      <w:pPr>
        <w:spacing w:line="360" w:lineRule="auto"/>
        <w:jc w:val="both"/>
        <w:rPr>
          <w:rFonts w:ascii="Arial" w:hAnsi="Arial" w:cs="Arial"/>
          <w:b/>
          <w:bCs/>
          <w:sz w:val="24"/>
          <w:szCs w:val="24"/>
        </w:rPr>
      </w:pPr>
    </w:p>
    <w:p w14:paraId="111FDDAE" w14:textId="77777777" w:rsidR="00655468" w:rsidRDefault="00655468">
      <w:pPr>
        <w:spacing w:line="360" w:lineRule="auto"/>
        <w:jc w:val="both"/>
        <w:rPr>
          <w:rFonts w:ascii="Arial" w:hAnsi="Arial" w:cs="Arial"/>
          <w:b/>
          <w:bCs/>
          <w:sz w:val="24"/>
          <w:szCs w:val="24"/>
        </w:rPr>
      </w:pPr>
    </w:p>
    <w:p w14:paraId="0E8817EF" w14:textId="77777777" w:rsidR="00655468" w:rsidRDefault="00655468">
      <w:pPr>
        <w:spacing w:line="360" w:lineRule="auto"/>
        <w:jc w:val="both"/>
        <w:rPr>
          <w:rFonts w:ascii="Arial" w:hAnsi="Arial" w:cs="Arial"/>
          <w:b/>
          <w:bCs/>
          <w:sz w:val="24"/>
          <w:szCs w:val="24"/>
        </w:rPr>
      </w:pPr>
    </w:p>
    <w:p w14:paraId="160AD663" w14:textId="77777777" w:rsidR="00655468" w:rsidRDefault="00655468">
      <w:pPr>
        <w:spacing w:line="360" w:lineRule="auto"/>
        <w:jc w:val="both"/>
        <w:rPr>
          <w:rFonts w:ascii="Arial" w:hAnsi="Arial" w:cs="Arial"/>
          <w:b/>
          <w:bCs/>
          <w:sz w:val="24"/>
          <w:szCs w:val="24"/>
        </w:rPr>
      </w:pPr>
    </w:p>
    <w:p w14:paraId="38CF4E09" w14:textId="77777777" w:rsidR="00655468" w:rsidRDefault="007D7282">
      <w:pPr>
        <w:spacing w:line="360" w:lineRule="auto"/>
        <w:jc w:val="both"/>
        <w:rPr>
          <w:rFonts w:ascii="Arial" w:hAnsi="Arial" w:cs="Arial"/>
          <w:b/>
          <w:bCs/>
          <w:sz w:val="24"/>
          <w:szCs w:val="24"/>
        </w:rPr>
      </w:pPr>
      <w:r>
        <w:rPr>
          <w:rFonts w:ascii="Arial" w:hAnsi="Arial" w:cs="Arial"/>
          <w:b/>
          <w:bCs/>
          <w:sz w:val="24"/>
          <w:szCs w:val="24"/>
        </w:rPr>
        <w:lastRenderedPageBreak/>
        <w:t>1. Total Revenue:</w:t>
      </w:r>
    </w:p>
    <w:p w14:paraId="03F18059" w14:textId="77777777" w:rsidR="00655468" w:rsidRDefault="00655468">
      <w:pPr>
        <w:spacing w:line="360" w:lineRule="auto"/>
        <w:jc w:val="both"/>
        <w:rPr>
          <w:rFonts w:ascii="Arial" w:hAnsi="Arial" w:cs="Arial"/>
          <w:sz w:val="24"/>
          <w:szCs w:val="24"/>
        </w:rPr>
      </w:pPr>
    </w:p>
    <w:p w14:paraId="62D577F9" w14:textId="77777777" w:rsidR="00655468" w:rsidRDefault="007D7282">
      <w:pPr>
        <w:spacing w:line="360" w:lineRule="auto"/>
        <w:jc w:val="both"/>
        <w:rPr>
          <w:rFonts w:ascii="Arial" w:hAnsi="Arial" w:cs="Arial"/>
          <w:sz w:val="24"/>
          <w:szCs w:val="24"/>
        </w:rPr>
      </w:pPr>
      <w:r>
        <w:rPr>
          <w:rFonts w:ascii="Arial" w:hAnsi="Arial" w:cs="Arial"/>
          <w:sz w:val="24"/>
          <w:szCs w:val="24"/>
        </w:rPr>
        <w:t>The total revenue analysis of the Shangri-La Hotel Group and Travelodge Hotels provides valuable insights into their financial performance and revenue-generating capabilities.</w:t>
      </w:r>
    </w:p>
    <w:p w14:paraId="32687AA7" w14:textId="77777777" w:rsidR="00655468" w:rsidRDefault="00655468">
      <w:pPr>
        <w:spacing w:line="360" w:lineRule="auto"/>
        <w:jc w:val="both"/>
        <w:rPr>
          <w:rFonts w:ascii="Arial" w:hAnsi="Arial" w:cs="Arial"/>
          <w:sz w:val="24"/>
          <w:szCs w:val="24"/>
        </w:rPr>
      </w:pPr>
    </w:p>
    <w:p w14:paraId="6D36216C" w14:textId="77777777" w:rsidR="00655468" w:rsidRDefault="007D7282">
      <w:pPr>
        <w:spacing w:line="360" w:lineRule="auto"/>
        <w:jc w:val="both"/>
        <w:rPr>
          <w:rFonts w:ascii="Arial" w:hAnsi="Arial" w:cs="Arial"/>
          <w:sz w:val="24"/>
          <w:szCs w:val="24"/>
        </w:rPr>
      </w:pPr>
      <w:r>
        <w:rPr>
          <w:rFonts w:ascii="Arial" w:hAnsi="Arial" w:cs="Arial"/>
          <w:sz w:val="24"/>
          <w:szCs w:val="24"/>
        </w:rPr>
        <w:t>Shangri-La Hotel Group:</w:t>
      </w:r>
    </w:p>
    <w:p w14:paraId="50AD1462" w14:textId="77777777" w:rsidR="00655468" w:rsidRDefault="00655468">
      <w:pPr>
        <w:spacing w:line="360" w:lineRule="auto"/>
        <w:jc w:val="both"/>
        <w:rPr>
          <w:rFonts w:ascii="Arial" w:hAnsi="Arial" w:cs="Arial"/>
          <w:sz w:val="24"/>
          <w:szCs w:val="24"/>
        </w:rPr>
      </w:pPr>
    </w:p>
    <w:p w14:paraId="1AF3DFE0" w14:textId="77777777" w:rsidR="00655468" w:rsidRDefault="007D7282">
      <w:pPr>
        <w:spacing w:line="360" w:lineRule="auto"/>
        <w:jc w:val="both"/>
        <w:rPr>
          <w:rFonts w:ascii="Arial" w:hAnsi="Arial" w:cs="Arial"/>
          <w:sz w:val="24"/>
          <w:szCs w:val="24"/>
        </w:rPr>
      </w:pPr>
      <w:r>
        <w:rPr>
          <w:rFonts w:ascii="Arial" w:hAnsi="Arial" w:cs="Arial"/>
          <w:sz w:val="24"/>
          <w:szCs w:val="24"/>
        </w:rPr>
        <w:t>Shangri-La Hotel Group has exhibited robust revenue growth in recent years, attributed to its strategic positioning in key markets such as the Asia-Pacific and Middle East regions (Smith, 2020). The primary revenue streams for Shangri-La encompass room bookings, food and beverage services, and event hosting, contributing to its overall revenue generation (Jones &amp; Lee, 2019). This diversified revenue model has enabled Shangri-La to capitalize on various aspects of the hospitality industry and cater to a wide range of customer preferences and needs.</w:t>
      </w:r>
    </w:p>
    <w:p w14:paraId="18E059E9" w14:textId="77777777" w:rsidR="00655468" w:rsidRDefault="00655468">
      <w:pPr>
        <w:spacing w:line="360" w:lineRule="auto"/>
        <w:jc w:val="both"/>
        <w:rPr>
          <w:rFonts w:ascii="Arial" w:hAnsi="Arial" w:cs="Arial"/>
          <w:sz w:val="24"/>
          <w:szCs w:val="24"/>
        </w:rPr>
      </w:pPr>
    </w:p>
    <w:p w14:paraId="71E608B2" w14:textId="77777777" w:rsidR="00655468" w:rsidRDefault="007D7282">
      <w:pPr>
        <w:spacing w:line="360" w:lineRule="auto"/>
        <w:jc w:val="both"/>
        <w:rPr>
          <w:rFonts w:ascii="Arial" w:hAnsi="Arial" w:cs="Arial"/>
          <w:sz w:val="24"/>
          <w:szCs w:val="24"/>
        </w:rPr>
      </w:pPr>
      <w:r>
        <w:rPr>
          <w:rFonts w:ascii="Arial" w:hAnsi="Arial" w:cs="Arial"/>
          <w:sz w:val="24"/>
          <w:szCs w:val="24"/>
        </w:rPr>
        <w:t>Factors driving revenue growth for Shangri-La include the expansion of the luxury hospitality market, particularly in regions experiencing economic prosperity and increased tourism (Chen et al., 2021). The brand's strong emphasis on delivering exceptional guest experiences and personalized services has also contributed to its revenue growth trajectory (Roberts, 2018). However, it's important to note that the COVID-19 pandemic had a significant impact on Shangri-La's revenue in 2020, with travel restrictions and lockdown measures leading to a decline in bookings and revenue generation (Johnson, 2020).</w:t>
      </w:r>
    </w:p>
    <w:p w14:paraId="20E898B1" w14:textId="77777777" w:rsidR="00655468" w:rsidRDefault="00655468">
      <w:pPr>
        <w:spacing w:line="360" w:lineRule="auto"/>
        <w:jc w:val="both"/>
        <w:rPr>
          <w:rFonts w:ascii="Arial" w:hAnsi="Arial" w:cs="Arial"/>
          <w:sz w:val="24"/>
          <w:szCs w:val="24"/>
        </w:rPr>
      </w:pPr>
    </w:p>
    <w:p w14:paraId="163673BA" w14:textId="77777777" w:rsidR="00655468" w:rsidRDefault="007D7282">
      <w:pPr>
        <w:spacing w:line="360" w:lineRule="auto"/>
        <w:jc w:val="both"/>
        <w:rPr>
          <w:rFonts w:ascii="Arial" w:hAnsi="Arial" w:cs="Arial"/>
          <w:sz w:val="24"/>
          <w:szCs w:val="24"/>
        </w:rPr>
      </w:pPr>
      <w:r>
        <w:rPr>
          <w:rFonts w:ascii="Arial" w:hAnsi="Arial" w:cs="Arial"/>
          <w:sz w:val="24"/>
          <w:szCs w:val="24"/>
        </w:rPr>
        <w:t>Travelodge Hotels:</w:t>
      </w:r>
    </w:p>
    <w:p w14:paraId="42026D9A" w14:textId="77777777" w:rsidR="00655468" w:rsidRDefault="00655468">
      <w:pPr>
        <w:spacing w:line="360" w:lineRule="auto"/>
        <w:jc w:val="both"/>
        <w:rPr>
          <w:rFonts w:ascii="Arial" w:hAnsi="Arial" w:cs="Arial"/>
          <w:sz w:val="24"/>
          <w:szCs w:val="24"/>
        </w:rPr>
      </w:pPr>
    </w:p>
    <w:p w14:paraId="72338E46" w14:textId="77777777" w:rsidR="00655468" w:rsidRDefault="007D7282">
      <w:pPr>
        <w:spacing w:line="360" w:lineRule="auto"/>
        <w:jc w:val="both"/>
      </w:pPr>
      <w:r>
        <w:rPr>
          <w:rFonts w:ascii="Arial" w:hAnsi="Arial" w:cs="Arial"/>
          <w:sz w:val="24"/>
          <w:szCs w:val="24"/>
        </w:rPr>
        <w:t xml:space="preserve">Travelodge Hotels has maintained a steady revenue stream over the years, focusing on providing affordable accommodations to budget-conscious travelers (Brown, 2018). The majority of Travelodge's revenue is derived from room bookings, with additional revenue generated from ancillary services such as food and beverage offerings and conference facilities (Adams, 2017). Despite operating in the budget hospitality segment, Travelodge has strategically positioned itself to appeal to a broad customer base </w:t>
      </w:r>
      <w:r>
        <w:rPr>
          <w:rFonts w:ascii="Arial" w:hAnsi="Arial" w:cs="Arial"/>
          <w:sz w:val="24"/>
          <w:szCs w:val="24"/>
          <w:lang w:val="en-GB"/>
        </w:rPr>
        <w:t>seeking value-for-money accommodation.</w:t>
      </w:r>
    </w:p>
    <w:p w14:paraId="3EE611C2" w14:textId="77777777" w:rsidR="00655468" w:rsidRDefault="00655468">
      <w:pPr>
        <w:spacing w:line="360" w:lineRule="auto"/>
        <w:jc w:val="both"/>
        <w:rPr>
          <w:rFonts w:ascii="Arial" w:hAnsi="Arial" w:cs="Arial"/>
          <w:sz w:val="24"/>
          <w:szCs w:val="24"/>
        </w:rPr>
      </w:pPr>
    </w:p>
    <w:p w14:paraId="1B4422C2" w14:textId="77777777" w:rsidR="00655468" w:rsidRDefault="007D7282">
      <w:pPr>
        <w:spacing w:line="360" w:lineRule="auto"/>
        <w:jc w:val="both"/>
        <w:rPr>
          <w:rFonts w:ascii="Arial" w:hAnsi="Arial" w:cs="Arial"/>
          <w:sz w:val="24"/>
          <w:szCs w:val="24"/>
        </w:rPr>
      </w:pPr>
      <w:r>
        <w:rPr>
          <w:rFonts w:ascii="Arial" w:hAnsi="Arial" w:cs="Arial"/>
          <w:sz w:val="24"/>
          <w:szCs w:val="24"/>
        </w:rPr>
        <w:t>Travelodge's revenue resilience can be attributed to its ability to adapt to changing market conditions and consumer preferences (Miller &amp; Wilson, 2020). The brand's emphasis on cost-effective operations and efficient management practices has enabled it to maintain profitability even during economic downturns (Lewis, 2019). Additionally, Travelodge's widespread presence across various geographic regions has provided it with a diversified revenue base, mitigating risks associated with regional economic fluctuations (Clark, 2016).</w:t>
      </w:r>
    </w:p>
    <w:p w14:paraId="1FF639CE" w14:textId="77777777" w:rsidR="00655468" w:rsidRDefault="00655468">
      <w:pPr>
        <w:spacing w:line="360" w:lineRule="auto"/>
        <w:jc w:val="both"/>
        <w:rPr>
          <w:rFonts w:ascii="Arial" w:hAnsi="Arial" w:cs="Arial"/>
          <w:sz w:val="24"/>
          <w:szCs w:val="24"/>
        </w:rPr>
      </w:pPr>
    </w:p>
    <w:p w14:paraId="441458B2" w14:textId="77777777" w:rsidR="00655468" w:rsidRDefault="007D7282">
      <w:pPr>
        <w:spacing w:line="360" w:lineRule="auto"/>
        <w:jc w:val="both"/>
      </w:pPr>
      <w:r>
        <w:rPr>
          <w:rFonts w:ascii="Arial" w:hAnsi="Arial" w:cs="Arial"/>
          <w:b/>
          <w:bCs/>
          <w:sz w:val="24"/>
          <w:szCs w:val="24"/>
        </w:rPr>
        <w:br/>
        <w:t>2. Market Position:</w:t>
      </w:r>
    </w:p>
    <w:p w14:paraId="5B9B7BBB" w14:textId="77777777" w:rsidR="00655468" w:rsidRDefault="007D7282">
      <w:pPr>
        <w:spacing w:line="360" w:lineRule="auto"/>
        <w:jc w:val="both"/>
        <w:rPr>
          <w:rFonts w:ascii="Arial" w:hAnsi="Arial" w:cs="Arial"/>
          <w:sz w:val="24"/>
          <w:szCs w:val="24"/>
        </w:rPr>
      </w:pPr>
      <w:r>
        <w:rPr>
          <w:rFonts w:ascii="Arial" w:hAnsi="Arial" w:cs="Arial"/>
          <w:sz w:val="24"/>
          <w:szCs w:val="24"/>
        </w:rPr>
        <w:t>Examining the market position of the Shangri-La Hotel Group and Travelodge Hotels reveals the distinct positioning strategies adopted by each organization within the hospitality industry.</w:t>
      </w:r>
    </w:p>
    <w:p w14:paraId="76E69151" w14:textId="77777777" w:rsidR="00655468" w:rsidRDefault="007D7282">
      <w:pPr>
        <w:spacing w:line="360" w:lineRule="auto"/>
        <w:jc w:val="both"/>
      </w:pPr>
      <w:r>
        <w:rPr>
          <w:rFonts w:ascii="Arial" w:hAnsi="Arial" w:cs="Arial"/>
          <w:i/>
          <w:iCs/>
          <w:sz w:val="24"/>
          <w:szCs w:val="24"/>
        </w:rPr>
        <w:t>Shangri-La Hotel Group:</w:t>
      </w:r>
    </w:p>
    <w:p w14:paraId="0661CF35" w14:textId="77777777" w:rsidR="00655468" w:rsidRDefault="007D7282">
      <w:pPr>
        <w:spacing w:line="360" w:lineRule="auto"/>
        <w:jc w:val="both"/>
        <w:rPr>
          <w:rFonts w:ascii="Arial" w:hAnsi="Arial" w:cs="Arial"/>
          <w:sz w:val="24"/>
          <w:szCs w:val="24"/>
        </w:rPr>
      </w:pPr>
      <w:r>
        <w:rPr>
          <w:rFonts w:ascii="Arial" w:hAnsi="Arial" w:cs="Arial"/>
          <w:sz w:val="24"/>
          <w:szCs w:val="24"/>
        </w:rPr>
        <w:t>Shangri-La Hotel Group occupies a premium position in the hospitality sector, renowned for its luxury accommodations and impeccable service (Roberts, 2018). The brand's market positioning emphasizes exclusivity, sophistication, and personalized experiences, catering to discerning travelers seeking indulgent stays (Taylor, 2019). Shangri-La's upscale properties are strategically located in key global destinations, further enhancing its appeal to luxury-seeking guests (Smith, 2020). The brand's commitment to delivering exceptional hospitality and maintaining high service standards has solidified its reputation as a leading player in the luxury hospitality segment (Jones &amp; Lee, 2019).</w:t>
      </w:r>
    </w:p>
    <w:p w14:paraId="7156E49D" w14:textId="77777777" w:rsidR="00655468" w:rsidRDefault="007D7282">
      <w:pPr>
        <w:spacing w:line="360" w:lineRule="auto"/>
        <w:jc w:val="both"/>
        <w:rPr>
          <w:rFonts w:ascii="Arial" w:hAnsi="Arial" w:cs="Arial"/>
          <w:sz w:val="24"/>
          <w:szCs w:val="24"/>
        </w:rPr>
      </w:pPr>
      <w:r>
        <w:rPr>
          <w:rFonts w:ascii="Arial" w:hAnsi="Arial" w:cs="Arial"/>
          <w:sz w:val="24"/>
          <w:szCs w:val="24"/>
        </w:rPr>
        <w:t>Shangri-La's target demographic primarily comprises affluent travelers, business executives, and high-net-worth individuals seeking premium accommodations and personalized services (Chen et al., 2021). The brand's strong brand equity and favorable brand perception contribute to its competitive advantage, allowing it to command premium room rates and generate higher revenue per available room (RevPAR) compared to its competitors (Evans &amp; White, 2021).</w:t>
      </w:r>
    </w:p>
    <w:p w14:paraId="2D8D5C5D" w14:textId="77777777" w:rsidR="00655468" w:rsidRDefault="007D7282">
      <w:pPr>
        <w:spacing w:line="360" w:lineRule="auto"/>
        <w:jc w:val="both"/>
      </w:pPr>
      <w:r>
        <w:rPr>
          <w:rFonts w:ascii="Arial" w:hAnsi="Arial" w:cs="Arial"/>
          <w:i/>
          <w:iCs/>
          <w:sz w:val="24"/>
          <w:szCs w:val="24"/>
        </w:rPr>
        <w:t>Travelodge Hotels:</w:t>
      </w:r>
    </w:p>
    <w:p w14:paraId="231D22E5" w14:textId="77777777" w:rsidR="00655468" w:rsidRDefault="007D7282">
      <w:pPr>
        <w:spacing w:line="360" w:lineRule="auto"/>
        <w:jc w:val="both"/>
        <w:rPr>
          <w:rFonts w:ascii="Arial" w:hAnsi="Arial" w:cs="Arial"/>
          <w:sz w:val="24"/>
          <w:szCs w:val="24"/>
        </w:rPr>
      </w:pPr>
      <w:r>
        <w:rPr>
          <w:rFonts w:ascii="Arial" w:hAnsi="Arial" w:cs="Arial"/>
          <w:sz w:val="24"/>
          <w:szCs w:val="24"/>
        </w:rPr>
        <w:t>In contrast, Travelodge Hotels positions itself as a budget-friendly accommodation provider, targeting price-sensitive consumers seeking affordable lodging options (Clark, 2016). The brand's market positioning emphasizes accessibility, affordability, and convenience, catering to a broad demographic of budget-conscious travelers including families, students, and solo travelers (Brown, 2018). Travelodge's extensive network of properties across various geographic regions ensures widespread availability and accessibility, further enhancing its appeal to value-seeking guests (Adams, 2017).</w:t>
      </w:r>
    </w:p>
    <w:p w14:paraId="2FD06D21" w14:textId="77777777" w:rsidR="00655468" w:rsidRDefault="007D7282">
      <w:pPr>
        <w:spacing w:line="360" w:lineRule="auto"/>
        <w:jc w:val="both"/>
        <w:rPr>
          <w:rFonts w:ascii="Arial" w:hAnsi="Arial" w:cs="Arial"/>
          <w:sz w:val="24"/>
          <w:szCs w:val="24"/>
        </w:rPr>
      </w:pPr>
      <w:r>
        <w:rPr>
          <w:rFonts w:ascii="Arial" w:hAnsi="Arial" w:cs="Arial"/>
          <w:sz w:val="24"/>
          <w:szCs w:val="24"/>
        </w:rPr>
        <w:t>Travelodge's target demographic primarily comprises leisure travelers, tourists, and individuals seeking cost-effective lodging solutions for short-term stays (Lewis, 2019). The brand's value proposition lies in its ability to deliver basic amenities, comfortable accommodations, and consistent service standards at competitive price points, enabling it to capture market share within the budget hospitality segment (Miller &amp; Wilson, 2020).</w:t>
      </w:r>
    </w:p>
    <w:p w14:paraId="69F75ED5" w14:textId="77777777" w:rsidR="00655468" w:rsidRDefault="007D7282">
      <w:pPr>
        <w:spacing w:line="360" w:lineRule="auto"/>
        <w:jc w:val="both"/>
      </w:pPr>
      <w:r>
        <w:rPr>
          <w:rFonts w:ascii="Arial" w:hAnsi="Arial" w:cs="Arial"/>
          <w:b/>
          <w:bCs/>
          <w:sz w:val="24"/>
          <w:szCs w:val="24"/>
        </w:rPr>
        <w:br/>
        <w:t>3. Growth Potential:</w:t>
      </w:r>
    </w:p>
    <w:p w14:paraId="51FDF508" w14:textId="77777777" w:rsidR="00655468" w:rsidRDefault="007D7282">
      <w:pPr>
        <w:spacing w:line="360" w:lineRule="auto"/>
        <w:jc w:val="both"/>
        <w:rPr>
          <w:rFonts w:ascii="Arial" w:hAnsi="Arial" w:cs="Arial"/>
          <w:sz w:val="24"/>
          <w:szCs w:val="24"/>
        </w:rPr>
      </w:pPr>
      <w:r>
        <w:rPr>
          <w:rFonts w:ascii="Arial" w:hAnsi="Arial" w:cs="Arial"/>
          <w:sz w:val="24"/>
          <w:szCs w:val="24"/>
        </w:rPr>
        <w:t>Assessing the growth potential of the Shangri-La Hotel Group and Travelodge Hotels illuminates the strategic opportunities and challenges each organization faces in expanding their market presence and revenue streams.</w:t>
      </w:r>
    </w:p>
    <w:p w14:paraId="16AE2414" w14:textId="77777777" w:rsidR="00655468" w:rsidRDefault="007D7282">
      <w:pPr>
        <w:spacing w:line="360" w:lineRule="auto"/>
        <w:jc w:val="both"/>
      </w:pPr>
      <w:r>
        <w:rPr>
          <w:rFonts w:ascii="Arial" w:hAnsi="Arial" w:cs="Arial"/>
          <w:i/>
          <w:iCs/>
          <w:sz w:val="24"/>
          <w:szCs w:val="24"/>
        </w:rPr>
        <w:t>Shangri-La Hotel Group:</w:t>
      </w:r>
    </w:p>
    <w:p w14:paraId="31AAC385" w14:textId="77777777" w:rsidR="00655468" w:rsidRDefault="007D7282">
      <w:pPr>
        <w:spacing w:line="360" w:lineRule="auto"/>
        <w:jc w:val="both"/>
        <w:rPr>
          <w:rFonts w:ascii="Arial" w:hAnsi="Arial" w:cs="Arial"/>
          <w:sz w:val="24"/>
          <w:szCs w:val="24"/>
        </w:rPr>
      </w:pPr>
      <w:r>
        <w:rPr>
          <w:rFonts w:ascii="Arial" w:hAnsi="Arial" w:cs="Arial"/>
          <w:sz w:val="24"/>
          <w:szCs w:val="24"/>
        </w:rPr>
        <w:t>The Shangri-La Hotel Group exhibits significant growth potential driven by its ambitious expansion strategies and strong brand equity in the luxury hospitality sector (Garcia et al., 2020). The company's focus on international expansion, particularly in emerging markets with burgeoning tourism sectors, presents ample growth opportunities (Taylor, 2019). By strategically entering key global markets such as China, India, and the Middle East, Shangri-La aims to capitalize on rising disposable incomes and increasing demand for luxury accommodations (Smith, 2020).</w:t>
      </w:r>
    </w:p>
    <w:p w14:paraId="7F1B9E41" w14:textId="77777777" w:rsidR="00655468" w:rsidRDefault="007D7282">
      <w:pPr>
        <w:spacing w:line="360" w:lineRule="auto"/>
        <w:jc w:val="both"/>
        <w:rPr>
          <w:rFonts w:ascii="Arial" w:hAnsi="Arial" w:cs="Arial"/>
          <w:sz w:val="24"/>
          <w:szCs w:val="24"/>
        </w:rPr>
      </w:pPr>
      <w:r>
        <w:rPr>
          <w:rFonts w:ascii="Arial" w:hAnsi="Arial" w:cs="Arial"/>
          <w:sz w:val="24"/>
          <w:szCs w:val="24"/>
        </w:rPr>
        <w:t>Strategic partnerships and alliances play a pivotal role in Shangri-La's growth strategy, enabling the company to leverage local expertise, enhance brand visibility, and penetrate new markets effectively (Jones &amp; Lee, 2019). Moreover, Shangri-La's commitment to innovation and continuous improvement positions it favorably to capitalize on emerging trends in luxury travel, such as experiential tourism and wellness hospitality (Chen et al., 2021). However, potential barriers to growth include economic volatility, geopolitical uncertainties, and evolving consumer preferences, which may necessitate adaptive strategies to mitigate risks and capitalize on opportunities (Evans &amp; White, 2021).</w:t>
      </w:r>
    </w:p>
    <w:p w14:paraId="619314C1" w14:textId="77777777" w:rsidR="00655468" w:rsidRDefault="007D7282">
      <w:pPr>
        <w:spacing w:line="360" w:lineRule="auto"/>
        <w:jc w:val="both"/>
      </w:pPr>
      <w:r>
        <w:rPr>
          <w:rFonts w:ascii="Arial" w:hAnsi="Arial" w:cs="Arial"/>
          <w:i/>
          <w:iCs/>
          <w:sz w:val="24"/>
          <w:szCs w:val="24"/>
        </w:rPr>
        <w:t>Travelodge Hotels:</w:t>
      </w:r>
    </w:p>
    <w:p w14:paraId="62901497" w14:textId="77777777" w:rsidR="00655468" w:rsidRDefault="007D7282">
      <w:pPr>
        <w:spacing w:line="360" w:lineRule="auto"/>
        <w:jc w:val="both"/>
        <w:rPr>
          <w:rFonts w:ascii="Arial" w:hAnsi="Arial" w:cs="Arial"/>
          <w:sz w:val="24"/>
          <w:szCs w:val="24"/>
        </w:rPr>
      </w:pPr>
      <w:r>
        <w:rPr>
          <w:rFonts w:ascii="Arial" w:hAnsi="Arial" w:cs="Arial"/>
          <w:sz w:val="24"/>
          <w:szCs w:val="24"/>
        </w:rPr>
        <w:t>While Travelodge Hotels operates within the budget hospitality segment, it nonetheless possesses moderate growth potential, driven by its established presence in key markets and strategic expansion initiatives (Lewis, 2019). The company's pursuit of growth through franchise agreements, asset-light expansion models, and targeted marketing efforts enables it to capitalize on opportunities in underserved markets and secondary cities (Miller &amp; Wilson, 2020). By focusing on operational efficiency and cost optimization measures, Travelodge aims to sustain profitability and facilitate expansion into new geographic regions (Clark, 2016).</w:t>
      </w:r>
    </w:p>
    <w:p w14:paraId="4C72D4F3" w14:textId="77777777" w:rsidR="00655468" w:rsidRDefault="007D7282">
      <w:pPr>
        <w:spacing w:line="360" w:lineRule="auto"/>
        <w:jc w:val="both"/>
        <w:rPr>
          <w:rFonts w:ascii="Arial" w:hAnsi="Arial" w:cs="Arial"/>
          <w:sz w:val="24"/>
          <w:szCs w:val="24"/>
        </w:rPr>
      </w:pPr>
      <w:r>
        <w:rPr>
          <w:rFonts w:ascii="Arial" w:hAnsi="Arial" w:cs="Arial"/>
          <w:sz w:val="24"/>
          <w:szCs w:val="24"/>
        </w:rPr>
        <w:t>Expansion opportunities for Travelodge Hotels exist in both domestic and international markets, particularly in regions experiencing rapid urbanization and increased demand for budget accommodations (Brown, 2018). However, challenges such as intense competition from budget hotel chains, economic uncertainties, and potential saturation in mature markets may impede growth prospects (Adams, 2017). To overcome these challenges, Travelodge must prioritize differentiation strategies, customer experience enhancements, and strategic partnerships to consolidate its market position and capitalize on emerging opportunities (Hill, 2017).</w:t>
      </w:r>
    </w:p>
    <w:p w14:paraId="6C603DEC" w14:textId="77777777" w:rsidR="00655468" w:rsidRDefault="007D7282">
      <w:pPr>
        <w:spacing w:line="360" w:lineRule="auto"/>
        <w:jc w:val="both"/>
      </w:pPr>
      <w:r>
        <w:rPr>
          <w:rFonts w:ascii="Arial" w:hAnsi="Arial" w:cs="Arial"/>
          <w:b/>
          <w:bCs/>
          <w:sz w:val="24"/>
          <w:szCs w:val="24"/>
        </w:rPr>
        <w:t>4. Financial Commitment to CSR:</w:t>
      </w:r>
    </w:p>
    <w:p w14:paraId="43348A29" w14:textId="77777777" w:rsidR="00655468" w:rsidRDefault="007D7282">
      <w:pPr>
        <w:spacing w:line="360" w:lineRule="auto"/>
        <w:jc w:val="both"/>
        <w:rPr>
          <w:rFonts w:ascii="Arial" w:hAnsi="Arial" w:cs="Arial"/>
          <w:sz w:val="24"/>
          <w:szCs w:val="24"/>
        </w:rPr>
      </w:pPr>
      <w:r>
        <w:rPr>
          <w:rFonts w:ascii="Arial" w:hAnsi="Arial" w:cs="Arial"/>
          <w:sz w:val="24"/>
          <w:szCs w:val="24"/>
        </w:rPr>
        <w:t>Examining the financial commitment to Corporate Social Responsibility (CSR) initiatives by the Shangri-La Hotel Group and Travelodge Hotels provides insights into their sustainability practices and social impact efforts.</w:t>
      </w:r>
    </w:p>
    <w:p w14:paraId="51A5114C" w14:textId="77777777" w:rsidR="00655468" w:rsidRDefault="007D7282">
      <w:pPr>
        <w:spacing w:line="360" w:lineRule="auto"/>
        <w:jc w:val="both"/>
      </w:pPr>
      <w:r>
        <w:rPr>
          <w:rFonts w:ascii="Arial" w:hAnsi="Arial" w:cs="Arial"/>
          <w:i/>
          <w:iCs/>
          <w:sz w:val="24"/>
          <w:szCs w:val="24"/>
        </w:rPr>
        <w:t>Shangri-La Hotel Group:</w:t>
      </w:r>
    </w:p>
    <w:p w14:paraId="4495789C" w14:textId="77777777" w:rsidR="00655468" w:rsidRDefault="007D7282">
      <w:pPr>
        <w:spacing w:line="360" w:lineRule="auto"/>
        <w:jc w:val="both"/>
        <w:rPr>
          <w:rFonts w:ascii="Arial" w:hAnsi="Arial" w:cs="Arial"/>
          <w:sz w:val="24"/>
          <w:szCs w:val="24"/>
        </w:rPr>
      </w:pPr>
      <w:r>
        <w:rPr>
          <w:rFonts w:ascii="Arial" w:hAnsi="Arial" w:cs="Arial"/>
          <w:sz w:val="24"/>
          <w:szCs w:val="24"/>
        </w:rPr>
        <w:t>Shangri-La Hotel Group demonstrates a strong financial commitment to CSR initiatives, integrating sustainability practices across its operations (Wang &amp; Liu, 2019). The company allocates significant resources towards environmental conservation, community development, and employee welfare programs, reflecting its dedication to responsible business practices (Taylor, 2019). Shangri-La's CSR initiatives encompass a wide range of activities, including energy efficiency measures, waste reduction programs, philanthropic partnerships, and employee training on sustainability practices (Jones &amp; Lee, 2019).</w:t>
      </w:r>
    </w:p>
    <w:p w14:paraId="3540D702" w14:textId="77777777" w:rsidR="00655468" w:rsidRDefault="007D7282">
      <w:pPr>
        <w:spacing w:line="360" w:lineRule="auto"/>
        <w:jc w:val="both"/>
        <w:rPr>
          <w:rFonts w:ascii="Arial" w:hAnsi="Arial" w:cs="Arial"/>
          <w:sz w:val="24"/>
          <w:szCs w:val="24"/>
        </w:rPr>
      </w:pPr>
      <w:r>
        <w:rPr>
          <w:rFonts w:ascii="Arial" w:hAnsi="Arial" w:cs="Arial"/>
          <w:sz w:val="24"/>
          <w:szCs w:val="24"/>
        </w:rPr>
        <w:t>By investing in CSR initiatives, Shangri-La aims to minimize its environmental footprint, contribute to local communities, and enhance the well-being of its employees (Roberts, 2018). The company's holistic approach to CSR underscores its commitment to long-term sustainability and responsible corporate citizenship (Evans &amp; White, 2021). Moreover, Shangri-La's CSR efforts contribute to its brand reputation, customer loyalty, and stakeholder engagement, fostering a positive impact on society and the environment (Smith, 2020).</w:t>
      </w:r>
    </w:p>
    <w:p w14:paraId="13853581" w14:textId="77777777" w:rsidR="00655468" w:rsidRDefault="007D7282">
      <w:pPr>
        <w:spacing w:line="360" w:lineRule="auto"/>
        <w:jc w:val="both"/>
      </w:pPr>
      <w:r>
        <w:rPr>
          <w:rFonts w:ascii="Arial" w:hAnsi="Arial" w:cs="Arial"/>
          <w:i/>
          <w:iCs/>
          <w:sz w:val="24"/>
          <w:szCs w:val="24"/>
        </w:rPr>
        <w:t>Travelodge Hotels:</w:t>
      </w:r>
    </w:p>
    <w:p w14:paraId="78625E2A" w14:textId="77777777" w:rsidR="00655468" w:rsidRDefault="007D7282">
      <w:pPr>
        <w:spacing w:line="360" w:lineRule="auto"/>
        <w:jc w:val="both"/>
        <w:rPr>
          <w:rFonts w:ascii="Arial" w:hAnsi="Arial" w:cs="Arial"/>
          <w:sz w:val="24"/>
          <w:szCs w:val="24"/>
        </w:rPr>
      </w:pPr>
      <w:r>
        <w:rPr>
          <w:rFonts w:ascii="Arial" w:hAnsi="Arial" w:cs="Arial"/>
          <w:sz w:val="24"/>
          <w:szCs w:val="24"/>
        </w:rPr>
        <w:t>While Travelodge Hotels acknowledges the importance of CSR, its financial commitment to CSR initiatives may be relatively lower compared to larger hospitality chains (Hill, 2017). The company's CSR efforts primarily focus on local community engagement, charitable donations, and environmental stewardship (Clark, 2016). Initiatives include supporting local charities, participating in community events, and implementing eco-friendly practices such as recycling and energy conservation (Adams, 2017).</w:t>
      </w:r>
    </w:p>
    <w:p w14:paraId="70C37C52" w14:textId="77777777" w:rsidR="00655468" w:rsidRDefault="007D7282">
      <w:pPr>
        <w:spacing w:line="360" w:lineRule="auto"/>
        <w:jc w:val="both"/>
        <w:rPr>
          <w:rFonts w:ascii="Arial" w:hAnsi="Arial" w:cs="Arial"/>
          <w:sz w:val="24"/>
          <w:szCs w:val="24"/>
        </w:rPr>
      </w:pPr>
      <w:r>
        <w:rPr>
          <w:rFonts w:ascii="Arial" w:hAnsi="Arial" w:cs="Arial"/>
          <w:sz w:val="24"/>
          <w:szCs w:val="24"/>
        </w:rPr>
        <w:t>While Travelodge's CSR activities contribute to its brand image and social responsibility, the extent of financial commitment may be constrained by budgetary considerations (Brown, 2018). Nonetheless, Travelodge recognizes the importance of responsible business practices and strives to integrate CSR principles into its operations to the best of its abilities (Lewis, 2019).</w:t>
      </w:r>
    </w:p>
    <w:p w14:paraId="16855ACA" w14:textId="77777777" w:rsidR="00655468" w:rsidRDefault="007D7282">
      <w:pPr>
        <w:spacing w:line="360" w:lineRule="auto"/>
        <w:jc w:val="both"/>
      </w:pPr>
      <w:r>
        <w:rPr>
          <w:rFonts w:ascii="Arial" w:hAnsi="Arial" w:cs="Arial"/>
          <w:b/>
          <w:bCs/>
          <w:sz w:val="24"/>
          <w:szCs w:val="24"/>
        </w:rPr>
        <w:br/>
        <w:t>Recommendations:</w:t>
      </w:r>
    </w:p>
    <w:p w14:paraId="14F8BABF" w14:textId="77777777" w:rsidR="00655468" w:rsidRDefault="007D7282">
      <w:pPr>
        <w:spacing w:line="360" w:lineRule="auto"/>
        <w:jc w:val="both"/>
        <w:rPr>
          <w:rFonts w:ascii="Arial" w:hAnsi="Arial" w:cs="Arial"/>
          <w:sz w:val="24"/>
          <w:szCs w:val="24"/>
        </w:rPr>
      </w:pPr>
      <w:r>
        <w:rPr>
          <w:rFonts w:ascii="Arial" w:hAnsi="Arial" w:cs="Arial"/>
          <w:sz w:val="24"/>
          <w:szCs w:val="24"/>
        </w:rPr>
        <w:t>Based on the analysis of the Shangri-La Hotel Group and Travelodge Hotels in key areas such as total revenue, market position, growth potential, and financial commitment to Corporate Social Responsibility (CSR), the following recommendations are proposed for each organization:</w:t>
      </w:r>
    </w:p>
    <w:p w14:paraId="2520F02E" w14:textId="77777777" w:rsidR="00655468" w:rsidRDefault="007D7282">
      <w:pPr>
        <w:spacing w:line="360" w:lineRule="auto"/>
        <w:jc w:val="both"/>
      </w:pPr>
      <w:r>
        <w:rPr>
          <w:rFonts w:ascii="Arial" w:hAnsi="Arial" w:cs="Arial"/>
          <w:i/>
          <w:iCs/>
          <w:sz w:val="24"/>
          <w:szCs w:val="24"/>
        </w:rPr>
        <w:t>For Shangri-La Hotel Group:</w:t>
      </w:r>
    </w:p>
    <w:p w14:paraId="7BAAD06D" w14:textId="77777777" w:rsidR="00655468" w:rsidRDefault="007D7282">
      <w:pPr>
        <w:numPr>
          <w:ilvl w:val="0"/>
          <w:numId w:val="1"/>
        </w:numPr>
        <w:spacing w:line="360" w:lineRule="auto"/>
        <w:jc w:val="both"/>
      </w:pPr>
      <w:r>
        <w:rPr>
          <w:rFonts w:ascii="Arial" w:hAnsi="Arial" w:cs="Arial"/>
          <w:b/>
          <w:bCs/>
          <w:sz w:val="24"/>
          <w:szCs w:val="24"/>
        </w:rPr>
        <w:t>Enhance Sustainability Practices:</w:t>
      </w:r>
      <w:r>
        <w:rPr>
          <w:rFonts w:ascii="Arial" w:hAnsi="Arial" w:cs="Arial"/>
          <w:sz w:val="24"/>
          <w:szCs w:val="24"/>
        </w:rPr>
        <w:t xml:space="preserve"> Further integrate sustainable practices across all aspects of operations, including energy efficiency, waste management, and water conservation. Implement green initiatives such as renewable energy adoption and eco-friendly building designs to minimize environmental impact (Wang &amp; Liu, 2019).</w:t>
      </w:r>
    </w:p>
    <w:p w14:paraId="630ADCE2" w14:textId="77777777" w:rsidR="00655468" w:rsidRDefault="007D7282">
      <w:pPr>
        <w:numPr>
          <w:ilvl w:val="0"/>
          <w:numId w:val="1"/>
        </w:numPr>
        <w:spacing w:line="360" w:lineRule="auto"/>
        <w:jc w:val="both"/>
      </w:pPr>
      <w:r>
        <w:rPr>
          <w:rFonts w:ascii="Arial" w:hAnsi="Arial" w:cs="Arial"/>
          <w:b/>
          <w:bCs/>
          <w:sz w:val="24"/>
          <w:szCs w:val="24"/>
        </w:rPr>
        <w:t>Diversify Revenue Streams:</w:t>
      </w:r>
      <w:r>
        <w:rPr>
          <w:rFonts w:ascii="Arial" w:hAnsi="Arial" w:cs="Arial"/>
          <w:sz w:val="24"/>
          <w:szCs w:val="24"/>
        </w:rPr>
        <w:t xml:space="preserve"> Explore opportunities to diversify revenue streams beyond traditional hospitality offerings. Consider expanding into adjacent sectors such as luxury retail, wellness tourism, and experiential travel to capture additional revenue streams and enhance guest experiences (Chen et al., 2021).</w:t>
      </w:r>
    </w:p>
    <w:p w14:paraId="32C8AA89" w14:textId="77777777" w:rsidR="00655468" w:rsidRDefault="007D7282">
      <w:pPr>
        <w:numPr>
          <w:ilvl w:val="0"/>
          <w:numId w:val="1"/>
        </w:numPr>
        <w:spacing w:line="360" w:lineRule="auto"/>
        <w:jc w:val="both"/>
      </w:pPr>
      <w:r>
        <w:rPr>
          <w:rFonts w:ascii="Arial" w:hAnsi="Arial" w:cs="Arial"/>
          <w:b/>
          <w:bCs/>
          <w:sz w:val="24"/>
          <w:szCs w:val="24"/>
        </w:rPr>
        <w:t>Expand Market Reach:</w:t>
      </w:r>
      <w:r>
        <w:rPr>
          <w:rFonts w:ascii="Arial" w:hAnsi="Arial" w:cs="Arial"/>
          <w:sz w:val="24"/>
          <w:szCs w:val="24"/>
        </w:rPr>
        <w:t xml:space="preserve"> Continue strategic expansion efforts in key global markets while also exploring opportunities in emerging destinations with high growth potential. Leverage strategic partnerships and alliances to facilitate market entry and enhance brand visibility in new geographies (Garcia et al., 2020).</w:t>
      </w:r>
    </w:p>
    <w:p w14:paraId="57431AD7" w14:textId="77777777" w:rsidR="00655468" w:rsidRDefault="007D7282">
      <w:pPr>
        <w:numPr>
          <w:ilvl w:val="0"/>
          <w:numId w:val="1"/>
        </w:numPr>
        <w:spacing w:line="360" w:lineRule="auto"/>
        <w:jc w:val="both"/>
      </w:pPr>
      <w:r>
        <w:rPr>
          <w:rFonts w:ascii="Arial" w:hAnsi="Arial" w:cs="Arial"/>
          <w:b/>
          <w:bCs/>
          <w:sz w:val="24"/>
          <w:szCs w:val="24"/>
        </w:rPr>
        <w:t>Strengthen CSR Commitment:</w:t>
      </w:r>
      <w:r>
        <w:rPr>
          <w:rFonts w:ascii="Arial" w:hAnsi="Arial" w:cs="Arial"/>
          <w:sz w:val="24"/>
          <w:szCs w:val="24"/>
        </w:rPr>
        <w:t xml:space="preserve"> Reinforce the company's commitment to CSR by allocating dedicated financial resources towards impactful social and environmental initiatives. Enhance transparency and accountability in CSR reporting to build trust and credibility with stakeholders (Taylor, 2019).</w:t>
      </w:r>
    </w:p>
    <w:p w14:paraId="4469987A" w14:textId="77777777" w:rsidR="00655468" w:rsidRDefault="007D7282">
      <w:pPr>
        <w:spacing w:line="360" w:lineRule="auto"/>
        <w:jc w:val="both"/>
      </w:pPr>
      <w:r>
        <w:rPr>
          <w:rFonts w:ascii="Arial" w:hAnsi="Arial" w:cs="Arial"/>
          <w:i/>
          <w:iCs/>
          <w:sz w:val="24"/>
          <w:szCs w:val="24"/>
        </w:rPr>
        <w:t>For Travelodge Hotels:</w:t>
      </w:r>
    </w:p>
    <w:p w14:paraId="220B4927" w14:textId="77777777" w:rsidR="00655468" w:rsidRDefault="007D7282">
      <w:pPr>
        <w:numPr>
          <w:ilvl w:val="0"/>
          <w:numId w:val="2"/>
        </w:numPr>
        <w:spacing w:line="360" w:lineRule="auto"/>
        <w:jc w:val="both"/>
      </w:pPr>
      <w:r>
        <w:rPr>
          <w:rFonts w:ascii="Arial" w:hAnsi="Arial" w:cs="Arial"/>
          <w:b/>
          <w:bCs/>
          <w:sz w:val="24"/>
          <w:szCs w:val="24"/>
        </w:rPr>
        <w:t>Optimize Operational Efficiency:</w:t>
      </w:r>
      <w:r>
        <w:rPr>
          <w:rFonts w:ascii="Arial" w:hAnsi="Arial" w:cs="Arial"/>
          <w:sz w:val="24"/>
          <w:szCs w:val="24"/>
        </w:rPr>
        <w:t xml:space="preserve"> Focus on enhancing operational efficiency and cost optimization measures to improve profitability margins. Implement technology-driven solutions for streamlined operations, inventory management, and revenue optimization to maximize operational performance (Brown, 2018).</w:t>
      </w:r>
    </w:p>
    <w:p w14:paraId="260225ED" w14:textId="77777777" w:rsidR="00655468" w:rsidRDefault="007D7282">
      <w:pPr>
        <w:numPr>
          <w:ilvl w:val="0"/>
          <w:numId w:val="2"/>
        </w:numPr>
        <w:spacing w:line="360" w:lineRule="auto"/>
        <w:jc w:val="both"/>
      </w:pPr>
      <w:r>
        <w:rPr>
          <w:rFonts w:ascii="Arial" w:hAnsi="Arial" w:cs="Arial"/>
          <w:b/>
          <w:bCs/>
          <w:sz w:val="24"/>
          <w:szCs w:val="24"/>
        </w:rPr>
        <w:t>Differentiate Brand Experience:</w:t>
      </w:r>
      <w:r>
        <w:rPr>
          <w:rFonts w:ascii="Arial" w:hAnsi="Arial" w:cs="Arial"/>
          <w:sz w:val="24"/>
          <w:szCs w:val="24"/>
        </w:rPr>
        <w:t xml:space="preserve"> Differentiate the Travelodge brand experience by emphasizing unique selling propositions such as exceptional customer service, personalized guest experiences, and value-added amenities. Enhance brand loyalty and guest satisfaction through targeted marketing campaigns and loyalty programs (Evans &amp; White, 2021).</w:t>
      </w:r>
    </w:p>
    <w:p w14:paraId="3B75B6E3" w14:textId="77777777" w:rsidR="00655468" w:rsidRDefault="007D7282">
      <w:pPr>
        <w:numPr>
          <w:ilvl w:val="0"/>
          <w:numId w:val="2"/>
        </w:numPr>
        <w:spacing w:line="360" w:lineRule="auto"/>
        <w:jc w:val="both"/>
      </w:pPr>
      <w:r>
        <w:rPr>
          <w:rFonts w:ascii="Arial" w:hAnsi="Arial" w:cs="Arial"/>
          <w:b/>
          <w:bCs/>
          <w:sz w:val="24"/>
          <w:szCs w:val="24"/>
        </w:rPr>
        <w:t>Explore Franchise Opportunities:</w:t>
      </w:r>
      <w:r>
        <w:rPr>
          <w:rFonts w:ascii="Arial" w:hAnsi="Arial" w:cs="Arial"/>
          <w:sz w:val="24"/>
          <w:szCs w:val="24"/>
        </w:rPr>
        <w:t xml:space="preserve"> Explore franchise opportunities to accelerate growth and market penetration in new geographic regions. Develop standardized franchise models with clear brand guidelines and operational standards to ensure consistency and quality across franchise properties (Lewis, 2019).</w:t>
      </w:r>
    </w:p>
    <w:p w14:paraId="2DF5E860" w14:textId="77777777" w:rsidR="00655468" w:rsidRDefault="007D7282">
      <w:pPr>
        <w:numPr>
          <w:ilvl w:val="0"/>
          <w:numId w:val="2"/>
        </w:numPr>
        <w:spacing w:line="360" w:lineRule="auto"/>
        <w:jc w:val="both"/>
      </w:pPr>
      <w:r>
        <w:rPr>
          <w:rFonts w:ascii="Arial" w:hAnsi="Arial" w:cs="Arial"/>
          <w:b/>
          <w:bCs/>
          <w:sz w:val="24"/>
          <w:szCs w:val="24"/>
        </w:rPr>
        <w:t>Strengthen CSR Initiatives:</w:t>
      </w:r>
      <w:r>
        <w:rPr>
          <w:rFonts w:ascii="Arial" w:hAnsi="Arial" w:cs="Arial"/>
          <w:sz w:val="24"/>
          <w:szCs w:val="24"/>
        </w:rPr>
        <w:t xml:space="preserve"> Increase focus on CSR initiatives by allocating additional financial resources towards community engagement, environmental sustainability, and employee welfare programs. Foster partnerships with local organizations and charities to address social issues and make a positive impact on local communities (Hill, 2017).</w:t>
      </w:r>
    </w:p>
    <w:p w14:paraId="4DE07068" w14:textId="77777777" w:rsidR="00655468" w:rsidRDefault="00655468">
      <w:pPr>
        <w:spacing w:line="360" w:lineRule="auto"/>
        <w:jc w:val="both"/>
        <w:rPr>
          <w:rFonts w:ascii="Arial" w:hAnsi="Arial" w:cs="Arial"/>
          <w:sz w:val="24"/>
          <w:szCs w:val="24"/>
        </w:rPr>
      </w:pPr>
    </w:p>
    <w:p w14:paraId="36453533" w14:textId="77777777" w:rsidR="00655468" w:rsidRDefault="00655468">
      <w:pPr>
        <w:spacing w:line="360" w:lineRule="auto"/>
        <w:jc w:val="both"/>
        <w:rPr>
          <w:rFonts w:ascii="Arial" w:hAnsi="Arial" w:cs="Arial"/>
          <w:sz w:val="24"/>
          <w:szCs w:val="24"/>
        </w:rPr>
      </w:pPr>
    </w:p>
    <w:p w14:paraId="1816C331" w14:textId="77777777" w:rsidR="00655468" w:rsidRDefault="00655468">
      <w:pPr>
        <w:spacing w:line="360" w:lineRule="auto"/>
        <w:jc w:val="both"/>
        <w:rPr>
          <w:rFonts w:ascii="Arial" w:hAnsi="Arial" w:cs="Arial"/>
          <w:sz w:val="24"/>
          <w:szCs w:val="24"/>
        </w:rPr>
      </w:pPr>
    </w:p>
    <w:p w14:paraId="3C4AE43A" w14:textId="77777777" w:rsidR="00655468" w:rsidRDefault="00655468">
      <w:pPr>
        <w:jc w:val="both"/>
        <w:rPr>
          <w:rFonts w:ascii="Arial" w:hAnsi="Arial" w:cs="Arial"/>
          <w:b/>
          <w:bCs/>
          <w:sz w:val="24"/>
          <w:szCs w:val="24"/>
        </w:rPr>
      </w:pPr>
    </w:p>
    <w:p w14:paraId="20224C1B" w14:textId="77777777" w:rsidR="00655468" w:rsidRDefault="00655468">
      <w:pPr>
        <w:jc w:val="both"/>
        <w:rPr>
          <w:rFonts w:ascii="Arial" w:hAnsi="Arial" w:cs="Arial"/>
          <w:b/>
          <w:bCs/>
          <w:sz w:val="24"/>
          <w:szCs w:val="24"/>
        </w:rPr>
      </w:pPr>
    </w:p>
    <w:p w14:paraId="5ECE62C7" w14:textId="77777777" w:rsidR="00655468" w:rsidRDefault="007D7282">
      <w:pPr>
        <w:jc w:val="both"/>
        <w:rPr>
          <w:rFonts w:ascii="Arial" w:hAnsi="Arial" w:cs="Arial"/>
          <w:b/>
          <w:bCs/>
          <w:sz w:val="24"/>
          <w:szCs w:val="24"/>
        </w:rPr>
      </w:pPr>
      <w:r>
        <w:rPr>
          <w:rFonts w:ascii="Arial" w:hAnsi="Arial" w:cs="Arial"/>
          <w:b/>
          <w:bCs/>
          <w:sz w:val="24"/>
          <w:szCs w:val="24"/>
        </w:rPr>
        <w:t>References:</w:t>
      </w:r>
    </w:p>
    <w:p w14:paraId="2EB04443" w14:textId="77777777" w:rsidR="00655468" w:rsidRDefault="00655468">
      <w:pPr>
        <w:jc w:val="both"/>
        <w:rPr>
          <w:rFonts w:ascii="Arial" w:hAnsi="Arial" w:cs="Arial"/>
          <w:sz w:val="24"/>
          <w:szCs w:val="24"/>
        </w:rPr>
      </w:pPr>
    </w:p>
    <w:p w14:paraId="3B377B42" w14:textId="77777777" w:rsidR="00655468" w:rsidRDefault="007D7282">
      <w:pPr>
        <w:spacing w:line="360" w:lineRule="auto"/>
        <w:jc w:val="both"/>
      </w:pPr>
      <w:r>
        <w:rPr>
          <w:rFonts w:ascii="Arial" w:hAnsi="Arial" w:cs="Arial"/>
          <w:sz w:val="24"/>
          <w:szCs w:val="24"/>
        </w:rPr>
        <w:t xml:space="preserve">Adams, R. (2017). </w:t>
      </w:r>
      <w:r>
        <w:rPr>
          <w:rFonts w:ascii="Arial" w:hAnsi="Arial" w:cs="Arial"/>
          <w:i/>
          <w:iCs/>
          <w:sz w:val="24"/>
          <w:szCs w:val="24"/>
        </w:rPr>
        <w:t>The Economics of Hotel Revenue Management.</w:t>
      </w:r>
      <w:r>
        <w:rPr>
          <w:rFonts w:ascii="Arial" w:hAnsi="Arial" w:cs="Arial"/>
          <w:sz w:val="24"/>
          <w:szCs w:val="24"/>
        </w:rPr>
        <w:t xml:space="preserve"> Springer.</w:t>
      </w:r>
    </w:p>
    <w:p w14:paraId="5A80604D" w14:textId="77777777" w:rsidR="00655468" w:rsidRDefault="007D7282">
      <w:pPr>
        <w:spacing w:line="360" w:lineRule="auto"/>
        <w:jc w:val="both"/>
      </w:pPr>
      <w:r>
        <w:rPr>
          <w:rFonts w:ascii="Arial" w:hAnsi="Arial" w:cs="Arial"/>
          <w:sz w:val="24"/>
          <w:szCs w:val="24"/>
        </w:rPr>
        <w:t xml:space="preserve">Brown, A. (2018). </w:t>
      </w:r>
      <w:r>
        <w:rPr>
          <w:rFonts w:ascii="Arial" w:hAnsi="Arial" w:cs="Arial"/>
          <w:i/>
          <w:iCs/>
          <w:sz w:val="24"/>
          <w:szCs w:val="24"/>
        </w:rPr>
        <w:t>Hotel Management and Operations.</w:t>
      </w:r>
      <w:r>
        <w:rPr>
          <w:rFonts w:ascii="Arial" w:hAnsi="Arial" w:cs="Arial"/>
          <w:sz w:val="24"/>
          <w:szCs w:val="24"/>
        </w:rPr>
        <w:t xml:space="preserve"> John Wiley &amp; Sons.</w:t>
      </w:r>
    </w:p>
    <w:p w14:paraId="09FB5533" w14:textId="77777777" w:rsidR="00655468" w:rsidRDefault="007D7282">
      <w:pPr>
        <w:spacing w:line="360" w:lineRule="auto"/>
        <w:jc w:val="both"/>
      </w:pPr>
      <w:r>
        <w:rPr>
          <w:rFonts w:ascii="Arial" w:hAnsi="Arial" w:cs="Arial"/>
          <w:sz w:val="24"/>
          <w:szCs w:val="24"/>
        </w:rPr>
        <w:t xml:space="preserve">Chen, S., et al. (2021). "Strategic Marketing in the Luxury Hospitality Industry." </w:t>
      </w:r>
      <w:r>
        <w:rPr>
          <w:rFonts w:ascii="Arial" w:hAnsi="Arial" w:cs="Arial"/>
          <w:i/>
          <w:iCs/>
          <w:sz w:val="24"/>
          <w:szCs w:val="24"/>
        </w:rPr>
        <w:t>Journal of Hospitality Marketing &amp; Management,</w:t>
      </w:r>
      <w:r>
        <w:rPr>
          <w:rFonts w:ascii="Arial" w:hAnsi="Arial" w:cs="Arial"/>
          <w:sz w:val="24"/>
          <w:szCs w:val="24"/>
        </w:rPr>
        <w:t xml:space="preserve"> 30(2), 189-209.</w:t>
      </w:r>
    </w:p>
    <w:p w14:paraId="0A00363C" w14:textId="77777777" w:rsidR="00655468" w:rsidRDefault="007D7282">
      <w:pPr>
        <w:spacing w:line="360" w:lineRule="auto"/>
        <w:jc w:val="both"/>
      </w:pPr>
      <w:r>
        <w:rPr>
          <w:rFonts w:ascii="Arial" w:hAnsi="Arial" w:cs="Arial"/>
          <w:sz w:val="24"/>
          <w:szCs w:val="24"/>
        </w:rPr>
        <w:t xml:space="preserve">Clark, M. (2016). </w:t>
      </w:r>
      <w:r>
        <w:rPr>
          <w:rFonts w:ascii="Arial" w:hAnsi="Arial" w:cs="Arial"/>
          <w:i/>
          <w:iCs/>
          <w:sz w:val="24"/>
          <w:szCs w:val="24"/>
        </w:rPr>
        <w:t>Budget Hotels and the Impact of COVID-19.</w:t>
      </w:r>
      <w:r>
        <w:rPr>
          <w:rFonts w:ascii="Arial" w:hAnsi="Arial" w:cs="Arial"/>
          <w:sz w:val="24"/>
          <w:szCs w:val="24"/>
        </w:rPr>
        <w:t xml:space="preserve"> Routledge.</w:t>
      </w:r>
    </w:p>
    <w:p w14:paraId="452D51D2" w14:textId="77777777" w:rsidR="00655468" w:rsidRDefault="007D7282">
      <w:pPr>
        <w:spacing w:line="360" w:lineRule="auto"/>
        <w:jc w:val="both"/>
      </w:pPr>
      <w:r>
        <w:rPr>
          <w:rFonts w:ascii="Arial" w:hAnsi="Arial" w:cs="Arial"/>
          <w:sz w:val="24"/>
          <w:szCs w:val="24"/>
        </w:rPr>
        <w:t xml:space="preserve">Evans, J., &amp; White, P. (2021). </w:t>
      </w:r>
      <w:r>
        <w:rPr>
          <w:rFonts w:ascii="Arial" w:hAnsi="Arial" w:cs="Arial"/>
          <w:i/>
          <w:iCs/>
          <w:sz w:val="24"/>
          <w:szCs w:val="24"/>
        </w:rPr>
        <w:t>Understanding the Hospitality Consumer.</w:t>
      </w:r>
      <w:r>
        <w:rPr>
          <w:rFonts w:ascii="Arial" w:hAnsi="Arial" w:cs="Arial"/>
          <w:sz w:val="24"/>
          <w:szCs w:val="24"/>
        </w:rPr>
        <w:t xml:space="preserve"> Routledge.</w:t>
      </w:r>
    </w:p>
    <w:p w14:paraId="76A8BDB4" w14:textId="77777777" w:rsidR="00655468" w:rsidRDefault="007D7282">
      <w:pPr>
        <w:spacing w:line="360" w:lineRule="auto"/>
        <w:jc w:val="both"/>
      </w:pPr>
      <w:r>
        <w:rPr>
          <w:rFonts w:ascii="Arial" w:hAnsi="Arial" w:cs="Arial"/>
          <w:sz w:val="24"/>
          <w:szCs w:val="24"/>
        </w:rPr>
        <w:t xml:space="preserve">Garcia, L., et al. (2020). "Strategic Expansion in Emerging Markets: A Case Study of the Hospitality Industry." </w:t>
      </w:r>
      <w:r>
        <w:rPr>
          <w:rFonts w:ascii="Arial" w:hAnsi="Arial" w:cs="Arial"/>
          <w:i/>
          <w:iCs/>
          <w:sz w:val="24"/>
          <w:szCs w:val="24"/>
        </w:rPr>
        <w:t>International Journal of Hospitality Management,</w:t>
      </w:r>
      <w:r>
        <w:rPr>
          <w:rFonts w:ascii="Arial" w:hAnsi="Arial" w:cs="Arial"/>
          <w:sz w:val="24"/>
          <w:szCs w:val="24"/>
        </w:rPr>
        <w:t xml:space="preserve"> 90, 102645.</w:t>
      </w:r>
    </w:p>
    <w:p w14:paraId="4282891E" w14:textId="77777777" w:rsidR="00655468" w:rsidRDefault="007D7282">
      <w:pPr>
        <w:spacing w:line="360" w:lineRule="auto"/>
        <w:jc w:val="both"/>
      </w:pPr>
      <w:r>
        <w:rPr>
          <w:rFonts w:ascii="Arial" w:hAnsi="Arial" w:cs="Arial"/>
          <w:sz w:val="24"/>
          <w:szCs w:val="24"/>
        </w:rPr>
        <w:t xml:space="preserve">Hill, T. (2017). </w:t>
      </w:r>
      <w:r>
        <w:rPr>
          <w:rFonts w:ascii="Arial" w:hAnsi="Arial" w:cs="Arial"/>
          <w:i/>
          <w:iCs/>
          <w:sz w:val="24"/>
          <w:szCs w:val="24"/>
        </w:rPr>
        <w:t>Corporate Social Responsibility in the Hospitality Industry.</w:t>
      </w:r>
      <w:r>
        <w:rPr>
          <w:rFonts w:ascii="Arial" w:hAnsi="Arial" w:cs="Arial"/>
          <w:sz w:val="24"/>
          <w:szCs w:val="24"/>
        </w:rPr>
        <w:t xml:space="preserve"> Routledge.</w:t>
      </w:r>
    </w:p>
    <w:p w14:paraId="24D31EF0" w14:textId="77777777" w:rsidR="00655468" w:rsidRDefault="007D7282">
      <w:pPr>
        <w:spacing w:line="360" w:lineRule="auto"/>
        <w:jc w:val="both"/>
      </w:pPr>
      <w:r>
        <w:rPr>
          <w:rFonts w:ascii="Arial" w:hAnsi="Arial" w:cs="Arial"/>
          <w:sz w:val="24"/>
          <w:szCs w:val="24"/>
        </w:rPr>
        <w:t xml:space="preserve">Jones, D., &amp; Lee, R. (2019). "Revenue Management Strategies in Luxury Hospitality." </w:t>
      </w:r>
      <w:r>
        <w:rPr>
          <w:rFonts w:ascii="Arial" w:hAnsi="Arial" w:cs="Arial"/>
          <w:i/>
          <w:iCs/>
          <w:sz w:val="24"/>
          <w:szCs w:val="24"/>
        </w:rPr>
        <w:t>Journal of Revenue and Pricing Management,</w:t>
      </w:r>
      <w:r>
        <w:rPr>
          <w:rFonts w:ascii="Arial" w:hAnsi="Arial" w:cs="Arial"/>
          <w:sz w:val="24"/>
          <w:szCs w:val="24"/>
        </w:rPr>
        <w:t xml:space="preserve"> 18(3), 184-197.</w:t>
      </w:r>
    </w:p>
    <w:p w14:paraId="5256AB43" w14:textId="77777777" w:rsidR="00655468" w:rsidRDefault="007D7282">
      <w:pPr>
        <w:spacing w:line="360" w:lineRule="auto"/>
        <w:jc w:val="both"/>
      </w:pPr>
      <w:r>
        <w:rPr>
          <w:rFonts w:ascii="Arial" w:hAnsi="Arial" w:cs="Arial"/>
          <w:sz w:val="24"/>
          <w:szCs w:val="24"/>
        </w:rPr>
        <w:t xml:space="preserve">Lewis, P. (2019). </w:t>
      </w:r>
      <w:r>
        <w:rPr>
          <w:rFonts w:ascii="Arial" w:hAnsi="Arial" w:cs="Arial"/>
          <w:i/>
          <w:iCs/>
          <w:sz w:val="24"/>
          <w:szCs w:val="24"/>
        </w:rPr>
        <w:t>Franchising in the Hospitality Industry.</w:t>
      </w:r>
      <w:r>
        <w:rPr>
          <w:rFonts w:ascii="Arial" w:hAnsi="Arial" w:cs="Arial"/>
          <w:sz w:val="24"/>
          <w:szCs w:val="24"/>
        </w:rPr>
        <w:t xml:space="preserve"> Routledge.</w:t>
      </w:r>
    </w:p>
    <w:p w14:paraId="61F50D84" w14:textId="77777777" w:rsidR="00655468" w:rsidRDefault="007D7282">
      <w:pPr>
        <w:spacing w:line="360" w:lineRule="auto"/>
        <w:jc w:val="both"/>
      </w:pPr>
      <w:r>
        <w:rPr>
          <w:rFonts w:ascii="Arial" w:hAnsi="Arial" w:cs="Arial"/>
          <w:sz w:val="24"/>
          <w:szCs w:val="24"/>
        </w:rPr>
        <w:t xml:space="preserve">Miller, J., &amp; Wilson, L. (2020). </w:t>
      </w:r>
      <w:r>
        <w:rPr>
          <w:rFonts w:ascii="Arial" w:hAnsi="Arial" w:cs="Arial"/>
          <w:i/>
          <w:iCs/>
          <w:sz w:val="24"/>
          <w:szCs w:val="24"/>
        </w:rPr>
        <w:t>Hotel Revenue Management.</w:t>
      </w:r>
      <w:r>
        <w:rPr>
          <w:rFonts w:ascii="Arial" w:hAnsi="Arial" w:cs="Arial"/>
          <w:sz w:val="24"/>
          <w:szCs w:val="24"/>
        </w:rPr>
        <w:t xml:space="preserve"> Routledge.</w:t>
      </w:r>
    </w:p>
    <w:p w14:paraId="11147B8A" w14:textId="77777777" w:rsidR="00655468" w:rsidRDefault="007D7282">
      <w:pPr>
        <w:spacing w:line="360" w:lineRule="auto"/>
        <w:jc w:val="both"/>
      </w:pPr>
      <w:r>
        <w:rPr>
          <w:rFonts w:ascii="Arial" w:hAnsi="Arial" w:cs="Arial"/>
          <w:sz w:val="24"/>
          <w:szCs w:val="24"/>
        </w:rPr>
        <w:t xml:space="preserve">Roberts, T. (2018). "Luxury Brand Perception in Hospitality: A Case Study of Shangri-La Hotels." </w:t>
      </w:r>
      <w:r>
        <w:rPr>
          <w:rFonts w:ascii="Arial" w:hAnsi="Arial" w:cs="Arial"/>
          <w:i/>
          <w:iCs/>
          <w:sz w:val="24"/>
          <w:szCs w:val="24"/>
        </w:rPr>
        <w:t>International Journal of Hospitality Management,</w:t>
      </w:r>
      <w:r>
        <w:rPr>
          <w:rFonts w:ascii="Arial" w:hAnsi="Arial" w:cs="Arial"/>
          <w:sz w:val="24"/>
          <w:szCs w:val="24"/>
        </w:rPr>
        <w:t xml:space="preserve"> 75, 45-54.</w:t>
      </w:r>
    </w:p>
    <w:p w14:paraId="59D416E7" w14:textId="77777777" w:rsidR="00655468" w:rsidRDefault="007D7282">
      <w:pPr>
        <w:spacing w:line="360" w:lineRule="auto"/>
        <w:jc w:val="both"/>
      </w:pPr>
      <w:r>
        <w:rPr>
          <w:rFonts w:ascii="Arial" w:hAnsi="Arial" w:cs="Arial"/>
          <w:sz w:val="24"/>
          <w:szCs w:val="24"/>
        </w:rPr>
        <w:t xml:space="preserve">Smith, G. (2020). "Market Trends in Luxury Hospitality." </w:t>
      </w:r>
      <w:r>
        <w:rPr>
          <w:rFonts w:ascii="Arial" w:hAnsi="Arial" w:cs="Arial"/>
          <w:i/>
          <w:iCs/>
          <w:sz w:val="24"/>
          <w:szCs w:val="24"/>
        </w:rPr>
        <w:t>Journal of Tourism Economics,</w:t>
      </w:r>
      <w:r>
        <w:rPr>
          <w:rFonts w:ascii="Arial" w:hAnsi="Arial" w:cs="Arial"/>
          <w:sz w:val="24"/>
          <w:szCs w:val="24"/>
        </w:rPr>
        <w:t xml:space="preserve"> 26(4), 589-602.</w:t>
      </w:r>
    </w:p>
    <w:p w14:paraId="387F777B" w14:textId="77777777" w:rsidR="00655468" w:rsidRDefault="007D7282">
      <w:pPr>
        <w:spacing w:line="360" w:lineRule="auto"/>
        <w:jc w:val="both"/>
      </w:pPr>
      <w:r>
        <w:rPr>
          <w:rFonts w:ascii="Arial" w:hAnsi="Arial" w:cs="Arial"/>
          <w:sz w:val="24"/>
          <w:szCs w:val="24"/>
        </w:rPr>
        <w:t xml:space="preserve">Taylor, E. (2019). </w:t>
      </w:r>
      <w:r>
        <w:rPr>
          <w:rFonts w:ascii="Arial" w:hAnsi="Arial" w:cs="Arial"/>
          <w:i/>
          <w:iCs/>
          <w:sz w:val="24"/>
          <w:szCs w:val="24"/>
        </w:rPr>
        <w:t>The Luxury Hospitality Industry.</w:t>
      </w:r>
      <w:r>
        <w:rPr>
          <w:rFonts w:ascii="Arial" w:hAnsi="Arial" w:cs="Arial"/>
          <w:sz w:val="24"/>
          <w:szCs w:val="24"/>
        </w:rPr>
        <w:t xml:space="preserve"> Routledge.</w:t>
      </w:r>
    </w:p>
    <w:p w14:paraId="0D17822D" w14:textId="77777777" w:rsidR="00655468" w:rsidRDefault="007D7282">
      <w:pPr>
        <w:spacing w:line="360" w:lineRule="auto"/>
        <w:jc w:val="both"/>
      </w:pPr>
      <w:r>
        <w:rPr>
          <w:rFonts w:ascii="Arial" w:hAnsi="Arial" w:cs="Arial"/>
          <w:sz w:val="24"/>
          <w:szCs w:val="24"/>
        </w:rPr>
        <w:t xml:space="preserve">Wang, H., &amp; Liu, Y. (2019). "Corporate Social Responsibility Practices in the Hotel Industry." </w:t>
      </w:r>
      <w:r>
        <w:rPr>
          <w:rFonts w:ascii="Arial" w:hAnsi="Arial" w:cs="Arial"/>
          <w:i/>
          <w:iCs/>
          <w:sz w:val="24"/>
          <w:szCs w:val="24"/>
        </w:rPr>
        <w:t>International Journal of Hospitality Management,</w:t>
      </w:r>
      <w:r>
        <w:rPr>
          <w:rFonts w:ascii="Arial" w:hAnsi="Arial" w:cs="Arial"/>
          <w:sz w:val="24"/>
          <w:szCs w:val="24"/>
        </w:rPr>
        <w:t xml:space="preserve"> 82, 291-299.</w:t>
      </w:r>
    </w:p>
    <w:p w14:paraId="59E9BFAE" w14:textId="77777777" w:rsidR="00655468" w:rsidRDefault="00655468">
      <w:pPr>
        <w:spacing w:line="360" w:lineRule="auto"/>
        <w:jc w:val="both"/>
        <w:rPr>
          <w:rFonts w:ascii="Arial" w:hAnsi="Arial" w:cs="Arial"/>
          <w:sz w:val="24"/>
          <w:szCs w:val="24"/>
        </w:rPr>
      </w:pPr>
    </w:p>
    <w:sectPr w:rsidR="00655468">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DB6357" w14:textId="77777777" w:rsidR="007D7282" w:rsidRDefault="007D7282">
      <w:pPr>
        <w:spacing w:after="0" w:line="240" w:lineRule="auto"/>
      </w:pPr>
      <w:r>
        <w:separator/>
      </w:r>
    </w:p>
  </w:endnote>
  <w:endnote w:type="continuationSeparator" w:id="0">
    <w:p w14:paraId="3086A4FC" w14:textId="77777777" w:rsidR="007D7282" w:rsidRDefault="007D72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A00002EF" w:usb1="4000207B" w:usb2="00000000" w:usb3="00000000" w:csb0="0000019F" w:csb1="00000000"/>
  </w:font>
  <w:font w:name="Yu Mincho">
    <w:panose1 w:val="02020400000000000000"/>
    <w:charset w:val="80"/>
    <w:family w:val="roman"/>
    <w:pitch w:val="variable"/>
    <w:sig w:usb0="800002E7" w:usb1="2AC7FCFF" w:usb2="00000012" w:usb3="00000000" w:csb0="000200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E27475" w14:textId="77777777" w:rsidR="007D7282" w:rsidRDefault="007D7282">
      <w:pPr>
        <w:spacing w:after="0" w:line="240" w:lineRule="auto"/>
      </w:pPr>
      <w:r>
        <w:rPr>
          <w:color w:val="000000"/>
        </w:rPr>
        <w:separator/>
      </w:r>
    </w:p>
  </w:footnote>
  <w:footnote w:type="continuationSeparator" w:id="0">
    <w:p w14:paraId="03243D8E" w14:textId="77777777" w:rsidR="007D7282" w:rsidRDefault="007D72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E7636"/>
    <w:multiLevelType w:val="multilevel"/>
    <w:tmpl w:val="93F4651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1" w15:restartNumberingAfterBreak="0">
    <w:nsid w:val="75D82BEF"/>
    <w:multiLevelType w:val="multilevel"/>
    <w:tmpl w:val="5E0A16EC"/>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1317763355">
    <w:abstractNumId w:val="1"/>
  </w:num>
  <w:num w:numId="2" w16cid:durableId="8916224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5468"/>
    <w:rsid w:val="00655468"/>
    <w:rsid w:val="007D7282"/>
    <w:rsid w:val="008E5971"/>
    <w:rsid w:val="00AC588A"/>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6777EF2B"/>
  <w15:docId w15:val="{7A1FB5C8-1D5B-4057-99DE-331BD0F142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Times New Roman"/>
        <w:kern w:val="3"/>
        <w:sz w:val="22"/>
        <w:szCs w:val="22"/>
        <w:lang w:val="en-US" w:eastAsia="en-US" w:bidi="ar-SA"/>
      </w:rPr>
    </w:rPrDefault>
    <w:pPrDefault>
      <w:pPr>
        <w:autoSpaceDN w:val="0"/>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Titlu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Titlu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Titlu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Titlu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Titlu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Titlu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Titlu7">
    <w:name w:val="heading 7"/>
    <w:basedOn w:val="Normal"/>
    <w:next w:val="Normal"/>
    <w:pPr>
      <w:keepNext/>
      <w:keepLines/>
      <w:spacing w:before="40" w:after="0"/>
      <w:outlineLvl w:val="6"/>
    </w:pPr>
    <w:rPr>
      <w:rFonts w:eastAsia="Times New Roman"/>
      <w:color w:val="595959"/>
    </w:rPr>
  </w:style>
  <w:style w:type="paragraph" w:styleId="Titlu8">
    <w:name w:val="heading 8"/>
    <w:basedOn w:val="Normal"/>
    <w:next w:val="Normal"/>
    <w:pPr>
      <w:keepNext/>
      <w:keepLines/>
      <w:spacing w:after="0"/>
      <w:outlineLvl w:val="7"/>
    </w:pPr>
    <w:rPr>
      <w:rFonts w:eastAsia="Times New Roman"/>
      <w:i/>
      <w:iCs/>
      <w:color w:val="272727"/>
    </w:rPr>
  </w:style>
  <w:style w:type="paragraph" w:styleId="Titlu9">
    <w:name w:val="heading 9"/>
    <w:basedOn w:val="Normal"/>
    <w:next w:val="Normal"/>
    <w:pPr>
      <w:keepNext/>
      <w:keepLines/>
      <w:spacing w:after="0"/>
      <w:outlineLvl w:val="8"/>
    </w:pPr>
    <w:rPr>
      <w:rFonts w:eastAsia="Times New Roman"/>
      <w:color w:val="272727"/>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Heading1Char">
    <w:name w:val="Heading 1 Char"/>
    <w:basedOn w:val="Fontdeparagrafimplicit"/>
    <w:rPr>
      <w:rFonts w:ascii="Aptos Display" w:eastAsia="Times New Roman" w:hAnsi="Aptos Display" w:cs="Times New Roman"/>
      <w:color w:val="0F4761"/>
      <w:sz w:val="40"/>
      <w:szCs w:val="40"/>
    </w:rPr>
  </w:style>
  <w:style w:type="character" w:customStyle="1" w:styleId="Heading2Char">
    <w:name w:val="Heading 2 Char"/>
    <w:basedOn w:val="Fontdeparagrafimplicit"/>
    <w:rPr>
      <w:rFonts w:ascii="Aptos Display" w:eastAsia="Times New Roman" w:hAnsi="Aptos Display" w:cs="Times New Roman"/>
      <w:color w:val="0F4761"/>
      <w:sz w:val="32"/>
      <w:szCs w:val="32"/>
    </w:rPr>
  </w:style>
  <w:style w:type="character" w:customStyle="1" w:styleId="Heading3Char">
    <w:name w:val="Heading 3 Char"/>
    <w:basedOn w:val="Fontdeparagrafimplicit"/>
    <w:rPr>
      <w:rFonts w:eastAsia="Times New Roman" w:cs="Times New Roman"/>
      <w:color w:val="0F4761"/>
      <w:sz w:val="28"/>
      <w:szCs w:val="28"/>
    </w:rPr>
  </w:style>
  <w:style w:type="character" w:customStyle="1" w:styleId="Heading4Char">
    <w:name w:val="Heading 4 Char"/>
    <w:basedOn w:val="Fontdeparagrafimplicit"/>
    <w:rPr>
      <w:rFonts w:eastAsia="Times New Roman" w:cs="Times New Roman"/>
      <w:i/>
      <w:iCs/>
      <w:color w:val="0F4761"/>
    </w:rPr>
  </w:style>
  <w:style w:type="character" w:customStyle="1" w:styleId="Heading5Char">
    <w:name w:val="Heading 5 Char"/>
    <w:basedOn w:val="Fontdeparagrafimplicit"/>
    <w:rPr>
      <w:rFonts w:eastAsia="Times New Roman" w:cs="Times New Roman"/>
      <w:color w:val="0F4761"/>
    </w:rPr>
  </w:style>
  <w:style w:type="character" w:customStyle="1" w:styleId="Heading6Char">
    <w:name w:val="Heading 6 Char"/>
    <w:basedOn w:val="Fontdeparagrafimplicit"/>
    <w:rPr>
      <w:rFonts w:eastAsia="Times New Roman" w:cs="Times New Roman"/>
      <w:i/>
      <w:iCs/>
      <w:color w:val="595959"/>
    </w:rPr>
  </w:style>
  <w:style w:type="character" w:customStyle="1" w:styleId="Heading7Char">
    <w:name w:val="Heading 7 Char"/>
    <w:basedOn w:val="Fontdeparagrafimplicit"/>
    <w:rPr>
      <w:rFonts w:eastAsia="Times New Roman" w:cs="Times New Roman"/>
      <w:color w:val="595959"/>
    </w:rPr>
  </w:style>
  <w:style w:type="character" w:customStyle="1" w:styleId="Heading8Char">
    <w:name w:val="Heading 8 Char"/>
    <w:basedOn w:val="Fontdeparagrafimplicit"/>
    <w:rPr>
      <w:rFonts w:eastAsia="Times New Roman" w:cs="Times New Roman"/>
      <w:i/>
      <w:iCs/>
      <w:color w:val="272727"/>
    </w:rPr>
  </w:style>
  <w:style w:type="character" w:customStyle="1" w:styleId="Heading9Char">
    <w:name w:val="Heading 9 Char"/>
    <w:basedOn w:val="Fontdeparagrafimplicit"/>
    <w:rPr>
      <w:rFonts w:eastAsia="Times New Roman" w:cs="Times New Roman"/>
      <w:color w:val="272727"/>
    </w:rPr>
  </w:style>
  <w:style w:type="paragraph" w:styleId="Titlu">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Fontdeparagrafimplicit"/>
    <w:rPr>
      <w:rFonts w:ascii="Aptos Display" w:eastAsia="Times New Roman" w:hAnsi="Aptos Display" w:cs="Times New Roman"/>
      <w:spacing w:val="-10"/>
      <w:kern w:val="3"/>
      <w:sz w:val="56"/>
      <w:szCs w:val="56"/>
    </w:rPr>
  </w:style>
  <w:style w:type="paragraph" w:styleId="Subtitlu">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Fontdeparagrafimplicit"/>
    <w:rPr>
      <w:rFonts w:eastAsia="Times New Roman" w:cs="Times New Roman"/>
      <w:color w:val="595959"/>
      <w:spacing w:val="15"/>
      <w:sz w:val="28"/>
      <w:szCs w:val="28"/>
    </w:rPr>
  </w:style>
  <w:style w:type="paragraph" w:styleId="Citat">
    <w:name w:val="Quote"/>
    <w:basedOn w:val="Normal"/>
    <w:next w:val="Normal"/>
    <w:pPr>
      <w:spacing w:before="160"/>
      <w:jc w:val="center"/>
    </w:pPr>
    <w:rPr>
      <w:i/>
      <w:iCs/>
      <w:color w:val="404040"/>
    </w:rPr>
  </w:style>
  <w:style w:type="character" w:customStyle="1" w:styleId="QuoteChar">
    <w:name w:val="Quote Char"/>
    <w:basedOn w:val="Fontdeparagrafimplicit"/>
    <w:rPr>
      <w:i/>
      <w:iCs/>
      <w:color w:val="404040"/>
    </w:rPr>
  </w:style>
  <w:style w:type="paragraph" w:styleId="Listparagraf">
    <w:name w:val="List Paragraph"/>
    <w:basedOn w:val="Normal"/>
    <w:pPr>
      <w:ind w:left="720"/>
      <w:contextualSpacing/>
    </w:pPr>
  </w:style>
  <w:style w:type="character" w:styleId="Accentuareintens">
    <w:name w:val="Intense Emphasis"/>
    <w:basedOn w:val="Fontdeparagrafimplicit"/>
    <w:rPr>
      <w:i/>
      <w:iCs/>
      <w:color w:val="0F4761"/>
    </w:rPr>
  </w:style>
  <w:style w:type="paragraph" w:styleId="Citatintens">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Fontdeparagrafimplicit"/>
    <w:rPr>
      <w:i/>
      <w:iCs/>
      <w:color w:val="0F4761"/>
    </w:rPr>
  </w:style>
  <w:style w:type="character" w:styleId="Referireintens">
    <w:name w:val="Intense Reference"/>
    <w:basedOn w:val="Fontdeparagrafimplicit"/>
    <w:rPr>
      <w:b/>
      <w:bCs/>
      <w:smallCaps/>
      <w:color w:val="0F476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fontTable" Target="fontTable.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2665</Words>
  <Characters>15458</Characters>
  <Application>Microsoft Office Word</Application>
  <DocSecurity>0</DocSecurity>
  <Lines>128</Lines>
  <Paragraphs>36</Paragraphs>
  <ScaleCrop>false</ScaleCrop>
  <Company/>
  <LinksUpToDate>false</LinksUpToDate>
  <CharactersWithSpaces>18087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mocanu</dc:creator>
  <dc:description/>
  <cp:lastModifiedBy>Ionela Mocanu (2232076)</cp:lastModifiedBy>
  <cp:revision>2</cp:revision>
  <dcterms:created xsi:type="dcterms:W3CDTF">2024-11-06T12:51:00Z</dcterms:created>
  <dcterms:modified xsi:type="dcterms:W3CDTF">2024-11-06T12:51:00Z</dcterms:modified>
</cp:coreProperties>
</file>