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D7B49" w14:textId="52DD5366" w:rsidR="00D15728" w:rsidRDefault="007C2CF2" w:rsidP="00D15728">
      <w:pPr>
        <w:jc w:val="center"/>
        <w:rPr>
          <w:b/>
          <w:bCs/>
          <w:sz w:val="40"/>
          <w:szCs w:val="36"/>
          <w:lang w:val="en-US"/>
        </w:rPr>
      </w:pPr>
      <w:r>
        <w:rPr>
          <w:b/>
          <w:bCs/>
          <w:sz w:val="40"/>
          <w:szCs w:val="36"/>
          <w:lang w:val="en-US"/>
        </w:rPr>
        <w:t>Student number</w:t>
      </w:r>
      <w:r w:rsidR="00EB77BC">
        <w:rPr>
          <w:b/>
          <w:bCs/>
          <w:sz w:val="40"/>
          <w:szCs w:val="36"/>
          <w:lang w:val="en-US"/>
        </w:rPr>
        <w:t>: 2217113</w:t>
      </w:r>
    </w:p>
    <w:p w14:paraId="0FD54A7F" w14:textId="356DF76F" w:rsidR="00EB77BC" w:rsidRPr="007C2CF2" w:rsidRDefault="00EB77BC" w:rsidP="00D15728">
      <w:pPr>
        <w:jc w:val="center"/>
        <w:rPr>
          <w:b/>
          <w:bCs/>
          <w:sz w:val="40"/>
          <w:szCs w:val="36"/>
          <w:lang w:val="en-US"/>
        </w:rPr>
      </w:pPr>
      <w:r>
        <w:rPr>
          <w:b/>
          <w:bCs/>
          <w:sz w:val="40"/>
          <w:szCs w:val="36"/>
          <w:lang w:val="en-US"/>
        </w:rPr>
        <w:t xml:space="preserve">Student Name: Monika </w:t>
      </w:r>
      <w:proofErr w:type="spellStart"/>
      <w:r>
        <w:rPr>
          <w:b/>
          <w:bCs/>
          <w:sz w:val="40"/>
          <w:szCs w:val="36"/>
          <w:lang w:val="en-US"/>
        </w:rPr>
        <w:t>Pawelec</w:t>
      </w:r>
      <w:proofErr w:type="spellEnd"/>
      <w:r>
        <w:rPr>
          <w:b/>
          <w:bCs/>
          <w:sz w:val="40"/>
          <w:szCs w:val="36"/>
          <w:lang w:val="en-US"/>
        </w:rPr>
        <w:t xml:space="preserve"> </w:t>
      </w:r>
    </w:p>
    <w:p w14:paraId="6FA856F6" w14:textId="77777777" w:rsidR="00D15728" w:rsidRDefault="00D15728" w:rsidP="00D15728">
      <w:pPr>
        <w:jc w:val="center"/>
        <w:rPr>
          <w:b/>
          <w:bCs/>
          <w:sz w:val="40"/>
          <w:szCs w:val="36"/>
          <w:lang w:val="en-US"/>
        </w:rPr>
      </w:pPr>
    </w:p>
    <w:p w14:paraId="7EE2CB5A" w14:textId="77777777" w:rsidR="00D15728" w:rsidRDefault="00D15728" w:rsidP="00D15728">
      <w:pPr>
        <w:jc w:val="center"/>
        <w:rPr>
          <w:b/>
          <w:bCs/>
          <w:sz w:val="40"/>
          <w:szCs w:val="36"/>
          <w:lang w:val="en-US"/>
        </w:rPr>
      </w:pPr>
    </w:p>
    <w:p w14:paraId="67D61056" w14:textId="77777777" w:rsidR="00D15728" w:rsidRDefault="00D15728" w:rsidP="00D15728">
      <w:pPr>
        <w:jc w:val="center"/>
        <w:rPr>
          <w:b/>
          <w:bCs/>
          <w:sz w:val="40"/>
          <w:szCs w:val="36"/>
          <w:lang w:val="en-US"/>
        </w:rPr>
      </w:pPr>
    </w:p>
    <w:p w14:paraId="48DB3376" w14:textId="77777777" w:rsidR="00D15728" w:rsidRDefault="00D15728" w:rsidP="00D15728">
      <w:pPr>
        <w:jc w:val="center"/>
        <w:rPr>
          <w:b/>
          <w:bCs/>
          <w:sz w:val="40"/>
          <w:szCs w:val="36"/>
          <w:lang w:val="en-US"/>
        </w:rPr>
      </w:pPr>
    </w:p>
    <w:p w14:paraId="1362423B" w14:textId="77777777" w:rsidR="00D15728" w:rsidRDefault="00D15728" w:rsidP="00D15728">
      <w:pPr>
        <w:jc w:val="center"/>
        <w:rPr>
          <w:b/>
          <w:bCs/>
          <w:sz w:val="40"/>
          <w:szCs w:val="36"/>
          <w:lang w:val="en-US"/>
        </w:rPr>
      </w:pPr>
    </w:p>
    <w:p w14:paraId="26DD059B" w14:textId="264D4596" w:rsidR="00D15728" w:rsidRDefault="00D15728" w:rsidP="00D15728">
      <w:pPr>
        <w:jc w:val="center"/>
        <w:rPr>
          <w:b/>
          <w:bCs/>
          <w:sz w:val="40"/>
          <w:szCs w:val="36"/>
          <w:lang w:val="en-US"/>
        </w:rPr>
      </w:pPr>
      <w:r w:rsidRPr="00D15728">
        <w:rPr>
          <w:b/>
          <w:bCs/>
          <w:sz w:val="40"/>
          <w:szCs w:val="36"/>
          <w:lang w:val="en-US"/>
        </w:rPr>
        <w:t>Common Law</w:t>
      </w:r>
      <w:r>
        <w:rPr>
          <w:b/>
          <w:bCs/>
          <w:sz w:val="40"/>
          <w:szCs w:val="36"/>
          <w:lang w:val="en-US"/>
        </w:rPr>
        <w:br w:type="page"/>
      </w:r>
    </w:p>
    <w:sdt>
      <w:sdtPr>
        <w:rPr>
          <w:rFonts w:ascii="Times New Roman" w:eastAsiaTheme="minorHAnsi" w:hAnsi="Times New Roman" w:cstheme="minorBidi"/>
          <w:b/>
          <w:bCs/>
          <w:color w:val="auto"/>
          <w:sz w:val="24"/>
          <w:szCs w:val="22"/>
          <w:lang w:val="en-GB"/>
        </w:rPr>
        <w:id w:val="1626046543"/>
        <w:docPartObj>
          <w:docPartGallery w:val="Table of Contents"/>
          <w:docPartUnique/>
        </w:docPartObj>
      </w:sdtPr>
      <w:sdtEndPr>
        <w:rPr>
          <w:noProof/>
        </w:rPr>
      </w:sdtEndPr>
      <w:sdtContent>
        <w:p w14:paraId="1D965DB4" w14:textId="61C728D4" w:rsidR="00757863" w:rsidRPr="00757863" w:rsidRDefault="00757863" w:rsidP="00757863">
          <w:pPr>
            <w:pStyle w:val="TOCHeading"/>
            <w:spacing w:after="240"/>
            <w:rPr>
              <w:b/>
              <w:bCs/>
            </w:rPr>
          </w:pPr>
          <w:r w:rsidRPr="00757863">
            <w:rPr>
              <w:b/>
              <w:bCs/>
            </w:rPr>
            <w:t>Table of Contents</w:t>
          </w:r>
        </w:p>
        <w:p w14:paraId="26518888" w14:textId="710DD657" w:rsidR="00757863" w:rsidRDefault="00757863">
          <w:pPr>
            <w:pStyle w:val="TOC1"/>
            <w:tabs>
              <w:tab w:val="right" w:leader="dot" w:pos="9016"/>
            </w:tabs>
            <w:rPr>
              <w:noProof/>
            </w:rPr>
          </w:pPr>
          <w:r>
            <w:fldChar w:fldCharType="begin"/>
          </w:r>
          <w:r>
            <w:instrText xml:space="preserve"> TOC \o "1-3" \h \z \u </w:instrText>
          </w:r>
          <w:r>
            <w:fldChar w:fldCharType="separate"/>
          </w:r>
          <w:hyperlink w:anchor="_Toc128868521" w:history="1">
            <w:r w:rsidRPr="00CD77C3">
              <w:rPr>
                <w:rStyle w:val="Hyperlink"/>
                <w:noProof/>
                <w:lang w:val="en-US"/>
              </w:rPr>
              <w:t>Introduction</w:t>
            </w:r>
            <w:r>
              <w:rPr>
                <w:noProof/>
                <w:webHidden/>
              </w:rPr>
              <w:tab/>
            </w:r>
            <w:r>
              <w:rPr>
                <w:noProof/>
                <w:webHidden/>
              </w:rPr>
              <w:fldChar w:fldCharType="begin"/>
            </w:r>
            <w:r>
              <w:rPr>
                <w:noProof/>
                <w:webHidden/>
              </w:rPr>
              <w:instrText xml:space="preserve"> PAGEREF _Toc128868521 \h </w:instrText>
            </w:r>
            <w:r>
              <w:rPr>
                <w:noProof/>
                <w:webHidden/>
              </w:rPr>
            </w:r>
            <w:r>
              <w:rPr>
                <w:noProof/>
                <w:webHidden/>
              </w:rPr>
              <w:fldChar w:fldCharType="separate"/>
            </w:r>
            <w:r>
              <w:rPr>
                <w:noProof/>
                <w:webHidden/>
              </w:rPr>
              <w:t>3</w:t>
            </w:r>
            <w:r>
              <w:rPr>
                <w:noProof/>
                <w:webHidden/>
              </w:rPr>
              <w:fldChar w:fldCharType="end"/>
            </w:r>
          </w:hyperlink>
        </w:p>
        <w:p w14:paraId="20EF92B0" w14:textId="15611EEF" w:rsidR="00757863" w:rsidRDefault="00056C57">
          <w:pPr>
            <w:pStyle w:val="TOC1"/>
            <w:tabs>
              <w:tab w:val="right" w:leader="dot" w:pos="9016"/>
            </w:tabs>
            <w:rPr>
              <w:noProof/>
            </w:rPr>
          </w:pPr>
          <w:hyperlink w:anchor="_Toc128868522" w:history="1">
            <w:r w:rsidR="00757863" w:rsidRPr="00CD77C3">
              <w:rPr>
                <w:rStyle w:val="Hyperlink"/>
                <w:noProof/>
                <w:lang w:val="en-US"/>
              </w:rPr>
              <w:t>Common law</w:t>
            </w:r>
            <w:r w:rsidR="00757863">
              <w:rPr>
                <w:noProof/>
                <w:webHidden/>
              </w:rPr>
              <w:tab/>
            </w:r>
            <w:r w:rsidR="00757863">
              <w:rPr>
                <w:noProof/>
                <w:webHidden/>
              </w:rPr>
              <w:fldChar w:fldCharType="begin"/>
            </w:r>
            <w:r w:rsidR="00757863">
              <w:rPr>
                <w:noProof/>
                <w:webHidden/>
              </w:rPr>
              <w:instrText xml:space="preserve"> PAGEREF _Toc128868522 \h </w:instrText>
            </w:r>
            <w:r w:rsidR="00757863">
              <w:rPr>
                <w:noProof/>
                <w:webHidden/>
              </w:rPr>
            </w:r>
            <w:r w:rsidR="00757863">
              <w:rPr>
                <w:noProof/>
                <w:webHidden/>
              </w:rPr>
              <w:fldChar w:fldCharType="separate"/>
            </w:r>
            <w:r w:rsidR="00757863">
              <w:rPr>
                <w:noProof/>
                <w:webHidden/>
              </w:rPr>
              <w:t>4</w:t>
            </w:r>
            <w:r w:rsidR="00757863">
              <w:rPr>
                <w:noProof/>
                <w:webHidden/>
              </w:rPr>
              <w:fldChar w:fldCharType="end"/>
            </w:r>
          </w:hyperlink>
        </w:p>
        <w:p w14:paraId="21DB3624" w14:textId="3162F396" w:rsidR="00757863" w:rsidRDefault="00056C57">
          <w:pPr>
            <w:pStyle w:val="TOC1"/>
            <w:tabs>
              <w:tab w:val="right" w:leader="dot" w:pos="9016"/>
            </w:tabs>
            <w:rPr>
              <w:noProof/>
            </w:rPr>
          </w:pPr>
          <w:hyperlink w:anchor="_Toc128868523" w:history="1">
            <w:r w:rsidR="00757863" w:rsidRPr="00CD77C3">
              <w:rPr>
                <w:rStyle w:val="Hyperlink"/>
                <w:noProof/>
                <w:lang w:val="en-US"/>
              </w:rPr>
              <w:t>Civil law</w:t>
            </w:r>
            <w:r w:rsidR="00757863">
              <w:rPr>
                <w:noProof/>
                <w:webHidden/>
              </w:rPr>
              <w:tab/>
            </w:r>
            <w:r w:rsidR="00757863">
              <w:rPr>
                <w:noProof/>
                <w:webHidden/>
              </w:rPr>
              <w:fldChar w:fldCharType="begin"/>
            </w:r>
            <w:r w:rsidR="00757863">
              <w:rPr>
                <w:noProof/>
                <w:webHidden/>
              </w:rPr>
              <w:instrText xml:space="preserve"> PAGEREF _Toc128868523 \h </w:instrText>
            </w:r>
            <w:r w:rsidR="00757863">
              <w:rPr>
                <w:noProof/>
                <w:webHidden/>
              </w:rPr>
            </w:r>
            <w:r w:rsidR="00757863">
              <w:rPr>
                <w:noProof/>
                <w:webHidden/>
              </w:rPr>
              <w:fldChar w:fldCharType="separate"/>
            </w:r>
            <w:r w:rsidR="00757863">
              <w:rPr>
                <w:noProof/>
                <w:webHidden/>
              </w:rPr>
              <w:t>5</w:t>
            </w:r>
            <w:r w:rsidR="00757863">
              <w:rPr>
                <w:noProof/>
                <w:webHidden/>
              </w:rPr>
              <w:fldChar w:fldCharType="end"/>
            </w:r>
          </w:hyperlink>
        </w:p>
        <w:p w14:paraId="71B8D280" w14:textId="5895D2CE" w:rsidR="00757863" w:rsidRDefault="00056C57">
          <w:pPr>
            <w:pStyle w:val="TOC1"/>
            <w:tabs>
              <w:tab w:val="right" w:leader="dot" w:pos="9016"/>
            </w:tabs>
            <w:rPr>
              <w:noProof/>
            </w:rPr>
          </w:pPr>
          <w:hyperlink w:anchor="_Toc128868524" w:history="1">
            <w:r w:rsidR="00757863" w:rsidRPr="00CD77C3">
              <w:rPr>
                <w:rStyle w:val="Hyperlink"/>
                <w:noProof/>
                <w:lang w:val="en-US"/>
              </w:rPr>
              <w:t>The contrast between common and civil law</w:t>
            </w:r>
            <w:r w:rsidR="00757863">
              <w:rPr>
                <w:noProof/>
                <w:webHidden/>
              </w:rPr>
              <w:tab/>
            </w:r>
            <w:r w:rsidR="00757863">
              <w:rPr>
                <w:noProof/>
                <w:webHidden/>
              </w:rPr>
              <w:fldChar w:fldCharType="begin"/>
            </w:r>
            <w:r w:rsidR="00757863">
              <w:rPr>
                <w:noProof/>
                <w:webHidden/>
              </w:rPr>
              <w:instrText xml:space="preserve"> PAGEREF _Toc128868524 \h </w:instrText>
            </w:r>
            <w:r w:rsidR="00757863">
              <w:rPr>
                <w:noProof/>
                <w:webHidden/>
              </w:rPr>
            </w:r>
            <w:r w:rsidR="00757863">
              <w:rPr>
                <w:noProof/>
                <w:webHidden/>
              </w:rPr>
              <w:fldChar w:fldCharType="separate"/>
            </w:r>
            <w:r w:rsidR="00757863">
              <w:rPr>
                <w:noProof/>
                <w:webHidden/>
              </w:rPr>
              <w:t>6</w:t>
            </w:r>
            <w:r w:rsidR="00757863">
              <w:rPr>
                <w:noProof/>
                <w:webHidden/>
              </w:rPr>
              <w:fldChar w:fldCharType="end"/>
            </w:r>
          </w:hyperlink>
        </w:p>
        <w:p w14:paraId="5A706705" w14:textId="4A3766AD" w:rsidR="00757863" w:rsidRDefault="00056C57">
          <w:pPr>
            <w:pStyle w:val="TOC1"/>
            <w:tabs>
              <w:tab w:val="right" w:leader="dot" w:pos="9016"/>
            </w:tabs>
            <w:rPr>
              <w:noProof/>
            </w:rPr>
          </w:pPr>
          <w:hyperlink w:anchor="_Toc128868525" w:history="1">
            <w:r w:rsidR="00757863" w:rsidRPr="00CD77C3">
              <w:rPr>
                <w:rStyle w:val="Hyperlink"/>
                <w:noProof/>
                <w:lang w:val="en-US"/>
              </w:rPr>
              <w:t>History of the common law</w:t>
            </w:r>
            <w:r w:rsidR="00757863">
              <w:rPr>
                <w:noProof/>
                <w:webHidden/>
              </w:rPr>
              <w:tab/>
            </w:r>
            <w:r w:rsidR="00757863">
              <w:rPr>
                <w:noProof/>
                <w:webHidden/>
              </w:rPr>
              <w:fldChar w:fldCharType="begin"/>
            </w:r>
            <w:r w:rsidR="00757863">
              <w:rPr>
                <w:noProof/>
                <w:webHidden/>
              </w:rPr>
              <w:instrText xml:space="preserve"> PAGEREF _Toc128868525 \h </w:instrText>
            </w:r>
            <w:r w:rsidR="00757863">
              <w:rPr>
                <w:noProof/>
                <w:webHidden/>
              </w:rPr>
            </w:r>
            <w:r w:rsidR="00757863">
              <w:rPr>
                <w:noProof/>
                <w:webHidden/>
              </w:rPr>
              <w:fldChar w:fldCharType="separate"/>
            </w:r>
            <w:r w:rsidR="00757863">
              <w:rPr>
                <w:noProof/>
                <w:webHidden/>
              </w:rPr>
              <w:t>7</w:t>
            </w:r>
            <w:r w:rsidR="00757863">
              <w:rPr>
                <w:noProof/>
                <w:webHidden/>
              </w:rPr>
              <w:fldChar w:fldCharType="end"/>
            </w:r>
          </w:hyperlink>
        </w:p>
        <w:p w14:paraId="252D01A9" w14:textId="10AC80DD" w:rsidR="00757863" w:rsidRDefault="00056C57">
          <w:pPr>
            <w:pStyle w:val="TOC1"/>
            <w:tabs>
              <w:tab w:val="right" w:leader="dot" w:pos="9016"/>
            </w:tabs>
            <w:rPr>
              <w:noProof/>
            </w:rPr>
          </w:pPr>
          <w:hyperlink w:anchor="_Toc128868526" w:history="1">
            <w:r w:rsidR="00757863" w:rsidRPr="00CD77C3">
              <w:rPr>
                <w:rStyle w:val="Hyperlink"/>
                <w:noProof/>
                <w:lang w:val="en-US"/>
              </w:rPr>
              <w:t>Examples of common law in practice</w:t>
            </w:r>
            <w:r w:rsidR="00757863">
              <w:rPr>
                <w:noProof/>
                <w:webHidden/>
              </w:rPr>
              <w:tab/>
            </w:r>
            <w:r w:rsidR="00757863">
              <w:rPr>
                <w:noProof/>
                <w:webHidden/>
              </w:rPr>
              <w:fldChar w:fldCharType="begin"/>
            </w:r>
            <w:r w:rsidR="00757863">
              <w:rPr>
                <w:noProof/>
                <w:webHidden/>
              </w:rPr>
              <w:instrText xml:space="preserve"> PAGEREF _Toc128868526 \h </w:instrText>
            </w:r>
            <w:r w:rsidR="00757863">
              <w:rPr>
                <w:noProof/>
                <w:webHidden/>
              </w:rPr>
            </w:r>
            <w:r w:rsidR="00757863">
              <w:rPr>
                <w:noProof/>
                <w:webHidden/>
              </w:rPr>
              <w:fldChar w:fldCharType="separate"/>
            </w:r>
            <w:r w:rsidR="00757863">
              <w:rPr>
                <w:noProof/>
                <w:webHidden/>
              </w:rPr>
              <w:t>8</w:t>
            </w:r>
            <w:r w:rsidR="00757863">
              <w:rPr>
                <w:noProof/>
                <w:webHidden/>
              </w:rPr>
              <w:fldChar w:fldCharType="end"/>
            </w:r>
          </w:hyperlink>
        </w:p>
        <w:p w14:paraId="4AA577E0" w14:textId="2E30E526" w:rsidR="00757863" w:rsidRDefault="00056C57">
          <w:pPr>
            <w:pStyle w:val="TOC1"/>
            <w:tabs>
              <w:tab w:val="right" w:leader="dot" w:pos="9016"/>
            </w:tabs>
            <w:rPr>
              <w:noProof/>
            </w:rPr>
          </w:pPr>
          <w:hyperlink w:anchor="_Toc128868527" w:history="1">
            <w:r w:rsidR="00757863" w:rsidRPr="00CD77C3">
              <w:rPr>
                <w:rStyle w:val="Hyperlink"/>
                <w:noProof/>
                <w:lang w:val="en-US"/>
              </w:rPr>
              <w:t>Conclusion</w:t>
            </w:r>
            <w:r w:rsidR="00757863">
              <w:rPr>
                <w:noProof/>
                <w:webHidden/>
              </w:rPr>
              <w:tab/>
            </w:r>
            <w:r w:rsidR="00757863">
              <w:rPr>
                <w:noProof/>
                <w:webHidden/>
              </w:rPr>
              <w:fldChar w:fldCharType="begin"/>
            </w:r>
            <w:r w:rsidR="00757863">
              <w:rPr>
                <w:noProof/>
                <w:webHidden/>
              </w:rPr>
              <w:instrText xml:space="preserve"> PAGEREF _Toc128868527 \h </w:instrText>
            </w:r>
            <w:r w:rsidR="00757863">
              <w:rPr>
                <w:noProof/>
                <w:webHidden/>
              </w:rPr>
            </w:r>
            <w:r w:rsidR="00757863">
              <w:rPr>
                <w:noProof/>
                <w:webHidden/>
              </w:rPr>
              <w:fldChar w:fldCharType="separate"/>
            </w:r>
            <w:r w:rsidR="00757863">
              <w:rPr>
                <w:noProof/>
                <w:webHidden/>
              </w:rPr>
              <w:t>9</w:t>
            </w:r>
            <w:r w:rsidR="00757863">
              <w:rPr>
                <w:noProof/>
                <w:webHidden/>
              </w:rPr>
              <w:fldChar w:fldCharType="end"/>
            </w:r>
          </w:hyperlink>
        </w:p>
        <w:p w14:paraId="48F4B127" w14:textId="1AE2BF02" w:rsidR="00757863" w:rsidRDefault="00056C57">
          <w:pPr>
            <w:pStyle w:val="TOC1"/>
            <w:tabs>
              <w:tab w:val="right" w:leader="dot" w:pos="9016"/>
            </w:tabs>
            <w:rPr>
              <w:noProof/>
            </w:rPr>
          </w:pPr>
          <w:hyperlink w:anchor="_Toc128868528" w:history="1">
            <w:r w:rsidR="00757863" w:rsidRPr="00CD77C3">
              <w:rPr>
                <w:rStyle w:val="Hyperlink"/>
                <w:noProof/>
                <w:lang w:val="en-US"/>
              </w:rPr>
              <w:t>References</w:t>
            </w:r>
            <w:r w:rsidR="00757863">
              <w:rPr>
                <w:noProof/>
                <w:webHidden/>
              </w:rPr>
              <w:tab/>
            </w:r>
            <w:r w:rsidR="00757863">
              <w:rPr>
                <w:noProof/>
                <w:webHidden/>
              </w:rPr>
              <w:fldChar w:fldCharType="begin"/>
            </w:r>
            <w:r w:rsidR="00757863">
              <w:rPr>
                <w:noProof/>
                <w:webHidden/>
              </w:rPr>
              <w:instrText xml:space="preserve"> PAGEREF _Toc128868528 \h </w:instrText>
            </w:r>
            <w:r w:rsidR="00757863">
              <w:rPr>
                <w:noProof/>
                <w:webHidden/>
              </w:rPr>
            </w:r>
            <w:r w:rsidR="00757863">
              <w:rPr>
                <w:noProof/>
                <w:webHidden/>
              </w:rPr>
              <w:fldChar w:fldCharType="separate"/>
            </w:r>
            <w:r w:rsidR="00757863">
              <w:rPr>
                <w:noProof/>
                <w:webHidden/>
              </w:rPr>
              <w:t>10</w:t>
            </w:r>
            <w:r w:rsidR="00757863">
              <w:rPr>
                <w:noProof/>
                <w:webHidden/>
              </w:rPr>
              <w:fldChar w:fldCharType="end"/>
            </w:r>
          </w:hyperlink>
        </w:p>
        <w:p w14:paraId="2C958F6B" w14:textId="07C6696D" w:rsidR="00757863" w:rsidRDefault="00757863">
          <w:r>
            <w:rPr>
              <w:b/>
              <w:bCs/>
              <w:noProof/>
            </w:rPr>
            <w:fldChar w:fldCharType="end"/>
          </w:r>
        </w:p>
      </w:sdtContent>
    </w:sdt>
    <w:p w14:paraId="265E500F" w14:textId="2C85A1A1" w:rsidR="000404FB" w:rsidRDefault="000404FB" w:rsidP="00D15728">
      <w:pPr>
        <w:rPr>
          <w:lang w:val="en-US"/>
        </w:rPr>
      </w:pPr>
      <w:r>
        <w:rPr>
          <w:lang w:val="en-US"/>
        </w:rPr>
        <w:br w:type="page"/>
      </w:r>
    </w:p>
    <w:p w14:paraId="567BC0CA" w14:textId="77777777" w:rsidR="000404FB" w:rsidRDefault="000404FB" w:rsidP="000404FB">
      <w:pPr>
        <w:pStyle w:val="Heading1"/>
        <w:rPr>
          <w:lang w:val="en-US"/>
        </w:rPr>
      </w:pPr>
      <w:bookmarkStart w:id="0" w:name="_Toc128868521"/>
      <w:r>
        <w:rPr>
          <w:lang w:val="en-US"/>
        </w:rPr>
        <w:t>Introduction</w:t>
      </w:r>
      <w:bookmarkEnd w:id="0"/>
    </w:p>
    <w:p w14:paraId="7D7341BD" w14:textId="65708C91" w:rsidR="00D15728" w:rsidRDefault="000404FB" w:rsidP="00D15728">
      <w:pPr>
        <w:rPr>
          <w:lang w:val="en-US"/>
        </w:rPr>
      </w:pPr>
      <w:r>
        <w:rPr>
          <w:lang w:val="en-US"/>
        </w:rPr>
        <w:t>It is such a sort of law that is found in the body of unwritten laws based on legal precedents established by the courts. Civil</w:t>
      </w:r>
      <w:r w:rsidRPr="000404FB">
        <w:rPr>
          <w:lang w:val="en-US"/>
        </w:rPr>
        <w:t xml:space="preserve"> law indulges in governing ordinary issues, like private issues as well as separating them from other crucial laws including criminal, </w:t>
      </w:r>
      <w:r>
        <w:rPr>
          <w:lang w:val="en-US"/>
        </w:rPr>
        <w:t xml:space="preserve">and </w:t>
      </w:r>
      <w:r w:rsidRPr="000404FB">
        <w:rPr>
          <w:lang w:val="en-US"/>
        </w:rPr>
        <w:t>political issues, and so on</w:t>
      </w:r>
      <w:r w:rsidR="00757863" w:rsidRPr="00757863">
        <w:t xml:space="preserve"> </w:t>
      </w:r>
      <w:r w:rsidR="00757863" w:rsidRPr="00757863">
        <w:rPr>
          <w:lang w:val="en-US"/>
        </w:rPr>
        <w:t>(</w:t>
      </w:r>
      <w:proofErr w:type="spellStart"/>
      <w:r w:rsidR="00757863" w:rsidRPr="00757863">
        <w:rPr>
          <w:lang w:val="en-US"/>
        </w:rPr>
        <w:t>Bussani</w:t>
      </w:r>
      <w:proofErr w:type="spellEnd"/>
      <w:r w:rsidR="00757863" w:rsidRPr="00757863">
        <w:rPr>
          <w:lang w:val="en-US"/>
        </w:rPr>
        <w:t xml:space="preserve"> et al., 2022)</w:t>
      </w:r>
      <w:r w:rsidRPr="000404FB">
        <w:rPr>
          <w:lang w:val="en-US"/>
        </w:rPr>
        <w:t xml:space="preserve">. </w:t>
      </w:r>
      <w:r>
        <w:rPr>
          <w:lang w:val="en-US"/>
        </w:rPr>
        <w:t xml:space="preserve">These two laws will be discussed in this report along with their contrast. Then, the history of </w:t>
      </w:r>
      <w:r w:rsidR="00757863">
        <w:rPr>
          <w:lang w:val="en-US"/>
        </w:rPr>
        <w:t>common, in general, and its</w:t>
      </w:r>
      <w:r>
        <w:rPr>
          <w:lang w:val="en-US"/>
        </w:rPr>
        <w:t xml:space="preserve"> practices</w:t>
      </w:r>
      <w:r w:rsidR="00757863">
        <w:rPr>
          <w:lang w:val="en-US"/>
        </w:rPr>
        <w:t>, in general,</w:t>
      </w:r>
      <w:r>
        <w:rPr>
          <w:lang w:val="en-US"/>
        </w:rPr>
        <w:t xml:space="preserve"> will also be discussed. </w:t>
      </w:r>
      <w:r w:rsidR="00D15728">
        <w:rPr>
          <w:lang w:val="en-US"/>
        </w:rPr>
        <w:br w:type="page"/>
      </w:r>
    </w:p>
    <w:p w14:paraId="36B64B8D" w14:textId="5219E07C" w:rsidR="00663EB9" w:rsidRDefault="00D15728" w:rsidP="00D15728">
      <w:pPr>
        <w:pStyle w:val="Heading1"/>
        <w:rPr>
          <w:lang w:val="en-US"/>
        </w:rPr>
      </w:pPr>
      <w:bookmarkStart w:id="1" w:name="_Toc128868522"/>
      <w:r>
        <w:rPr>
          <w:lang w:val="en-US"/>
        </w:rPr>
        <w:t>Common law</w:t>
      </w:r>
      <w:bookmarkEnd w:id="1"/>
    </w:p>
    <w:p w14:paraId="144391EE" w14:textId="5A377651" w:rsidR="00FF3416" w:rsidRDefault="000404FB" w:rsidP="00D15728">
      <w:pPr>
        <w:rPr>
          <w:lang w:val="en-US"/>
        </w:rPr>
      </w:pPr>
      <w:r>
        <w:rPr>
          <w:lang w:val="en-US"/>
        </w:rPr>
        <w:t>Common</w:t>
      </w:r>
      <w:r w:rsidR="00D15728">
        <w:rPr>
          <w:lang w:val="en-US"/>
        </w:rPr>
        <w:t xml:space="preserve"> law is developed by judges via their decisions in the court or it can be judge-made law. </w:t>
      </w:r>
      <w:r w:rsidR="00FF3416">
        <w:rPr>
          <w:lang w:val="en-US"/>
        </w:rPr>
        <w:t>That is why common law is also called case law or precedent. It is different from a statute as statutes are passed and adopted via the legislative procedure or by the legislative branch</w:t>
      </w:r>
      <w:r w:rsidR="00757863" w:rsidRPr="00757863">
        <w:t xml:space="preserve"> </w:t>
      </w:r>
      <w:r w:rsidR="00757863" w:rsidRPr="00757863">
        <w:rPr>
          <w:lang w:val="en-US"/>
        </w:rPr>
        <w:t>(</w:t>
      </w:r>
      <w:proofErr w:type="spellStart"/>
      <w:r w:rsidR="00757863" w:rsidRPr="00757863">
        <w:rPr>
          <w:lang w:val="en-US"/>
        </w:rPr>
        <w:t>Stockmayer</w:t>
      </w:r>
      <w:proofErr w:type="spellEnd"/>
      <w:r w:rsidR="00757863" w:rsidRPr="00757863">
        <w:rPr>
          <w:lang w:val="en-US"/>
        </w:rPr>
        <w:t>, 2014)</w:t>
      </w:r>
      <w:r w:rsidR="00FF3416">
        <w:rPr>
          <w:lang w:val="en-US"/>
        </w:rPr>
        <w:t xml:space="preserve">. Ultimately, it can be said that common law is a body that is a product of all previous decisions made over </w:t>
      </w:r>
      <w:r w:rsidR="00FA3D42">
        <w:rPr>
          <w:lang w:val="en-US"/>
        </w:rPr>
        <w:t>some time</w:t>
      </w:r>
      <w:r w:rsidR="00FF3416">
        <w:rPr>
          <w:lang w:val="en-US"/>
        </w:rPr>
        <w:t xml:space="preserve"> in a country. </w:t>
      </w:r>
    </w:p>
    <w:p w14:paraId="742F23C4" w14:textId="5419F7EE" w:rsidR="00FF3416" w:rsidRDefault="00FF3416" w:rsidP="00D15728">
      <w:pPr>
        <w:rPr>
          <w:lang w:val="en-US"/>
        </w:rPr>
      </w:pPr>
      <w:r>
        <w:rPr>
          <w:lang w:val="en-US"/>
        </w:rPr>
        <w:t xml:space="preserve">This common law with the motto that, justice is meant to be attained via the course of events, not by putting legislation or rule into effect. The law aims at treating similar situations similarly to avoid unfairness and is modified from time to time to incorporate changes. According to </w:t>
      </w:r>
      <w:r w:rsidR="00FA3D42" w:rsidRPr="00FA3D42">
        <w:rPr>
          <w:lang w:val="en-US"/>
        </w:rPr>
        <w:t>Holmes et al.</w:t>
      </w:r>
      <w:r w:rsidR="00FA3D42">
        <w:rPr>
          <w:lang w:val="en-US"/>
        </w:rPr>
        <w:t xml:space="preserve"> (</w:t>
      </w:r>
      <w:r w:rsidR="00FA3D42" w:rsidRPr="00FA3D42">
        <w:rPr>
          <w:lang w:val="en-US"/>
        </w:rPr>
        <w:t>2020)</w:t>
      </w:r>
      <w:r>
        <w:rPr>
          <w:lang w:val="en-US"/>
        </w:rPr>
        <w:t xml:space="preserve">, common law is judge-declared law </w:t>
      </w:r>
      <w:r w:rsidR="00FA3D42">
        <w:rPr>
          <w:lang w:val="en-US"/>
        </w:rPr>
        <w:t>that</w:t>
      </w:r>
      <w:r>
        <w:rPr>
          <w:lang w:val="en-US"/>
        </w:rPr>
        <w:t xml:space="preserve"> exists and applies to a group </w:t>
      </w:r>
      <w:r w:rsidR="00FA3D42">
        <w:rPr>
          <w:lang w:val="en-US"/>
        </w:rPr>
        <w:t>based on</w:t>
      </w:r>
      <w:r>
        <w:rPr>
          <w:lang w:val="en-US"/>
        </w:rPr>
        <w:t xml:space="preserve"> customers and legal precedents developed over </w:t>
      </w:r>
      <w:r w:rsidR="00FA3D42">
        <w:rPr>
          <w:lang w:val="en-US"/>
        </w:rPr>
        <w:t xml:space="preserve">a </w:t>
      </w:r>
      <w:r>
        <w:rPr>
          <w:lang w:val="en-US"/>
        </w:rPr>
        <w:t>hundred years in Britain</w:t>
      </w:r>
      <w:r w:rsidR="00FA3D42">
        <w:rPr>
          <w:lang w:val="en-US"/>
        </w:rPr>
        <w:t xml:space="preserve"> and that is why it is the basis of the modern jury system. </w:t>
      </w:r>
    </w:p>
    <w:p w14:paraId="1F05594A" w14:textId="28670B4F" w:rsidR="00FF3416" w:rsidRDefault="00FF3416" w:rsidP="00D15728">
      <w:pPr>
        <w:rPr>
          <w:lang w:val="en-US"/>
        </w:rPr>
      </w:pPr>
      <w:r w:rsidRPr="00FA3D42">
        <w:rPr>
          <w:b/>
          <w:bCs/>
          <w:lang w:val="en-US"/>
        </w:rPr>
        <w:t>For example,</w:t>
      </w:r>
      <w:r>
        <w:rPr>
          <w:lang w:val="en-US"/>
        </w:rPr>
        <w:t xml:space="preserve"> bad decisions are given when the judge has muddled the password and the wrong door opens. But we do not believe in fairy tales anymore. So, people must accept the fact that for better or worse judges do make laws, and tackle the question of how they approach their task and how should they approach it (B. Cardozo, 1972). </w:t>
      </w:r>
      <w:r w:rsidR="00FA3D42">
        <w:rPr>
          <w:lang w:val="en-US"/>
        </w:rPr>
        <w:t xml:space="preserve">Then, confidentiality is another example of common law where no statute exists. Like, employees have a duty of confidentiality to their employers which extends beyond the end of employment. </w:t>
      </w:r>
    </w:p>
    <w:p w14:paraId="2EB77FFF" w14:textId="6ED75D19" w:rsidR="00FA3D42" w:rsidRDefault="00FA3D42" w:rsidP="00D15728">
      <w:pPr>
        <w:rPr>
          <w:lang w:val="en-US"/>
        </w:rPr>
      </w:pPr>
      <w:r w:rsidRPr="00FA3D42">
        <w:rPr>
          <w:b/>
          <w:bCs/>
          <w:lang w:val="en-US"/>
        </w:rPr>
        <w:t>The importance of common law:</w:t>
      </w:r>
      <w:r>
        <w:rPr>
          <w:lang w:val="en-US"/>
        </w:rPr>
        <w:t xml:space="preserve"> Some branches of common law are almost entirely the product of judges’ decisions. The British constitution has no written charter of rights or bill of rights. The courts have traditionally defended the rights of the individual against state encroachment where convention rights are envisaged that are considered as the human rights act</w:t>
      </w:r>
      <w:r w:rsidR="00757863" w:rsidRPr="00757863">
        <w:t xml:space="preserve"> </w:t>
      </w:r>
      <w:r w:rsidR="00757863" w:rsidRPr="00757863">
        <w:rPr>
          <w:lang w:val="en-US"/>
        </w:rPr>
        <w:t>(</w:t>
      </w:r>
      <w:proofErr w:type="spellStart"/>
      <w:r w:rsidR="00757863" w:rsidRPr="00757863">
        <w:rPr>
          <w:lang w:val="en-US"/>
        </w:rPr>
        <w:t>Nyazee</w:t>
      </w:r>
      <w:proofErr w:type="spellEnd"/>
      <w:r w:rsidR="00757863" w:rsidRPr="00757863">
        <w:rPr>
          <w:lang w:val="en-US"/>
        </w:rPr>
        <w:t>, 2022)</w:t>
      </w:r>
      <w:r>
        <w:rPr>
          <w:lang w:val="en-US"/>
        </w:rPr>
        <w:t>. If the judgment is challenged in the court of appeal and set aside, then the Court of Appeal’s new ruling becomes the common law on this issue. When considering a case is brought to the court, a judge would consider the exact wording of the law. Then, if matters are unclear or ill-defined, the judge’s decision in their written judgment becomes common law.</w:t>
      </w:r>
    </w:p>
    <w:p w14:paraId="11AFA3DA" w14:textId="4EC79CE0" w:rsidR="000364C5" w:rsidRDefault="000364C5" w:rsidP="000364C5">
      <w:pPr>
        <w:pStyle w:val="Heading1"/>
        <w:rPr>
          <w:lang w:val="en-US"/>
        </w:rPr>
      </w:pPr>
      <w:bookmarkStart w:id="2" w:name="_Toc128868523"/>
      <w:r>
        <w:rPr>
          <w:lang w:val="en-US"/>
        </w:rPr>
        <w:t>Civil law</w:t>
      </w:r>
      <w:bookmarkEnd w:id="2"/>
    </w:p>
    <w:p w14:paraId="5ADA132B" w14:textId="32E57592" w:rsidR="000364C5" w:rsidRDefault="000364C5" w:rsidP="00D15728">
      <w:pPr>
        <w:rPr>
          <w:lang w:val="en-US"/>
        </w:rPr>
      </w:pPr>
      <w:r>
        <w:rPr>
          <w:lang w:val="en-US"/>
        </w:rPr>
        <w:t>In this case, it is required to compensate the individual or entity that has been wronged rather than punishing another who indulges in doing wrong. This civil law deals with interactions between individuals and for this, it considers property, contracts, divorces, negligence, and so many relative issues</w:t>
      </w:r>
      <w:r w:rsidR="00757863" w:rsidRPr="00757863">
        <w:t xml:space="preserve"> </w:t>
      </w:r>
      <w:r w:rsidR="00757863" w:rsidRPr="00757863">
        <w:rPr>
          <w:lang w:val="en-US"/>
        </w:rPr>
        <w:t>(Farhana, 2016)</w:t>
      </w:r>
      <w:r>
        <w:rPr>
          <w:lang w:val="en-US"/>
        </w:rPr>
        <w:t xml:space="preserve">. Alternatively said, it is an inquisitorial system that is found in a codified set of laws and requires judicial precedents that are not binding. </w:t>
      </w:r>
      <w:r w:rsidR="003D7FA9">
        <w:rPr>
          <w:lang w:val="en-US"/>
        </w:rPr>
        <w:t xml:space="preserve">In this case, statutes and other subsidiary legislations are the main sources where the judge’s role is to establish the facts of the case and apply the applicable code’s provisions. </w:t>
      </w:r>
    </w:p>
    <w:p w14:paraId="54BC2C5D" w14:textId="77777777" w:rsidR="003D7FA9" w:rsidRDefault="003D7FA9" w:rsidP="00D15728">
      <w:pPr>
        <w:rPr>
          <w:lang w:val="en-US"/>
        </w:rPr>
      </w:pPr>
      <w:r w:rsidRPr="003D7FA9">
        <w:rPr>
          <w:b/>
          <w:bCs/>
          <w:lang w:val="en-US"/>
        </w:rPr>
        <w:t xml:space="preserve">For example, </w:t>
      </w:r>
      <w:r w:rsidRPr="003D7FA9">
        <w:rPr>
          <w:lang w:val="en-US"/>
        </w:rPr>
        <w:t>family</w:t>
      </w:r>
      <w:r>
        <w:rPr>
          <w:b/>
          <w:bCs/>
          <w:lang w:val="en-US"/>
        </w:rPr>
        <w:t xml:space="preserve"> </w:t>
      </w:r>
      <w:r>
        <w:rPr>
          <w:lang w:val="en-US"/>
        </w:rPr>
        <w:t xml:space="preserve">law is the best example of civil law that envisages different topics including marriage, divorce, adoption, de facto relationships, and so on. Then, tort law also envisages negligence, trespass, nuisance, and defamation. </w:t>
      </w:r>
    </w:p>
    <w:p w14:paraId="0740C332" w14:textId="75FD40B2" w:rsidR="003D7FA9" w:rsidRDefault="003D7FA9" w:rsidP="00D15728">
      <w:pPr>
        <w:rPr>
          <w:lang w:val="en-US"/>
        </w:rPr>
      </w:pPr>
      <w:r>
        <w:rPr>
          <w:lang w:val="en-US"/>
        </w:rPr>
        <w:t>Besides, if an individual has experienced a loss because someone else has either broken a legally binding promise or is behaving unreasonably towards the individual it would be a civil case</w:t>
      </w:r>
      <w:r w:rsidR="00757863" w:rsidRPr="00757863">
        <w:t xml:space="preserve"> </w:t>
      </w:r>
      <w:r w:rsidR="00757863" w:rsidRPr="00757863">
        <w:rPr>
          <w:lang w:val="en-US"/>
        </w:rPr>
        <w:t>(Wilson et al., 2018)</w:t>
      </w:r>
      <w:r>
        <w:rPr>
          <w:lang w:val="en-US"/>
        </w:rPr>
        <w:t>. In this case, such individuals would normally sue them that can help sue them in the Small Claims Court Division of the country court. If it is quite serious and likely to involve a lot of money in damages, one would sue them in the full Country Court.</w:t>
      </w:r>
    </w:p>
    <w:p w14:paraId="691DE035" w14:textId="186F3020" w:rsidR="00A179D5" w:rsidRDefault="003D7FA9" w:rsidP="00D15728">
      <w:pPr>
        <w:rPr>
          <w:lang w:val="en-US"/>
        </w:rPr>
      </w:pPr>
      <w:r w:rsidRPr="003D7FA9">
        <w:rPr>
          <w:b/>
          <w:bCs/>
          <w:lang w:val="en-US"/>
        </w:rPr>
        <w:t>Importance of civil law:</w:t>
      </w:r>
      <w:r>
        <w:rPr>
          <w:lang w:val="en-US"/>
        </w:rPr>
        <w:t xml:space="preserve"> Civil law’s significance cannot be described in a word that helps cover a broad area of types of conduct that the law has identified as wrong. These wrongs are referred to as civil wrongs. That means civil law is always concerned with the rights and responsibilities of individuals in their dealings with each other. It is also called </w:t>
      </w:r>
      <w:r w:rsidR="00A179D5">
        <w:rPr>
          <w:lang w:val="en-US"/>
        </w:rPr>
        <w:t xml:space="preserve">the </w:t>
      </w:r>
      <w:r w:rsidR="00757863">
        <w:rPr>
          <w:lang w:val="en-US"/>
        </w:rPr>
        <w:t>way</w:t>
      </w:r>
      <w:r w:rsidR="00A179D5">
        <w:rPr>
          <w:lang w:val="en-US"/>
        </w:rPr>
        <w:t xml:space="preserve"> of compensating</w:t>
      </w:r>
      <w:r>
        <w:rPr>
          <w:lang w:val="en-US"/>
        </w:rPr>
        <w:t xml:space="preserve"> the harm and the damages </w:t>
      </w:r>
      <w:r w:rsidR="00A179D5">
        <w:rPr>
          <w:lang w:val="en-US"/>
        </w:rPr>
        <w:t>and for this harm, money is awarded to a plaintiff for harm, loss, or injury</w:t>
      </w:r>
      <w:r w:rsidR="00757863" w:rsidRPr="00757863">
        <w:t xml:space="preserve"> </w:t>
      </w:r>
      <w:r w:rsidR="00757863" w:rsidRPr="00757863">
        <w:rPr>
          <w:lang w:val="en-US"/>
        </w:rPr>
        <w:t>(</w:t>
      </w:r>
      <w:proofErr w:type="spellStart"/>
      <w:r w:rsidR="00757863" w:rsidRPr="00757863">
        <w:rPr>
          <w:lang w:val="en-US"/>
        </w:rPr>
        <w:t>Bussani</w:t>
      </w:r>
      <w:proofErr w:type="spellEnd"/>
      <w:r w:rsidR="00757863" w:rsidRPr="00757863">
        <w:rPr>
          <w:lang w:val="en-US"/>
        </w:rPr>
        <w:t xml:space="preserve"> et al., 2022)</w:t>
      </w:r>
      <w:r w:rsidR="00A179D5">
        <w:rPr>
          <w:lang w:val="en-US"/>
        </w:rPr>
        <w:t xml:space="preserve">. By using this civil law, four major fields can be envisaged, like contracts, property, and family relations, and civil wrongs like torts. </w:t>
      </w:r>
      <w:r w:rsidR="00A179D5">
        <w:rPr>
          <w:lang w:val="en-US"/>
        </w:rPr>
        <w:br w:type="page"/>
      </w:r>
    </w:p>
    <w:p w14:paraId="755CFB87" w14:textId="205FA618" w:rsidR="003D7FA9" w:rsidRDefault="00A179D5" w:rsidP="00A179D5">
      <w:pPr>
        <w:pStyle w:val="Heading1"/>
        <w:rPr>
          <w:lang w:val="en-US"/>
        </w:rPr>
      </w:pPr>
      <w:bookmarkStart w:id="3" w:name="_Toc128868524"/>
      <w:r>
        <w:rPr>
          <w:lang w:val="en-US"/>
        </w:rPr>
        <w:t>The contrast between common and civil law</w:t>
      </w:r>
      <w:bookmarkEnd w:id="3"/>
    </w:p>
    <w:tbl>
      <w:tblPr>
        <w:tblStyle w:val="TableGrid"/>
        <w:tblW w:w="0" w:type="auto"/>
        <w:tblLook w:val="04A0" w:firstRow="1" w:lastRow="0" w:firstColumn="1" w:lastColumn="0" w:noHBand="0" w:noVBand="1"/>
      </w:tblPr>
      <w:tblGrid>
        <w:gridCol w:w="1796"/>
        <w:gridCol w:w="3855"/>
        <w:gridCol w:w="3365"/>
      </w:tblGrid>
      <w:tr w:rsidR="00A179D5" w:rsidRPr="00C274FE" w14:paraId="295C141D" w14:textId="77777777" w:rsidTr="00C274FE">
        <w:tc>
          <w:tcPr>
            <w:tcW w:w="1818" w:type="dxa"/>
          </w:tcPr>
          <w:p w14:paraId="52B61F67" w14:textId="7CD97FCC" w:rsidR="00A179D5" w:rsidRPr="00C274FE" w:rsidRDefault="00A179D5" w:rsidP="00A179D5">
            <w:pPr>
              <w:jc w:val="center"/>
              <w:rPr>
                <w:b/>
                <w:bCs/>
                <w:szCs w:val="24"/>
                <w:lang w:val="en-US"/>
              </w:rPr>
            </w:pPr>
            <w:r w:rsidRPr="00C274FE">
              <w:rPr>
                <w:b/>
                <w:bCs/>
                <w:szCs w:val="24"/>
                <w:lang w:val="en-US"/>
              </w:rPr>
              <w:t>Fields</w:t>
            </w:r>
          </w:p>
        </w:tc>
        <w:tc>
          <w:tcPr>
            <w:tcW w:w="3960" w:type="dxa"/>
          </w:tcPr>
          <w:p w14:paraId="2FDF81B2" w14:textId="56EFD68F" w:rsidR="00A179D5" w:rsidRPr="00C274FE" w:rsidRDefault="00A179D5" w:rsidP="00A179D5">
            <w:pPr>
              <w:jc w:val="center"/>
              <w:rPr>
                <w:b/>
                <w:bCs/>
                <w:szCs w:val="24"/>
                <w:lang w:val="en-US"/>
              </w:rPr>
            </w:pPr>
            <w:r w:rsidRPr="00C274FE">
              <w:rPr>
                <w:b/>
                <w:bCs/>
                <w:szCs w:val="24"/>
                <w:lang w:val="en-US"/>
              </w:rPr>
              <w:t>Civil law</w:t>
            </w:r>
          </w:p>
        </w:tc>
        <w:tc>
          <w:tcPr>
            <w:tcW w:w="3464" w:type="dxa"/>
          </w:tcPr>
          <w:p w14:paraId="2C7F43E3" w14:textId="2E39CA69" w:rsidR="00A179D5" w:rsidRPr="00C274FE" w:rsidRDefault="00A179D5" w:rsidP="00A179D5">
            <w:pPr>
              <w:jc w:val="center"/>
              <w:rPr>
                <w:b/>
                <w:bCs/>
                <w:szCs w:val="24"/>
                <w:lang w:val="en-US"/>
              </w:rPr>
            </w:pPr>
            <w:r w:rsidRPr="00C274FE">
              <w:rPr>
                <w:b/>
                <w:bCs/>
                <w:szCs w:val="24"/>
                <w:lang w:val="en-US"/>
              </w:rPr>
              <w:t>Common law</w:t>
            </w:r>
          </w:p>
        </w:tc>
      </w:tr>
      <w:tr w:rsidR="00A179D5" w:rsidRPr="00C274FE" w14:paraId="267984EA" w14:textId="77777777" w:rsidTr="00C274FE">
        <w:tc>
          <w:tcPr>
            <w:tcW w:w="1818" w:type="dxa"/>
          </w:tcPr>
          <w:p w14:paraId="4C7C5C4C" w14:textId="4F24445C" w:rsidR="00A179D5" w:rsidRPr="00C274FE" w:rsidRDefault="00A179D5" w:rsidP="00D15728">
            <w:pPr>
              <w:rPr>
                <w:b/>
                <w:bCs/>
                <w:szCs w:val="24"/>
                <w:lang w:val="en-US"/>
              </w:rPr>
            </w:pPr>
            <w:r w:rsidRPr="00C274FE">
              <w:rPr>
                <w:b/>
                <w:bCs/>
                <w:szCs w:val="24"/>
                <w:lang w:val="en-US"/>
              </w:rPr>
              <w:t>The basic law-making fact</w:t>
            </w:r>
          </w:p>
        </w:tc>
        <w:tc>
          <w:tcPr>
            <w:tcW w:w="3960" w:type="dxa"/>
          </w:tcPr>
          <w:p w14:paraId="59EDBF8D" w14:textId="4C1FAB73" w:rsidR="00A179D5" w:rsidRPr="00C274FE" w:rsidRDefault="00A179D5" w:rsidP="00D15728">
            <w:pPr>
              <w:rPr>
                <w:szCs w:val="24"/>
                <w:lang w:val="en-US"/>
              </w:rPr>
            </w:pPr>
            <w:r w:rsidRPr="00C274FE">
              <w:rPr>
                <w:szCs w:val="24"/>
                <w:lang w:val="en-US"/>
              </w:rPr>
              <w:t xml:space="preserve">In this case, the codification of regulations is quite significant. </w:t>
            </w:r>
          </w:p>
        </w:tc>
        <w:tc>
          <w:tcPr>
            <w:tcW w:w="3464" w:type="dxa"/>
          </w:tcPr>
          <w:p w14:paraId="10DA6C4D" w14:textId="7CB2FDFA" w:rsidR="00A179D5" w:rsidRPr="00C274FE" w:rsidRDefault="00A179D5" w:rsidP="00D15728">
            <w:pPr>
              <w:rPr>
                <w:szCs w:val="24"/>
                <w:lang w:val="en-US"/>
              </w:rPr>
            </w:pPr>
            <w:r w:rsidRPr="00C274FE">
              <w:rPr>
                <w:szCs w:val="24"/>
                <w:lang w:val="en-US"/>
              </w:rPr>
              <w:t xml:space="preserve">This law is dependent on the decision of judges. </w:t>
            </w:r>
          </w:p>
        </w:tc>
      </w:tr>
      <w:tr w:rsidR="00A179D5" w:rsidRPr="00C274FE" w14:paraId="0F5E721E" w14:textId="77777777" w:rsidTr="00C274FE">
        <w:tc>
          <w:tcPr>
            <w:tcW w:w="1818" w:type="dxa"/>
          </w:tcPr>
          <w:p w14:paraId="1EECCEAA" w14:textId="42E835AA" w:rsidR="00A179D5" w:rsidRPr="00C274FE" w:rsidRDefault="00A179D5" w:rsidP="00D15728">
            <w:pPr>
              <w:rPr>
                <w:b/>
                <w:bCs/>
                <w:szCs w:val="24"/>
                <w:lang w:val="en-US"/>
              </w:rPr>
            </w:pPr>
            <w:r w:rsidRPr="00C274FE">
              <w:rPr>
                <w:b/>
                <w:bCs/>
                <w:szCs w:val="24"/>
                <w:lang w:val="en-US"/>
              </w:rPr>
              <w:t>The basic source of law</w:t>
            </w:r>
          </w:p>
        </w:tc>
        <w:tc>
          <w:tcPr>
            <w:tcW w:w="3960" w:type="dxa"/>
          </w:tcPr>
          <w:p w14:paraId="7DC1186F" w14:textId="03AC1E62" w:rsidR="00A179D5" w:rsidRPr="00C274FE" w:rsidRDefault="00A179D5" w:rsidP="00D15728">
            <w:pPr>
              <w:rPr>
                <w:szCs w:val="24"/>
                <w:lang w:val="en-US"/>
              </w:rPr>
            </w:pPr>
            <w:r w:rsidRPr="00C274FE">
              <w:rPr>
                <w:szCs w:val="24"/>
                <w:lang w:val="en-US"/>
              </w:rPr>
              <w:t xml:space="preserve">The source of law is the legislative enactments. Judicial precedents are </w:t>
            </w:r>
            <w:r w:rsidR="00C274FE" w:rsidRPr="00C274FE">
              <w:rPr>
                <w:szCs w:val="24"/>
                <w:lang w:val="en-US"/>
              </w:rPr>
              <w:t xml:space="preserve">not </w:t>
            </w:r>
            <w:r w:rsidRPr="00C274FE">
              <w:rPr>
                <w:szCs w:val="24"/>
                <w:lang w:val="en-US"/>
              </w:rPr>
              <w:t>binding in this case</w:t>
            </w:r>
          </w:p>
        </w:tc>
        <w:tc>
          <w:tcPr>
            <w:tcW w:w="3464" w:type="dxa"/>
          </w:tcPr>
          <w:p w14:paraId="73D361DE" w14:textId="2D3498A9" w:rsidR="00A179D5" w:rsidRPr="00C274FE" w:rsidRDefault="00A179D5" w:rsidP="00D15728">
            <w:pPr>
              <w:rPr>
                <w:szCs w:val="24"/>
                <w:lang w:val="en-US"/>
              </w:rPr>
            </w:pPr>
            <w:r w:rsidRPr="00C274FE">
              <w:rPr>
                <w:szCs w:val="24"/>
                <w:lang w:val="en-US"/>
              </w:rPr>
              <w:t>Both legal precedents and legislation are the basic source of common law</w:t>
            </w:r>
            <w:r w:rsidR="00757863">
              <w:t xml:space="preserve"> </w:t>
            </w:r>
            <w:r w:rsidR="00757863" w:rsidRPr="00757863">
              <w:rPr>
                <w:szCs w:val="24"/>
                <w:lang w:val="en-US"/>
              </w:rPr>
              <w:t>(</w:t>
            </w:r>
            <w:proofErr w:type="spellStart"/>
            <w:r w:rsidR="00757863" w:rsidRPr="00757863">
              <w:rPr>
                <w:szCs w:val="24"/>
                <w:lang w:val="en-US"/>
              </w:rPr>
              <w:t>Nyazee</w:t>
            </w:r>
            <w:proofErr w:type="spellEnd"/>
            <w:r w:rsidR="00757863" w:rsidRPr="00757863">
              <w:rPr>
                <w:szCs w:val="24"/>
                <w:lang w:val="en-US"/>
              </w:rPr>
              <w:t>, 2022)</w:t>
            </w:r>
            <w:r w:rsidRPr="00C274FE">
              <w:rPr>
                <w:szCs w:val="24"/>
                <w:lang w:val="en-US"/>
              </w:rPr>
              <w:t xml:space="preserve">. But judicial precedents are binding in this field. </w:t>
            </w:r>
          </w:p>
        </w:tc>
      </w:tr>
      <w:tr w:rsidR="00A179D5" w:rsidRPr="00C274FE" w14:paraId="5E56AC63" w14:textId="77777777" w:rsidTr="00C274FE">
        <w:tc>
          <w:tcPr>
            <w:tcW w:w="1818" w:type="dxa"/>
          </w:tcPr>
          <w:p w14:paraId="354CB51A" w14:textId="4A5AD02A" w:rsidR="00A179D5" w:rsidRPr="00C274FE" w:rsidRDefault="00A179D5" w:rsidP="00D15728">
            <w:pPr>
              <w:rPr>
                <w:b/>
                <w:bCs/>
                <w:szCs w:val="24"/>
                <w:lang w:val="en-US"/>
              </w:rPr>
            </w:pPr>
            <w:r w:rsidRPr="00C274FE">
              <w:rPr>
                <w:b/>
                <w:bCs/>
                <w:szCs w:val="24"/>
                <w:lang w:val="en-US"/>
              </w:rPr>
              <w:t>The entity that creates the law</w:t>
            </w:r>
          </w:p>
        </w:tc>
        <w:tc>
          <w:tcPr>
            <w:tcW w:w="3960" w:type="dxa"/>
          </w:tcPr>
          <w:p w14:paraId="5ACC75DE" w14:textId="237576BA" w:rsidR="00A179D5" w:rsidRPr="00C274FE" w:rsidRDefault="00A179D5" w:rsidP="00D15728">
            <w:pPr>
              <w:rPr>
                <w:szCs w:val="24"/>
                <w:lang w:val="en-US"/>
              </w:rPr>
            </w:pPr>
            <w:r w:rsidRPr="00C274FE">
              <w:rPr>
                <w:szCs w:val="24"/>
                <w:lang w:val="en-US"/>
              </w:rPr>
              <w:t>This law is created by a particular legislative body</w:t>
            </w:r>
            <w:r w:rsidR="00757863">
              <w:t xml:space="preserve"> </w:t>
            </w:r>
            <w:r w:rsidR="00757863" w:rsidRPr="00757863">
              <w:rPr>
                <w:szCs w:val="24"/>
                <w:lang w:val="en-US"/>
              </w:rPr>
              <w:t>(</w:t>
            </w:r>
            <w:proofErr w:type="spellStart"/>
            <w:r w:rsidR="00757863" w:rsidRPr="00757863">
              <w:rPr>
                <w:szCs w:val="24"/>
                <w:lang w:val="en-US"/>
              </w:rPr>
              <w:t>Schmiegelow</w:t>
            </w:r>
            <w:proofErr w:type="spellEnd"/>
            <w:r w:rsidR="00757863" w:rsidRPr="00757863">
              <w:rPr>
                <w:szCs w:val="24"/>
                <w:lang w:val="en-US"/>
              </w:rPr>
              <w:t>, 2014)</w:t>
            </w:r>
            <w:r w:rsidRPr="00C274FE">
              <w:rPr>
                <w:szCs w:val="24"/>
                <w:lang w:val="en-US"/>
              </w:rPr>
              <w:t>.</w:t>
            </w:r>
            <w:r w:rsidR="00C274FE" w:rsidRPr="00C274FE">
              <w:rPr>
                <w:szCs w:val="24"/>
              </w:rPr>
              <w:t xml:space="preserve"> </w:t>
            </w:r>
            <w:r w:rsidR="00C274FE" w:rsidRPr="00C274FE">
              <w:rPr>
                <w:szCs w:val="24"/>
                <w:lang w:val="en-US"/>
              </w:rPr>
              <w:t xml:space="preserve">In this case, the judge’s role is to establish the facts of the case and to apply the provisions of the applicable code. </w:t>
            </w:r>
            <w:r w:rsidRPr="00C274FE">
              <w:rPr>
                <w:szCs w:val="24"/>
                <w:lang w:val="en-US"/>
              </w:rPr>
              <w:t xml:space="preserve"> </w:t>
            </w:r>
          </w:p>
        </w:tc>
        <w:tc>
          <w:tcPr>
            <w:tcW w:w="3464" w:type="dxa"/>
          </w:tcPr>
          <w:p w14:paraId="70D2B42A" w14:textId="4180F9CC" w:rsidR="00A179D5" w:rsidRPr="00C274FE" w:rsidRDefault="00A179D5" w:rsidP="00D15728">
            <w:pPr>
              <w:rPr>
                <w:szCs w:val="24"/>
                <w:lang w:val="en-US"/>
              </w:rPr>
            </w:pPr>
            <w:r w:rsidRPr="00C274FE">
              <w:rPr>
                <w:szCs w:val="24"/>
                <w:lang w:val="en-US"/>
              </w:rPr>
              <w:t>Both legislative bodies and judges can create the common law</w:t>
            </w:r>
            <w:r w:rsidR="00757863">
              <w:t xml:space="preserve"> </w:t>
            </w:r>
            <w:r w:rsidR="00757863" w:rsidRPr="00757863">
              <w:rPr>
                <w:szCs w:val="24"/>
                <w:lang w:val="en-US"/>
              </w:rPr>
              <w:t>(Potter, 2015)</w:t>
            </w:r>
            <w:r w:rsidRPr="00C274FE">
              <w:rPr>
                <w:szCs w:val="24"/>
                <w:lang w:val="en-US"/>
              </w:rPr>
              <w:t xml:space="preserve">. </w:t>
            </w:r>
            <w:r w:rsidR="00C274FE" w:rsidRPr="00C274FE">
              <w:rPr>
                <w:szCs w:val="24"/>
                <w:lang w:val="en-US"/>
              </w:rPr>
              <w:t>Judges make rulings, set precedents, and moderate between the conflicting parties.</w:t>
            </w:r>
          </w:p>
        </w:tc>
      </w:tr>
      <w:tr w:rsidR="00A179D5" w:rsidRPr="00C274FE" w14:paraId="36482A63" w14:textId="77777777" w:rsidTr="00C274FE">
        <w:tc>
          <w:tcPr>
            <w:tcW w:w="1818" w:type="dxa"/>
          </w:tcPr>
          <w:p w14:paraId="3E2038FE" w14:textId="06C944A7" w:rsidR="00A179D5" w:rsidRPr="00C274FE" w:rsidRDefault="00A179D5" w:rsidP="00D15728">
            <w:pPr>
              <w:rPr>
                <w:b/>
                <w:bCs/>
                <w:szCs w:val="24"/>
                <w:lang w:val="en-US"/>
              </w:rPr>
            </w:pPr>
            <w:r w:rsidRPr="00C274FE">
              <w:rPr>
                <w:b/>
                <w:bCs/>
                <w:szCs w:val="24"/>
                <w:lang w:val="en-US"/>
              </w:rPr>
              <w:t>Division of law</w:t>
            </w:r>
          </w:p>
        </w:tc>
        <w:tc>
          <w:tcPr>
            <w:tcW w:w="3960" w:type="dxa"/>
          </w:tcPr>
          <w:p w14:paraId="753738BE" w14:textId="3DAD373D" w:rsidR="00A179D5" w:rsidRPr="00C274FE" w:rsidRDefault="00A179D5" w:rsidP="00D15728">
            <w:pPr>
              <w:rPr>
                <w:szCs w:val="24"/>
                <w:lang w:val="en-US"/>
              </w:rPr>
            </w:pPr>
            <w:r w:rsidRPr="00C274FE">
              <w:rPr>
                <w:szCs w:val="24"/>
                <w:lang w:val="en-US"/>
              </w:rPr>
              <w:t xml:space="preserve">Civil law is divided into private and public law. </w:t>
            </w:r>
          </w:p>
        </w:tc>
        <w:tc>
          <w:tcPr>
            <w:tcW w:w="3464" w:type="dxa"/>
          </w:tcPr>
          <w:p w14:paraId="6288D45F" w14:textId="30FF9AD3" w:rsidR="00A179D5" w:rsidRPr="00C274FE" w:rsidRDefault="00A179D5" w:rsidP="00D15728">
            <w:pPr>
              <w:rPr>
                <w:szCs w:val="24"/>
                <w:lang w:val="en-US"/>
              </w:rPr>
            </w:pPr>
            <w:r w:rsidRPr="00C274FE">
              <w:rPr>
                <w:szCs w:val="24"/>
                <w:lang w:val="en-US"/>
              </w:rPr>
              <w:t xml:space="preserve">Its division includes common law and equity. </w:t>
            </w:r>
          </w:p>
        </w:tc>
      </w:tr>
      <w:tr w:rsidR="00A179D5" w:rsidRPr="00C274FE" w14:paraId="66801123" w14:textId="77777777" w:rsidTr="00C274FE">
        <w:tc>
          <w:tcPr>
            <w:tcW w:w="1818" w:type="dxa"/>
          </w:tcPr>
          <w:p w14:paraId="098EE4B2" w14:textId="1AE6B5C5" w:rsidR="00A179D5" w:rsidRPr="00C274FE" w:rsidRDefault="00A179D5" w:rsidP="00D15728">
            <w:pPr>
              <w:rPr>
                <w:b/>
                <w:bCs/>
                <w:szCs w:val="24"/>
                <w:lang w:val="en-US"/>
              </w:rPr>
            </w:pPr>
            <w:r w:rsidRPr="00C274FE">
              <w:rPr>
                <w:b/>
                <w:bCs/>
                <w:szCs w:val="24"/>
                <w:lang w:val="en-US"/>
              </w:rPr>
              <w:t>Origin of law</w:t>
            </w:r>
          </w:p>
        </w:tc>
        <w:tc>
          <w:tcPr>
            <w:tcW w:w="3960" w:type="dxa"/>
          </w:tcPr>
          <w:p w14:paraId="49E83424" w14:textId="383E7DA8" w:rsidR="00A179D5" w:rsidRPr="00C274FE" w:rsidRDefault="00A179D5" w:rsidP="00D15728">
            <w:pPr>
              <w:rPr>
                <w:szCs w:val="24"/>
                <w:lang w:val="en-US"/>
              </w:rPr>
            </w:pPr>
            <w:r w:rsidRPr="00C274FE">
              <w:rPr>
                <w:szCs w:val="24"/>
                <w:lang w:val="en-US"/>
              </w:rPr>
              <w:t>From Roman law, civil law was originated</w:t>
            </w:r>
            <w:r w:rsidR="00757863">
              <w:t xml:space="preserve"> </w:t>
            </w:r>
            <w:r w:rsidR="00757863" w:rsidRPr="00757863">
              <w:rPr>
                <w:szCs w:val="24"/>
                <w:lang w:val="en-US"/>
              </w:rPr>
              <w:t>(Waddington, 2019)</w:t>
            </w:r>
            <w:r w:rsidRPr="00C274FE">
              <w:rPr>
                <w:szCs w:val="24"/>
                <w:lang w:val="en-US"/>
              </w:rPr>
              <w:t xml:space="preserve">. </w:t>
            </w:r>
          </w:p>
        </w:tc>
        <w:tc>
          <w:tcPr>
            <w:tcW w:w="3464" w:type="dxa"/>
          </w:tcPr>
          <w:p w14:paraId="6C251ABF" w14:textId="30122E81" w:rsidR="00A179D5" w:rsidRPr="00C274FE" w:rsidRDefault="00A179D5" w:rsidP="00D15728">
            <w:pPr>
              <w:rPr>
                <w:szCs w:val="24"/>
                <w:lang w:val="en-US"/>
              </w:rPr>
            </w:pPr>
            <w:proofErr w:type="spellStart"/>
            <w:r w:rsidRPr="00C274FE">
              <w:rPr>
                <w:szCs w:val="24"/>
                <w:lang w:val="en-US"/>
              </w:rPr>
              <w:t>Ius</w:t>
            </w:r>
            <w:proofErr w:type="spellEnd"/>
            <w:r w:rsidRPr="00C274FE">
              <w:rPr>
                <w:szCs w:val="24"/>
                <w:lang w:val="en-US"/>
              </w:rPr>
              <w:t xml:space="preserve"> commune is the origin of law. </w:t>
            </w:r>
          </w:p>
        </w:tc>
      </w:tr>
      <w:tr w:rsidR="00A179D5" w:rsidRPr="00C274FE" w14:paraId="57DDAFF6" w14:textId="77777777" w:rsidTr="00C274FE">
        <w:tc>
          <w:tcPr>
            <w:tcW w:w="1818" w:type="dxa"/>
          </w:tcPr>
          <w:p w14:paraId="5A1E6060" w14:textId="4E0E6A51" w:rsidR="00A179D5" w:rsidRPr="00C274FE" w:rsidRDefault="00C274FE" w:rsidP="00D15728">
            <w:pPr>
              <w:rPr>
                <w:b/>
                <w:bCs/>
                <w:szCs w:val="24"/>
                <w:lang w:val="en-US"/>
              </w:rPr>
            </w:pPr>
            <w:r w:rsidRPr="00C274FE">
              <w:rPr>
                <w:b/>
                <w:bCs/>
                <w:szCs w:val="24"/>
                <w:lang w:val="en-US"/>
              </w:rPr>
              <w:t>Legislative system</w:t>
            </w:r>
          </w:p>
        </w:tc>
        <w:tc>
          <w:tcPr>
            <w:tcW w:w="3960" w:type="dxa"/>
          </w:tcPr>
          <w:p w14:paraId="5A643BF5" w14:textId="1A737AD3" w:rsidR="00A179D5" w:rsidRPr="00C274FE" w:rsidRDefault="00C274FE" w:rsidP="00D15728">
            <w:pPr>
              <w:rPr>
                <w:szCs w:val="24"/>
                <w:lang w:val="en-US"/>
              </w:rPr>
            </w:pPr>
            <w:r w:rsidRPr="00C274FE">
              <w:rPr>
                <w:szCs w:val="24"/>
                <w:lang w:val="en-US"/>
              </w:rPr>
              <w:t xml:space="preserve">In this civil law, an inquisitorial system is always followed. </w:t>
            </w:r>
          </w:p>
        </w:tc>
        <w:tc>
          <w:tcPr>
            <w:tcW w:w="3464" w:type="dxa"/>
          </w:tcPr>
          <w:p w14:paraId="525D1439" w14:textId="4BBD0133" w:rsidR="00A179D5" w:rsidRPr="00C274FE" w:rsidRDefault="00C274FE" w:rsidP="00D15728">
            <w:pPr>
              <w:rPr>
                <w:szCs w:val="24"/>
                <w:lang w:val="en-US"/>
              </w:rPr>
            </w:pPr>
            <w:r w:rsidRPr="00C274FE">
              <w:rPr>
                <w:szCs w:val="24"/>
                <w:lang w:val="en-US"/>
              </w:rPr>
              <w:t>An adversarial system is followed in this field.</w:t>
            </w:r>
          </w:p>
        </w:tc>
      </w:tr>
      <w:tr w:rsidR="00C274FE" w:rsidRPr="00C274FE" w14:paraId="569B114D" w14:textId="77777777" w:rsidTr="00C274FE">
        <w:tc>
          <w:tcPr>
            <w:tcW w:w="1818" w:type="dxa"/>
          </w:tcPr>
          <w:p w14:paraId="5F1E4E6A" w14:textId="713B9433" w:rsidR="00C274FE" w:rsidRPr="00C274FE" w:rsidRDefault="00C274FE" w:rsidP="00D15728">
            <w:pPr>
              <w:rPr>
                <w:b/>
                <w:bCs/>
                <w:szCs w:val="24"/>
                <w:lang w:val="en-US"/>
              </w:rPr>
            </w:pPr>
            <w:r w:rsidRPr="00C274FE">
              <w:rPr>
                <w:b/>
                <w:bCs/>
                <w:szCs w:val="24"/>
                <w:lang w:val="en-US"/>
              </w:rPr>
              <w:t xml:space="preserve">Role of lawyer </w:t>
            </w:r>
          </w:p>
        </w:tc>
        <w:tc>
          <w:tcPr>
            <w:tcW w:w="3960" w:type="dxa"/>
          </w:tcPr>
          <w:p w14:paraId="28B316C5" w14:textId="7BCBFCFD" w:rsidR="00C274FE" w:rsidRPr="00C274FE" w:rsidRDefault="00C274FE" w:rsidP="00D15728">
            <w:pPr>
              <w:rPr>
                <w:szCs w:val="24"/>
                <w:lang w:val="en-US"/>
              </w:rPr>
            </w:pPr>
            <w:r w:rsidRPr="00C274FE">
              <w:rPr>
                <w:szCs w:val="24"/>
                <w:lang w:val="en-US"/>
              </w:rPr>
              <w:t xml:space="preserve">The role of a lawyer is less central as compared to common law. </w:t>
            </w:r>
          </w:p>
        </w:tc>
        <w:tc>
          <w:tcPr>
            <w:tcW w:w="3464" w:type="dxa"/>
          </w:tcPr>
          <w:p w14:paraId="797D4A5F" w14:textId="553AC5A9" w:rsidR="00C274FE" w:rsidRPr="00C274FE" w:rsidRDefault="00C274FE" w:rsidP="00D15728">
            <w:pPr>
              <w:rPr>
                <w:szCs w:val="24"/>
                <w:lang w:val="en-US"/>
              </w:rPr>
            </w:pPr>
            <w:r>
              <w:rPr>
                <w:szCs w:val="24"/>
                <w:lang w:val="en-US"/>
              </w:rPr>
              <w:t xml:space="preserve">The role of </w:t>
            </w:r>
            <w:r w:rsidR="00DF0422">
              <w:rPr>
                <w:szCs w:val="24"/>
                <w:lang w:val="en-US"/>
              </w:rPr>
              <w:t xml:space="preserve">the </w:t>
            </w:r>
            <w:r>
              <w:rPr>
                <w:szCs w:val="24"/>
                <w:lang w:val="en-US"/>
              </w:rPr>
              <w:t xml:space="preserve">lawyer often acts as the referee as the lawyers argue their aspects. </w:t>
            </w:r>
          </w:p>
        </w:tc>
      </w:tr>
    </w:tbl>
    <w:p w14:paraId="3757D956" w14:textId="3E6D691E" w:rsidR="00A179D5" w:rsidRDefault="00A179D5" w:rsidP="00D15728">
      <w:pPr>
        <w:rPr>
          <w:lang w:val="en-US"/>
        </w:rPr>
      </w:pPr>
    </w:p>
    <w:p w14:paraId="06668229" w14:textId="725F36D1" w:rsidR="00C274FE" w:rsidRDefault="00C274FE" w:rsidP="00D15728">
      <w:pPr>
        <w:rPr>
          <w:lang w:val="en-US"/>
        </w:rPr>
      </w:pPr>
      <w:r>
        <w:rPr>
          <w:lang w:val="en-US"/>
        </w:rPr>
        <w:br w:type="page"/>
      </w:r>
    </w:p>
    <w:p w14:paraId="49C6D441" w14:textId="036F9DE8" w:rsidR="00C274FE" w:rsidRPr="00C274FE" w:rsidRDefault="00C274FE" w:rsidP="00C274FE">
      <w:pPr>
        <w:pStyle w:val="Heading1"/>
        <w:rPr>
          <w:lang w:val="en-US"/>
        </w:rPr>
      </w:pPr>
      <w:bookmarkStart w:id="4" w:name="_Toc128868525"/>
      <w:r w:rsidRPr="00C274FE">
        <w:rPr>
          <w:lang w:val="en-US"/>
        </w:rPr>
        <w:t>History of the common law</w:t>
      </w:r>
      <w:bookmarkEnd w:id="4"/>
    </w:p>
    <w:p w14:paraId="6C097CC9" w14:textId="3CBE6AE1" w:rsidR="00C274FE" w:rsidRDefault="00C274FE" w:rsidP="00D15728">
      <w:pPr>
        <w:rPr>
          <w:lang w:val="en-US"/>
        </w:rPr>
      </w:pPr>
      <w:r>
        <w:rPr>
          <w:lang w:val="en-US"/>
        </w:rPr>
        <w:t>Common law originated in England, commencing in the 11</w:t>
      </w:r>
      <w:r w:rsidRPr="00C274FE">
        <w:rPr>
          <w:vertAlign w:val="superscript"/>
          <w:lang w:val="en-US"/>
        </w:rPr>
        <w:t>th</w:t>
      </w:r>
      <w:r>
        <w:rPr>
          <w:lang w:val="en-US"/>
        </w:rPr>
        <w:t xml:space="preserve"> century, and was eventually adopted by members of the British Commonwealth. The initial development of English common law was intended to safeguard private property rights and restrict the state’s capacity to confiscate resources</w:t>
      </w:r>
      <w:r w:rsidR="00757863" w:rsidRPr="00757863">
        <w:t xml:space="preserve"> </w:t>
      </w:r>
      <w:r w:rsidR="00757863" w:rsidRPr="00757863">
        <w:rPr>
          <w:lang w:val="en-US"/>
        </w:rPr>
        <w:t>(Potter, 2015)</w:t>
      </w:r>
      <w:r>
        <w:rPr>
          <w:lang w:val="en-US"/>
        </w:rPr>
        <w:t xml:space="preserve">. The law works with the motto that justice is meant to be attained via the course of events, not by putting legislation or rule into effect. </w:t>
      </w:r>
    </w:p>
    <w:p w14:paraId="4B858564" w14:textId="78E8FACD" w:rsidR="00DF0422" w:rsidRDefault="00C274FE" w:rsidP="00D15728">
      <w:pPr>
        <w:rPr>
          <w:lang w:val="en-US"/>
        </w:rPr>
      </w:pPr>
      <w:r>
        <w:rPr>
          <w:lang w:val="en-US"/>
        </w:rPr>
        <w:t xml:space="preserve">William the Conqueror focused on strengthening the royal courts established by his Anglo-Saxon predecessors. </w:t>
      </w:r>
      <w:r w:rsidR="00DF0422">
        <w:rPr>
          <w:lang w:val="en-US"/>
        </w:rPr>
        <w:t>King Henry, I dispatched judges to travel throughout the kingdom, taking jurisdiction in cases formerly under the province of feudal and local courts. The judges settled disputes based on the customs of the people and the well-established principles of feudal society. Out of the decisions of these courts grew a law common to the entire kingdom, hence the term common</w:t>
      </w:r>
      <w:r w:rsidR="00757863" w:rsidRPr="00757863">
        <w:t xml:space="preserve"> </w:t>
      </w:r>
      <w:r w:rsidR="00757863" w:rsidRPr="00757863">
        <w:rPr>
          <w:lang w:val="en-US"/>
        </w:rPr>
        <w:t>(</w:t>
      </w:r>
      <w:proofErr w:type="spellStart"/>
      <w:r w:rsidR="00757863" w:rsidRPr="00757863">
        <w:rPr>
          <w:lang w:val="en-US"/>
        </w:rPr>
        <w:t>Postema</w:t>
      </w:r>
      <w:proofErr w:type="spellEnd"/>
      <w:r w:rsidR="00757863" w:rsidRPr="00757863">
        <w:rPr>
          <w:lang w:val="en-US"/>
        </w:rPr>
        <w:t>, 2019)</w:t>
      </w:r>
      <w:r w:rsidR="00DF0422">
        <w:rPr>
          <w:lang w:val="en-US"/>
        </w:rPr>
        <w:t>. In the 17</w:t>
      </w:r>
      <w:r w:rsidR="00DF0422" w:rsidRPr="00DF0422">
        <w:rPr>
          <w:vertAlign w:val="superscript"/>
          <w:lang w:val="en-US"/>
        </w:rPr>
        <w:t>th</w:t>
      </w:r>
      <w:r w:rsidR="00DF0422">
        <w:rPr>
          <w:lang w:val="en-US"/>
        </w:rPr>
        <w:t xml:space="preserve"> to 18</w:t>
      </w:r>
      <w:r w:rsidR="00DF0422" w:rsidRPr="00DF0422">
        <w:rPr>
          <w:vertAlign w:val="superscript"/>
          <w:lang w:val="en-US"/>
        </w:rPr>
        <w:t>th</w:t>
      </w:r>
      <w:r w:rsidR="00DF0422">
        <w:rPr>
          <w:lang w:val="en-US"/>
        </w:rPr>
        <w:t xml:space="preserve"> centuries, common law makes its way to North America for the first time and in the 19</w:t>
      </w:r>
      <w:r w:rsidR="00DF0422" w:rsidRPr="00DF0422">
        <w:rPr>
          <w:vertAlign w:val="superscript"/>
          <w:lang w:val="en-US"/>
        </w:rPr>
        <w:t>th</w:t>
      </w:r>
      <w:r w:rsidR="00DF0422">
        <w:rPr>
          <w:lang w:val="en-US"/>
        </w:rPr>
        <w:t xml:space="preserve"> and early 20</w:t>
      </w:r>
      <w:r w:rsidR="00DF0422" w:rsidRPr="00DF0422">
        <w:rPr>
          <w:vertAlign w:val="superscript"/>
          <w:lang w:val="en-US"/>
        </w:rPr>
        <w:t>th</w:t>
      </w:r>
      <w:r w:rsidR="00DF0422">
        <w:rPr>
          <w:lang w:val="en-US"/>
        </w:rPr>
        <w:t xml:space="preserve"> centuries, feminists face challenges in pursuing favorable rulings due to common laws. In the 1970s, common law in England held that fathers gain custody of children in divorce as part of the common law in history. </w:t>
      </w:r>
      <w:r w:rsidR="00DF0422">
        <w:rPr>
          <w:lang w:val="en-US"/>
        </w:rPr>
        <w:br w:type="page"/>
      </w:r>
    </w:p>
    <w:p w14:paraId="27FDBCAD" w14:textId="07AAB099" w:rsidR="00C274FE" w:rsidRDefault="00DF0422" w:rsidP="00DF0422">
      <w:pPr>
        <w:pStyle w:val="Heading1"/>
        <w:rPr>
          <w:lang w:val="en-US"/>
        </w:rPr>
      </w:pPr>
      <w:bookmarkStart w:id="5" w:name="_Toc128868526"/>
      <w:r>
        <w:rPr>
          <w:lang w:val="en-US"/>
        </w:rPr>
        <w:t>Examples of common law in practice</w:t>
      </w:r>
      <w:bookmarkEnd w:id="5"/>
    </w:p>
    <w:p w14:paraId="611F5FEC" w14:textId="3FFB1F10" w:rsidR="00DF0422" w:rsidRPr="00DF0422" w:rsidRDefault="00DF0422" w:rsidP="00D15728">
      <w:pPr>
        <w:rPr>
          <w:b/>
          <w:bCs/>
          <w:lang w:val="en-US"/>
        </w:rPr>
      </w:pPr>
      <w:r w:rsidRPr="00DF0422">
        <w:rPr>
          <w:b/>
          <w:bCs/>
          <w:lang w:val="en-US"/>
        </w:rPr>
        <w:t>Common Law Marriage</w:t>
      </w:r>
    </w:p>
    <w:p w14:paraId="3A459B8C" w14:textId="5D32D402" w:rsidR="00DF0422" w:rsidRDefault="00DF0422" w:rsidP="00D15728">
      <w:pPr>
        <w:rPr>
          <w:lang w:val="en-US"/>
        </w:rPr>
      </w:pPr>
      <w:r>
        <w:rPr>
          <w:lang w:val="en-US"/>
        </w:rPr>
        <w:t xml:space="preserve">The concept of common law marriage is one of the most common examples of common law in practice. </w:t>
      </w:r>
      <w:r w:rsidR="00407EC9">
        <w:rPr>
          <w:lang w:val="en-US"/>
        </w:rPr>
        <w:t>Under this law, two people need to agree that they are married and want to live together and represent themselves as husband and wife</w:t>
      </w:r>
      <w:r w:rsidR="00757863" w:rsidRPr="00757863">
        <w:t xml:space="preserve"> </w:t>
      </w:r>
      <w:r w:rsidR="00757863" w:rsidRPr="00757863">
        <w:rPr>
          <w:lang w:val="en-US"/>
        </w:rPr>
        <w:t>(Holmes et al., 2020)</w:t>
      </w:r>
      <w:r w:rsidR="00407EC9">
        <w:rPr>
          <w:lang w:val="en-US"/>
        </w:rPr>
        <w:t xml:space="preserve">. Under the common law, a non-ceremonial relationship is needed that requires a positive mutual agreement, permanent, and exclusive of all others to enter into a marriage relationship cohabitation sufficient to warrant a fulfillment of necessary relationship of two individuals and an assumption of marital duties and obligations. </w:t>
      </w:r>
    </w:p>
    <w:p w14:paraId="4AC69155" w14:textId="4208366E" w:rsidR="00407EC9" w:rsidRPr="00407EC9" w:rsidRDefault="00407EC9" w:rsidP="00D15728">
      <w:pPr>
        <w:rPr>
          <w:b/>
          <w:bCs/>
          <w:lang w:val="en-US"/>
        </w:rPr>
      </w:pPr>
      <w:r w:rsidRPr="00407EC9">
        <w:rPr>
          <w:b/>
          <w:bCs/>
          <w:lang w:val="en-US"/>
        </w:rPr>
        <w:t>Case law</w:t>
      </w:r>
    </w:p>
    <w:p w14:paraId="501CF573" w14:textId="4BE70ACF" w:rsidR="000404FB" w:rsidRDefault="00407EC9" w:rsidP="00D15728">
      <w:pPr>
        <w:rPr>
          <w:lang w:val="en-US"/>
        </w:rPr>
      </w:pPr>
      <w:r>
        <w:rPr>
          <w:lang w:val="en-US"/>
        </w:rPr>
        <w:t xml:space="preserve">It is the action or controversy itself, the term is also commonly used to refer to federal and state appellate-level opinions or decisions, </w:t>
      </w:r>
      <w:r w:rsidR="00757863">
        <w:rPr>
          <w:lang w:val="en-US"/>
        </w:rPr>
        <w:t xml:space="preserve">and </w:t>
      </w:r>
      <w:r>
        <w:rPr>
          <w:lang w:val="en-US"/>
        </w:rPr>
        <w:t>written explanations of ruling on controversies between parties</w:t>
      </w:r>
      <w:r w:rsidR="00757863" w:rsidRPr="00757863">
        <w:t xml:space="preserve"> </w:t>
      </w:r>
      <w:r w:rsidR="00757863" w:rsidRPr="00757863">
        <w:rPr>
          <w:lang w:val="en-US"/>
        </w:rPr>
        <w:t>(</w:t>
      </w:r>
      <w:proofErr w:type="spellStart"/>
      <w:r w:rsidR="00757863" w:rsidRPr="00757863">
        <w:rPr>
          <w:lang w:val="en-US"/>
        </w:rPr>
        <w:t>Bussani</w:t>
      </w:r>
      <w:proofErr w:type="spellEnd"/>
      <w:r w:rsidR="00757863" w:rsidRPr="00757863">
        <w:rPr>
          <w:lang w:val="en-US"/>
        </w:rPr>
        <w:t xml:space="preserve"> et al., 2022)</w:t>
      </w:r>
      <w:r>
        <w:rPr>
          <w:lang w:val="en-US"/>
        </w:rPr>
        <w:t xml:space="preserve">. </w:t>
      </w:r>
      <w:r w:rsidR="000404FB">
        <w:rPr>
          <w:lang w:val="en-US"/>
        </w:rPr>
        <w:t xml:space="preserve">According to Hedley Byrne and Co Limited v Heller and Partners Limited (1963), based on ratio decidendi, the arguments of Denning LJ in the cases Candler v Crane Christmas and Co were followed when the House of Lord was prepared to extend the duty of care in the Hedley Byrne Cases. </w:t>
      </w:r>
      <w:r w:rsidR="000404FB">
        <w:rPr>
          <w:lang w:val="en-US"/>
        </w:rPr>
        <w:br w:type="page"/>
      </w:r>
    </w:p>
    <w:p w14:paraId="4DF39F01" w14:textId="5736226A" w:rsidR="00407EC9" w:rsidRDefault="000404FB" w:rsidP="000404FB">
      <w:pPr>
        <w:pStyle w:val="Heading1"/>
        <w:rPr>
          <w:lang w:val="en-US"/>
        </w:rPr>
      </w:pPr>
      <w:bookmarkStart w:id="6" w:name="_Toc128868527"/>
      <w:r>
        <w:rPr>
          <w:lang w:val="en-US"/>
        </w:rPr>
        <w:t>Conclusion</w:t>
      </w:r>
      <w:bookmarkEnd w:id="6"/>
    </w:p>
    <w:p w14:paraId="52D32E66" w14:textId="275C5CD1" w:rsidR="00757863" w:rsidRDefault="000404FB" w:rsidP="00D15728">
      <w:pPr>
        <w:rPr>
          <w:lang w:val="en-US"/>
        </w:rPr>
      </w:pPr>
      <w:r>
        <w:rPr>
          <w:lang w:val="en-US"/>
        </w:rPr>
        <w:t xml:space="preserve">This report explored several aspects of legislation in general. In this case, it considered the basic concepts of common law and civil law. These two sorts of laws have been described significantly. After discussing them, these have been contrasted for upholding the ultimate aspects of the law as it considers proper examples at the end of the day. In the end, the history of common law has been described and proper examples of common practices have been upheld. </w:t>
      </w:r>
      <w:r w:rsidR="00757863">
        <w:rPr>
          <w:lang w:val="en-US"/>
        </w:rPr>
        <w:br w:type="page"/>
      </w:r>
    </w:p>
    <w:p w14:paraId="1D618662" w14:textId="53EE1D60" w:rsidR="000404FB" w:rsidRDefault="00757863" w:rsidP="00757863">
      <w:pPr>
        <w:pStyle w:val="Heading1"/>
        <w:rPr>
          <w:lang w:val="en-US"/>
        </w:rPr>
      </w:pPr>
      <w:bookmarkStart w:id="7" w:name="_Toc128868528"/>
      <w:r>
        <w:rPr>
          <w:lang w:val="en-US"/>
        </w:rPr>
        <w:t>References</w:t>
      </w:r>
      <w:bookmarkEnd w:id="7"/>
    </w:p>
    <w:p w14:paraId="05095046" w14:textId="77777777" w:rsidR="00757863" w:rsidRDefault="00757863" w:rsidP="00757863">
      <w:pPr>
        <w:pStyle w:val="NormalWeb"/>
        <w:ind w:left="567" w:hanging="567"/>
      </w:pPr>
      <w:proofErr w:type="spellStart"/>
      <w:r>
        <w:t>Bussani</w:t>
      </w:r>
      <w:proofErr w:type="spellEnd"/>
      <w:r>
        <w:t xml:space="preserve">, M., </w:t>
      </w:r>
      <w:proofErr w:type="spellStart"/>
      <w:r>
        <w:t>Sebok</w:t>
      </w:r>
      <w:proofErr w:type="spellEnd"/>
      <w:r>
        <w:t xml:space="preserve">, A.J. and </w:t>
      </w:r>
      <w:proofErr w:type="spellStart"/>
      <w:r>
        <w:t>Infantino</w:t>
      </w:r>
      <w:proofErr w:type="spellEnd"/>
      <w:r>
        <w:t xml:space="preserve">, M. (2022) “The place of tort law,” </w:t>
      </w:r>
      <w:r>
        <w:rPr>
          <w:i/>
          <w:iCs/>
        </w:rPr>
        <w:t>Common Law and Civil Law Perspectives on Tort Law</w:t>
      </w:r>
      <w:r>
        <w:t xml:space="preserve">, pp. 1–20. Available at: https://doi.org/10.1093/oso/9780195368383.003.0001. </w:t>
      </w:r>
    </w:p>
    <w:p w14:paraId="51592E2C" w14:textId="77777777" w:rsidR="00757863" w:rsidRDefault="00757863" w:rsidP="00757863">
      <w:pPr>
        <w:pStyle w:val="NormalWeb"/>
        <w:ind w:left="567" w:hanging="567"/>
      </w:pPr>
      <w:r>
        <w:t xml:space="preserve">Farhana (2016) </w:t>
      </w:r>
      <w:r>
        <w:rPr>
          <w:i/>
          <w:iCs/>
        </w:rPr>
        <w:t>Difference between common law and civil law: Comparison of methods of thought, legal system, codification, etc..</w:t>
      </w:r>
      <w:r>
        <w:t xml:space="preserve">, </w:t>
      </w:r>
      <w:r>
        <w:rPr>
          <w:i/>
          <w:iCs/>
        </w:rPr>
        <w:t>Pediaa.Com</w:t>
      </w:r>
      <w:r>
        <w:t xml:space="preserve">. Available at: https://pediaa.com/difference-between-common-law-and-civil-law/ (Accessed: March 5, 2023). </w:t>
      </w:r>
    </w:p>
    <w:p w14:paraId="654D3648" w14:textId="77777777" w:rsidR="00757863" w:rsidRDefault="00757863" w:rsidP="00757863">
      <w:pPr>
        <w:pStyle w:val="NormalWeb"/>
        <w:ind w:left="567" w:hanging="567"/>
      </w:pPr>
      <w:r>
        <w:t xml:space="preserve">Holmes, O.W., Luis </w:t>
      </w:r>
      <w:proofErr w:type="spellStart"/>
      <w:r>
        <w:t>Monereo</w:t>
      </w:r>
      <w:proofErr w:type="spellEnd"/>
      <w:r>
        <w:t xml:space="preserve"> </w:t>
      </w:r>
      <w:proofErr w:type="spellStart"/>
      <w:r>
        <w:t>Pérez</w:t>
      </w:r>
      <w:proofErr w:type="spellEnd"/>
      <w:r>
        <w:t xml:space="preserve"> José and N., </w:t>
      </w:r>
      <w:proofErr w:type="spellStart"/>
      <w:r>
        <w:t>B.y</w:t>
      </w:r>
      <w:proofErr w:type="spellEnd"/>
      <w:r>
        <w:t xml:space="preserve"> V.F. (2020) </w:t>
      </w:r>
      <w:r>
        <w:rPr>
          <w:i/>
          <w:iCs/>
        </w:rPr>
        <w:t>The Common Law</w:t>
      </w:r>
      <w:r>
        <w:t xml:space="preserve">. Granada: </w:t>
      </w:r>
      <w:proofErr w:type="spellStart"/>
      <w:r>
        <w:t>Comares</w:t>
      </w:r>
      <w:proofErr w:type="spellEnd"/>
      <w:r>
        <w:t xml:space="preserve">. </w:t>
      </w:r>
    </w:p>
    <w:p w14:paraId="5E28625D" w14:textId="6C691DEC" w:rsidR="00757863" w:rsidRDefault="00757863" w:rsidP="00757863">
      <w:pPr>
        <w:pStyle w:val="NormalWeb"/>
        <w:ind w:left="567" w:hanging="567"/>
      </w:pPr>
      <w:proofErr w:type="spellStart"/>
      <w:r>
        <w:t>Nyazee</w:t>
      </w:r>
      <w:proofErr w:type="spellEnd"/>
      <w:r>
        <w:t xml:space="preserve">, I.A. (2022) “Comparison between Islamic law, civil law, and common law,” </w:t>
      </w:r>
      <w:r>
        <w:rPr>
          <w:i/>
          <w:iCs/>
        </w:rPr>
        <w:t>SSRN Electronic Journal</w:t>
      </w:r>
      <w:r>
        <w:t xml:space="preserve"> [Preprint]. Available at: https://doi.org/10.2139/ssrn.4163738. </w:t>
      </w:r>
    </w:p>
    <w:p w14:paraId="4E526D70" w14:textId="77777777" w:rsidR="00757863" w:rsidRDefault="00757863" w:rsidP="00757863">
      <w:pPr>
        <w:pStyle w:val="NormalWeb"/>
        <w:ind w:left="567" w:hanging="567"/>
      </w:pPr>
      <w:proofErr w:type="spellStart"/>
      <w:r>
        <w:t>Postema</w:t>
      </w:r>
      <w:proofErr w:type="spellEnd"/>
      <w:r>
        <w:t xml:space="preserve">, G.J. (2019) “Elements of classical common law theory,” </w:t>
      </w:r>
      <w:r>
        <w:rPr>
          <w:i/>
          <w:iCs/>
        </w:rPr>
        <w:t>Bentham and the Common Law Tradition</w:t>
      </w:r>
      <w:r>
        <w:t xml:space="preserve">, pp. 3–37. Available at: https://doi.org/10.1093/oso/9780198793052.003.0001. </w:t>
      </w:r>
    </w:p>
    <w:p w14:paraId="4B3D51DB" w14:textId="77777777" w:rsidR="00757863" w:rsidRDefault="00757863" w:rsidP="00757863">
      <w:pPr>
        <w:pStyle w:val="NormalWeb"/>
        <w:ind w:left="567" w:hanging="567"/>
      </w:pPr>
      <w:r>
        <w:t xml:space="preserve">Potter, H. (2015) </w:t>
      </w:r>
      <w:r>
        <w:rPr>
          <w:i/>
          <w:iCs/>
        </w:rPr>
        <w:t>Liberty and the Common Law</w:t>
      </w:r>
      <w:r>
        <w:t xml:space="preserve">, </w:t>
      </w:r>
      <w:r>
        <w:rPr>
          <w:i/>
          <w:iCs/>
        </w:rPr>
        <w:t>History Today</w:t>
      </w:r>
      <w:r>
        <w:t xml:space="preserve">. Available at: https://www.historytoday.com/archive/feature/liberty-and-common-law (Accessed: March 5, 2023). </w:t>
      </w:r>
    </w:p>
    <w:p w14:paraId="0A7A152E" w14:textId="77777777" w:rsidR="00757863" w:rsidRDefault="00757863" w:rsidP="00757863">
      <w:pPr>
        <w:pStyle w:val="NormalWeb"/>
        <w:ind w:left="567" w:hanging="567"/>
      </w:pPr>
      <w:proofErr w:type="spellStart"/>
      <w:r>
        <w:t>Schmiegelow</w:t>
      </w:r>
      <w:proofErr w:type="spellEnd"/>
      <w:r>
        <w:t xml:space="preserve">, M. (2014) “Interdisciplinary issues in comparing common law and Civil Law,” </w:t>
      </w:r>
      <w:r>
        <w:rPr>
          <w:i/>
          <w:iCs/>
        </w:rPr>
        <w:t>Institutional Competition between Common Law and Civil Law</w:t>
      </w:r>
      <w:r>
        <w:t xml:space="preserve">, pp. 3–21. Available at: https://doi.org/10.1007/978-3-642-54660-0_1. </w:t>
      </w:r>
    </w:p>
    <w:p w14:paraId="088B384B" w14:textId="141B0A5C" w:rsidR="00757863" w:rsidRDefault="00757863" w:rsidP="00757863">
      <w:pPr>
        <w:pStyle w:val="NormalWeb"/>
        <w:ind w:left="567" w:hanging="567"/>
      </w:pPr>
      <w:proofErr w:type="spellStart"/>
      <w:r>
        <w:t>Stockmayer</w:t>
      </w:r>
      <w:proofErr w:type="spellEnd"/>
      <w:r>
        <w:t xml:space="preserve">, A. (2014) “The trade-offs between common law and civil law: Are we in the right ball game?,” </w:t>
      </w:r>
      <w:r>
        <w:rPr>
          <w:i/>
          <w:iCs/>
        </w:rPr>
        <w:t>Institutional Competition between Common Law and Civil Law</w:t>
      </w:r>
      <w:r>
        <w:t xml:space="preserve">, pp. 437–458. Available at: https://doi.org/10.1007/978-3-642-54660-0_17. </w:t>
      </w:r>
    </w:p>
    <w:p w14:paraId="5FFB39A9" w14:textId="77777777" w:rsidR="00757863" w:rsidRDefault="00757863" w:rsidP="00757863">
      <w:pPr>
        <w:pStyle w:val="NormalWeb"/>
        <w:ind w:left="567" w:hanging="567"/>
      </w:pPr>
      <w:r>
        <w:t xml:space="preserve">Waddington, L. (2019) “The relationship between disability non-discrimination law and quota schemes,” </w:t>
      </w:r>
      <w:r>
        <w:rPr>
          <w:i/>
          <w:iCs/>
        </w:rPr>
        <w:t>Anti-Discrimination Law in Civil Law Jurisdictions</w:t>
      </w:r>
      <w:r>
        <w:t xml:space="preserve">, pp. 94–117. Available at: https://doi.org/10.1093/oso/9780198853138.003.0005. </w:t>
      </w:r>
    </w:p>
    <w:p w14:paraId="43DFECE0" w14:textId="77777777" w:rsidR="00757863" w:rsidRDefault="00757863" w:rsidP="00757863">
      <w:pPr>
        <w:pStyle w:val="NormalWeb"/>
        <w:ind w:left="567" w:hanging="567"/>
      </w:pPr>
      <w:r>
        <w:t xml:space="preserve">Wang, L. (2020) </w:t>
      </w:r>
      <w:r>
        <w:rPr>
          <w:i/>
          <w:iCs/>
        </w:rPr>
        <w:t>Min Fa = civil law</w:t>
      </w:r>
      <w:r>
        <w:t xml:space="preserve">. Beijing: </w:t>
      </w:r>
      <w:proofErr w:type="spellStart"/>
      <w:r>
        <w:t>Zhongguo</w:t>
      </w:r>
      <w:proofErr w:type="spellEnd"/>
      <w:r>
        <w:t xml:space="preserve"> </w:t>
      </w:r>
      <w:proofErr w:type="spellStart"/>
      <w:r>
        <w:t>ren</w:t>
      </w:r>
      <w:proofErr w:type="spellEnd"/>
      <w:r>
        <w:t xml:space="preserve"> min da </w:t>
      </w:r>
      <w:proofErr w:type="spellStart"/>
      <w:r>
        <w:t>xue</w:t>
      </w:r>
      <w:proofErr w:type="spellEnd"/>
      <w:r>
        <w:t xml:space="preserve"> </w:t>
      </w:r>
      <w:proofErr w:type="spellStart"/>
      <w:r>
        <w:t>chu</w:t>
      </w:r>
      <w:proofErr w:type="spellEnd"/>
      <w:r>
        <w:t xml:space="preserve"> ban she. </w:t>
      </w:r>
    </w:p>
    <w:p w14:paraId="008F171C" w14:textId="77777777" w:rsidR="00757863" w:rsidRDefault="00757863" w:rsidP="00757863">
      <w:pPr>
        <w:pStyle w:val="NormalWeb"/>
        <w:ind w:left="567" w:hanging="567"/>
      </w:pPr>
      <w:r>
        <w:t xml:space="preserve">Wilson, S. </w:t>
      </w:r>
      <w:r>
        <w:rPr>
          <w:i/>
          <w:iCs/>
        </w:rPr>
        <w:t>et al.</w:t>
      </w:r>
      <w:r>
        <w:t xml:space="preserve"> (2018) “5. the doctrine of judicial precedent,” </w:t>
      </w:r>
      <w:r>
        <w:rPr>
          <w:i/>
          <w:iCs/>
        </w:rPr>
        <w:t>English Legal System</w:t>
      </w:r>
      <w:r>
        <w:t xml:space="preserve"> [Preprint]. Available at: https://doi.org/10.1093/he/9780198808152.003.0005. </w:t>
      </w:r>
    </w:p>
    <w:p w14:paraId="70E9D7EB" w14:textId="77777777" w:rsidR="00757863" w:rsidRPr="003D7FA9" w:rsidRDefault="00757863" w:rsidP="00D15728">
      <w:pPr>
        <w:rPr>
          <w:lang w:val="en-US"/>
        </w:rPr>
      </w:pPr>
    </w:p>
    <w:sectPr w:rsidR="00757863" w:rsidRPr="003D7FA9" w:rsidSect="00D15728">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DE23A" w14:textId="77777777" w:rsidR="00855ED4" w:rsidRDefault="00855ED4" w:rsidP="00D15728">
      <w:pPr>
        <w:spacing w:after="0" w:line="240" w:lineRule="auto"/>
      </w:pPr>
      <w:r>
        <w:separator/>
      </w:r>
    </w:p>
  </w:endnote>
  <w:endnote w:type="continuationSeparator" w:id="0">
    <w:p w14:paraId="567AAA70" w14:textId="77777777" w:rsidR="00855ED4" w:rsidRDefault="00855ED4" w:rsidP="00D15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othic Uralic">
    <w:altName w:val="Calibri"/>
    <w:charset w:val="0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206668"/>
      <w:docPartObj>
        <w:docPartGallery w:val="Page Numbers (Bottom of Page)"/>
        <w:docPartUnique/>
      </w:docPartObj>
    </w:sdtPr>
    <w:sdtEndPr>
      <w:rPr>
        <w:noProof/>
      </w:rPr>
    </w:sdtEndPr>
    <w:sdtContent>
      <w:p w14:paraId="3939A30C" w14:textId="351B79C5" w:rsidR="00D15728" w:rsidRDefault="00D157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E30DBF" w14:textId="77777777" w:rsidR="00D15728" w:rsidRDefault="00D15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F57A5" w14:textId="77777777" w:rsidR="00855ED4" w:rsidRDefault="00855ED4" w:rsidP="00D15728">
      <w:pPr>
        <w:spacing w:after="0" w:line="240" w:lineRule="auto"/>
      </w:pPr>
      <w:r>
        <w:separator/>
      </w:r>
    </w:p>
  </w:footnote>
  <w:footnote w:type="continuationSeparator" w:id="0">
    <w:p w14:paraId="6A2556D4" w14:textId="77777777" w:rsidR="00855ED4" w:rsidRDefault="00855ED4" w:rsidP="00D157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28"/>
    <w:rsid w:val="00034EFB"/>
    <w:rsid w:val="000364C5"/>
    <w:rsid w:val="000404FB"/>
    <w:rsid w:val="00075624"/>
    <w:rsid w:val="00076F1C"/>
    <w:rsid w:val="000909AA"/>
    <w:rsid w:val="000B62B0"/>
    <w:rsid w:val="000B6399"/>
    <w:rsid w:val="000C3018"/>
    <w:rsid w:val="001468F5"/>
    <w:rsid w:val="00173118"/>
    <w:rsid w:val="00180E87"/>
    <w:rsid w:val="001936A6"/>
    <w:rsid w:val="001D257E"/>
    <w:rsid w:val="001E4AFE"/>
    <w:rsid w:val="00207DB5"/>
    <w:rsid w:val="002221A1"/>
    <w:rsid w:val="002354D1"/>
    <w:rsid w:val="002468D5"/>
    <w:rsid w:val="0025787B"/>
    <w:rsid w:val="00263FAF"/>
    <w:rsid w:val="00275E2A"/>
    <w:rsid w:val="00291158"/>
    <w:rsid w:val="002C46BA"/>
    <w:rsid w:val="002E626E"/>
    <w:rsid w:val="002F2908"/>
    <w:rsid w:val="002F4765"/>
    <w:rsid w:val="00306FAD"/>
    <w:rsid w:val="003121AE"/>
    <w:rsid w:val="00351364"/>
    <w:rsid w:val="00352743"/>
    <w:rsid w:val="0037722B"/>
    <w:rsid w:val="00391B00"/>
    <w:rsid w:val="00393A83"/>
    <w:rsid w:val="003A07FC"/>
    <w:rsid w:val="003C55A0"/>
    <w:rsid w:val="003C6EC1"/>
    <w:rsid w:val="003D7FA9"/>
    <w:rsid w:val="00407EC9"/>
    <w:rsid w:val="00424AA2"/>
    <w:rsid w:val="00473D4F"/>
    <w:rsid w:val="004A69D8"/>
    <w:rsid w:val="004C4993"/>
    <w:rsid w:val="005414CA"/>
    <w:rsid w:val="00583C27"/>
    <w:rsid w:val="005D7C11"/>
    <w:rsid w:val="005E7BA0"/>
    <w:rsid w:val="005F769A"/>
    <w:rsid w:val="006036C6"/>
    <w:rsid w:val="00607437"/>
    <w:rsid w:val="00607D51"/>
    <w:rsid w:val="00612A07"/>
    <w:rsid w:val="00626C88"/>
    <w:rsid w:val="00644CDF"/>
    <w:rsid w:val="00657E4E"/>
    <w:rsid w:val="00663221"/>
    <w:rsid w:val="00663EB9"/>
    <w:rsid w:val="006711D4"/>
    <w:rsid w:val="00673EDF"/>
    <w:rsid w:val="006812E0"/>
    <w:rsid w:val="00681F27"/>
    <w:rsid w:val="00682ECC"/>
    <w:rsid w:val="006930B6"/>
    <w:rsid w:val="006A6580"/>
    <w:rsid w:val="006C6C7D"/>
    <w:rsid w:val="006E031A"/>
    <w:rsid w:val="00713593"/>
    <w:rsid w:val="00756B01"/>
    <w:rsid w:val="00756B82"/>
    <w:rsid w:val="00757863"/>
    <w:rsid w:val="00796927"/>
    <w:rsid w:val="007A3F3A"/>
    <w:rsid w:val="007B286F"/>
    <w:rsid w:val="007B6BA8"/>
    <w:rsid w:val="007B74C8"/>
    <w:rsid w:val="007C2680"/>
    <w:rsid w:val="007C2CF2"/>
    <w:rsid w:val="007C52B5"/>
    <w:rsid w:val="007E3BDB"/>
    <w:rsid w:val="008272AB"/>
    <w:rsid w:val="00855ED4"/>
    <w:rsid w:val="008602CD"/>
    <w:rsid w:val="008610B0"/>
    <w:rsid w:val="00872615"/>
    <w:rsid w:val="00882F26"/>
    <w:rsid w:val="0088533C"/>
    <w:rsid w:val="008966A8"/>
    <w:rsid w:val="00896F41"/>
    <w:rsid w:val="008C03CC"/>
    <w:rsid w:val="0090657A"/>
    <w:rsid w:val="00931CC0"/>
    <w:rsid w:val="00936281"/>
    <w:rsid w:val="00947E4F"/>
    <w:rsid w:val="00957853"/>
    <w:rsid w:val="00970024"/>
    <w:rsid w:val="0097514C"/>
    <w:rsid w:val="00975C62"/>
    <w:rsid w:val="009A0B7F"/>
    <w:rsid w:val="009A5FF8"/>
    <w:rsid w:val="009C1923"/>
    <w:rsid w:val="009C5111"/>
    <w:rsid w:val="00A179D5"/>
    <w:rsid w:val="00A52B16"/>
    <w:rsid w:val="00A5776C"/>
    <w:rsid w:val="00A85346"/>
    <w:rsid w:val="00A86C07"/>
    <w:rsid w:val="00B02121"/>
    <w:rsid w:val="00B207A3"/>
    <w:rsid w:val="00B648E8"/>
    <w:rsid w:val="00B92B63"/>
    <w:rsid w:val="00BA2FEB"/>
    <w:rsid w:val="00BA5467"/>
    <w:rsid w:val="00BB646A"/>
    <w:rsid w:val="00BC16A4"/>
    <w:rsid w:val="00BD45E6"/>
    <w:rsid w:val="00BD79CE"/>
    <w:rsid w:val="00BF6F4D"/>
    <w:rsid w:val="00C274FE"/>
    <w:rsid w:val="00C31114"/>
    <w:rsid w:val="00C65B94"/>
    <w:rsid w:val="00C813A2"/>
    <w:rsid w:val="00C86BEB"/>
    <w:rsid w:val="00CB60A9"/>
    <w:rsid w:val="00CB6E60"/>
    <w:rsid w:val="00CE5EE9"/>
    <w:rsid w:val="00D14410"/>
    <w:rsid w:val="00D15728"/>
    <w:rsid w:val="00D2384C"/>
    <w:rsid w:val="00D262CE"/>
    <w:rsid w:val="00D339CC"/>
    <w:rsid w:val="00D56F43"/>
    <w:rsid w:val="00D70996"/>
    <w:rsid w:val="00D722AC"/>
    <w:rsid w:val="00D77DD7"/>
    <w:rsid w:val="00D90001"/>
    <w:rsid w:val="00D9506A"/>
    <w:rsid w:val="00DA2C6F"/>
    <w:rsid w:val="00DA694B"/>
    <w:rsid w:val="00DB5637"/>
    <w:rsid w:val="00DB6786"/>
    <w:rsid w:val="00DD2D0D"/>
    <w:rsid w:val="00DE1B47"/>
    <w:rsid w:val="00DF0422"/>
    <w:rsid w:val="00DF0D88"/>
    <w:rsid w:val="00DF14B6"/>
    <w:rsid w:val="00E35285"/>
    <w:rsid w:val="00E841A0"/>
    <w:rsid w:val="00EA7B1F"/>
    <w:rsid w:val="00EB77BC"/>
    <w:rsid w:val="00EB7FBB"/>
    <w:rsid w:val="00EC765C"/>
    <w:rsid w:val="00ED78DA"/>
    <w:rsid w:val="00EE4822"/>
    <w:rsid w:val="00EE65CB"/>
    <w:rsid w:val="00EF1051"/>
    <w:rsid w:val="00EF4836"/>
    <w:rsid w:val="00F1318B"/>
    <w:rsid w:val="00F315D8"/>
    <w:rsid w:val="00F6298C"/>
    <w:rsid w:val="00F66E2C"/>
    <w:rsid w:val="00F77CF6"/>
    <w:rsid w:val="00F77F06"/>
    <w:rsid w:val="00F834B5"/>
    <w:rsid w:val="00F85567"/>
    <w:rsid w:val="00FA28DF"/>
    <w:rsid w:val="00FA3D42"/>
    <w:rsid w:val="00FB48C0"/>
    <w:rsid w:val="00FC1FFE"/>
    <w:rsid w:val="00FC2F06"/>
    <w:rsid w:val="00FD388A"/>
    <w:rsid w:val="00FF3416"/>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16BD4"/>
  <w15:chartTrackingRefBased/>
  <w15:docId w15:val="{A96E57E1-DBFC-45ED-8C91-ACC114D0B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D5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34EF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34EF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EFB"/>
    <w:rPr>
      <w:rFonts w:ascii="Arial" w:eastAsiaTheme="majorEastAsia" w:hAnsi="Arial" w:cstheme="majorBidi"/>
      <w:b/>
      <w:color w:val="000000" w:themeColor="text1"/>
      <w:sz w:val="32"/>
      <w:szCs w:val="32"/>
      <w:lang w:eastAsia="en-GB"/>
    </w:rPr>
  </w:style>
  <w:style w:type="character" w:customStyle="1" w:styleId="Heading2Char">
    <w:name w:val="Heading 2 Char"/>
    <w:basedOn w:val="DefaultParagraphFont"/>
    <w:link w:val="Heading2"/>
    <w:uiPriority w:val="9"/>
    <w:rsid w:val="00034EFB"/>
    <w:rPr>
      <w:rFonts w:ascii="Arial" w:eastAsiaTheme="majorEastAsia" w:hAnsi="Arial" w:cstheme="majorBidi"/>
      <w:b/>
      <w:color w:val="000000" w:themeColor="text1"/>
      <w:sz w:val="26"/>
      <w:szCs w:val="26"/>
      <w:lang w:eastAsia="en-GB"/>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autoSpaceDE w:val="0"/>
      <w:autoSpaceDN w:val="0"/>
      <w:ind w:left="938" w:hanging="360"/>
    </w:pPr>
    <w:rPr>
      <w:rFonts w:eastAsia="Gothic Uralic" w:cs="Gothic Uralic"/>
    </w:rPr>
  </w:style>
  <w:style w:type="paragraph" w:styleId="Header">
    <w:name w:val="header"/>
    <w:basedOn w:val="Normal"/>
    <w:link w:val="HeaderChar"/>
    <w:uiPriority w:val="99"/>
    <w:unhideWhenUsed/>
    <w:rsid w:val="00D157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5728"/>
    <w:rPr>
      <w:rFonts w:ascii="Times New Roman" w:hAnsi="Times New Roman"/>
      <w:sz w:val="24"/>
      <w:lang w:val="en-GB"/>
    </w:rPr>
  </w:style>
  <w:style w:type="paragraph" w:styleId="Footer">
    <w:name w:val="footer"/>
    <w:basedOn w:val="Normal"/>
    <w:link w:val="FooterChar"/>
    <w:uiPriority w:val="99"/>
    <w:unhideWhenUsed/>
    <w:rsid w:val="00D157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5728"/>
    <w:rPr>
      <w:rFonts w:ascii="Times New Roman" w:hAnsi="Times New Roman"/>
      <w:sz w:val="24"/>
      <w:lang w:val="en-GB"/>
    </w:rPr>
  </w:style>
  <w:style w:type="table" w:styleId="TableGrid">
    <w:name w:val="Table Grid"/>
    <w:basedOn w:val="TableNormal"/>
    <w:uiPriority w:val="59"/>
    <w:rsid w:val="00A179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57863"/>
    <w:pPr>
      <w:spacing w:before="100" w:beforeAutospacing="1" w:after="100" w:afterAutospacing="1" w:line="240" w:lineRule="auto"/>
      <w:jc w:val="left"/>
    </w:pPr>
    <w:rPr>
      <w:rFonts w:eastAsia="Times New Roman" w:cs="Times New Roman"/>
      <w:szCs w:val="24"/>
      <w:lang w:val="en-US" w:bidi="bn-IN"/>
    </w:rPr>
  </w:style>
  <w:style w:type="paragraph" w:styleId="TOCHeading">
    <w:name w:val="TOC Heading"/>
    <w:basedOn w:val="Heading1"/>
    <w:next w:val="Normal"/>
    <w:uiPriority w:val="39"/>
    <w:unhideWhenUsed/>
    <w:qFormat/>
    <w:rsid w:val="00757863"/>
    <w:pPr>
      <w:spacing w:after="0"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757863"/>
    <w:pPr>
      <w:spacing w:after="100"/>
    </w:pPr>
  </w:style>
  <w:style w:type="character" w:styleId="Hyperlink">
    <w:name w:val="Hyperlink"/>
    <w:basedOn w:val="DefaultParagraphFont"/>
    <w:uiPriority w:val="99"/>
    <w:unhideWhenUsed/>
    <w:rsid w:val="00757863"/>
    <w:rPr>
      <w:color w:val="0000FF" w:themeColor="hyperlink"/>
      <w:u w:val="single"/>
    </w:rPr>
  </w:style>
  <w:style w:type="character" w:styleId="UnresolvedMention">
    <w:name w:val="Unresolved Mention"/>
    <w:basedOn w:val="DefaultParagraphFont"/>
    <w:uiPriority w:val="99"/>
    <w:semiHidden/>
    <w:unhideWhenUsed/>
    <w:rsid w:val="00EB77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643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BE569-8113-4C09-A1FC-693BAA0A86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1778</Words>
  <Characters>10138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Monika Pawelec</cp:lastModifiedBy>
  <cp:revision>2</cp:revision>
  <dcterms:created xsi:type="dcterms:W3CDTF">2023-03-10T19:40:00Z</dcterms:created>
  <dcterms:modified xsi:type="dcterms:W3CDTF">2023-03-10T19:40:00Z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63bba0dc-c376-4785-9789-f17b509033fb</vt:lpwstr>
  </property>
</Properties>
</file>