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F42D0" w14:textId="3B9CEDFB" w:rsidR="002F767E" w:rsidRDefault="002F767E">
      <w:r w:rsidRPr="002F767E">
        <w:t xml:space="preserve">Concerns regarding the suitability and effectiveness of police responses to people going through mental health crises have grown </w:t>
      </w:r>
      <w:proofErr w:type="gramStart"/>
      <w:r w:rsidRPr="002F767E">
        <w:t>as a result of</w:t>
      </w:r>
      <w:proofErr w:type="gramEnd"/>
      <w:r w:rsidRPr="002F767E">
        <w:t xml:space="preserve"> the growing intersection between policing and mental health services. In response, a strategy framework known as the Right Care, Right Person (RCRP) model has been developed to guarantee that people experiencing mental distress receive the proper treatment from social and health care providers instead of law enforcement. The RCRP initiative, which was started by Humberside Police and is currently being implemented nationwide, aims to reinterpret the police's role in non-criminal, health-related occurrences (College of Policing, 2023). The origins, application, and perceived effects of RCRP in UK policing are examined in this literature review, which also looks at important topics such interagency cooperation, operational difficulties, training and capacity, and ethical considerations.</w:t>
      </w:r>
    </w:p>
    <w:p w14:paraId="7777B43C" w14:textId="77777777" w:rsidR="002F767E" w:rsidRDefault="002F767E" w:rsidP="002F767E">
      <w:r w:rsidRPr="002F767E">
        <w:t>Due to limitations in the availability of mental health services, especially after hours, police departments have historically been forced to respond to mental health emergencies de facto (Mind, 2019). Police officers are often dragged into health and social care responsibilities for which they lack the necessary resources and training (HMICFRS, 2018). The excessive dependence on police services for mental health responses was deemed "unsustainable" and "inefficient" in the groundbreaking report Policing and Mental Health by Her Majesty's Inspectorate of Constabulary (2018).</w:t>
      </w:r>
    </w:p>
    <w:p w14:paraId="11082EB9" w14:textId="77777777" w:rsidR="002F767E" w:rsidRPr="002F767E" w:rsidRDefault="002F767E" w:rsidP="002F767E">
      <w:r w:rsidRPr="002F767E">
        <w:t>In direct reaction to this problem, the RCRP model was created with the goal of reducing needless police participation and elucidating the proper agency response to people in crisis. The Home Office and National Police Chiefs' Council (NPCC) backed a nationwide rollout after Humberside Police's application of the model allegedly resulted in a 50% decrease in police demand for mental health events (NHS Confederation, 2022).</w:t>
      </w:r>
    </w:p>
    <w:p w14:paraId="6BC38664" w14:textId="77777777" w:rsidR="002F767E" w:rsidRPr="002F767E" w:rsidRDefault="002F767E" w:rsidP="002F767E">
      <w:r w:rsidRPr="002F767E">
        <w:t>Although RCRP has been hailed as a paradigm of best practices, numerous police departments have implemented it differently. Results are greatly impacted by elements including regional governance systems, the quality of local collaborations, and the accessibility of mental health treatments (NPCC, 2023). According to studies, effective implementation depends on a common commitment between policing, social services, and health organisations, supported by strong memoranda of understanding (College of Policing, 2023).</w:t>
      </w:r>
    </w:p>
    <w:p w14:paraId="6B5D82A3" w14:textId="77777777" w:rsidR="002F767E" w:rsidRDefault="002F767E" w:rsidP="002F767E">
      <w:r w:rsidRPr="002F767E">
        <w:t>Implementation issues include unclear referral thresholds, inconsistent mental health triage availability, and staff resistance because of perceived dangers, according to local studies like those carried out by the Centre for Mental Health (2023). Furthermore, a significant obstacle that prevents the smooth deployment of health responders to occurrences that are typically handled by police is the lack of data integration and information sharing amongst services.</w:t>
      </w:r>
    </w:p>
    <w:p w14:paraId="324B179E" w14:textId="7767F7DC" w:rsidR="002F767E" w:rsidRPr="002F767E" w:rsidRDefault="002F767E" w:rsidP="002F767E">
      <w:r w:rsidRPr="002F767E">
        <w:t>According to new research, RCRP implementation results in quantifiable decreases in the amount of time police officers spend responding to calls pertaining to mental health (College of Policing, 2023). For example, Humberside Police stated that they were able to redeploy thousands of officer hours per year to core policing duties (Humberside Police, 2021). The situation is more complicated when considering additional forces, though. According to research by the Institute for Government (2024), the implementation of the RCRP caused unresolved crises and prolonged response times in areas where health services were not scaled up concurrently because of deficiencies in the health sector's capabilities.</w:t>
      </w:r>
    </w:p>
    <w:p w14:paraId="58667E66" w14:textId="77777777" w:rsidR="002F767E" w:rsidRDefault="002F767E" w:rsidP="002F767E">
      <w:r w:rsidRPr="002F767E">
        <w:t xml:space="preserve">Operationally speaking, several officers report feeling less overburdened by duties outside of their areas of expertise, which has improved their morale and job satisfaction (Police </w:t>
      </w:r>
      <w:r w:rsidRPr="002F767E">
        <w:lastRenderedPageBreak/>
        <w:t>Federation, 2023). Others, on the other hand, worry about public censure and reputational harm when they are told not to react to those who are visibly distressed.</w:t>
      </w:r>
    </w:p>
    <w:p w14:paraId="17DEE3F5" w14:textId="77777777" w:rsidR="002F767E" w:rsidRDefault="002F767E" w:rsidP="002F767E">
      <w:r w:rsidRPr="002F767E">
        <w:t xml:space="preserve">Interagency cooperation has been repeatedly noted in the literature as a crucial component of RCRP success. However, disparities in organisational cultures, a lack of shared priorities, and resource asymmetries frequently impede multi-agency collaboration (Mental Health Foundation, 2021). In many places, the already-stressed NHS has found it difficult to devote further resources to taking on cases that were previously handled by the police. </w:t>
      </w:r>
      <w:r w:rsidRPr="002F767E">
        <w:br/>
      </w:r>
      <w:r w:rsidRPr="002F767E">
        <w:br/>
        <w:t>The RCRP strategy has been identified as potentially enabled by integrated care systems (ICSs); nonetheless, assessments indicate that development has been inconsistent. In contrast to regions that depend on overburdened emergency rooms, those with robust pre-existing crisis pathways have transitioned more easily (King's Fund, 2023).</w:t>
      </w:r>
    </w:p>
    <w:p w14:paraId="0C86B0E4" w14:textId="77777777" w:rsidR="00DE035D" w:rsidRDefault="00DE035D" w:rsidP="00DE035D">
      <w:r w:rsidRPr="00DE035D">
        <w:t xml:space="preserve">Additionally, RCRP brings up significant moral and legal issues. In the absence of a prompt alternative response, critics contend that removing police from mental health crises could jeopardise patient welfare and public safety (Liberty, 2023). Furthermore, there are still issues with the duty of care and human rights duties under the Human Rights Act of 1998 and the Mental Health Act of 1983, particularly </w:t>
      </w:r>
      <w:proofErr w:type="gramStart"/>
      <w:r w:rsidRPr="00DE035D">
        <w:t>with regard to</w:t>
      </w:r>
      <w:proofErr w:type="gramEnd"/>
      <w:r w:rsidRPr="00DE035D">
        <w:t xml:space="preserve"> vulnerable people who are left without assistance. </w:t>
      </w:r>
      <w:r w:rsidRPr="00DE035D">
        <w:br/>
      </w:r>
      <w:r w:rsidRPr="00DE035D">
        <w:br/>
        <w:t xml:space="preserve">While RCRP is in line with the goals of decriminalising mental illness and restoring dignity, some academics contend that </w:t>
      </w:r>
      <w:proofErr w:type="gramStart"/>
      <w:r w:rsidRPr="00DE035D">
        <w:t>in order to</w:t>
      </w:r>
      <w:proofErr w:type="gramEnd"/>
      <w:r w:rsidRPr="00DE035D">
        <w:t xml:space="preserve"> prevent unforeseen consequences, it must be paired with system-wide investment (Bather &amp; Fitzpatrick, 2022).</w:t>
      </w:r>
    </w:p>
    <w:p w14:paraId="10D66FCB" w14:textId="77777777" w:rsidR="00DE035D" w:rsidRDefault="00DE035D" w:rsidP="00DE035D">
      <w:r w:rsidRPr="00DE035D">
        <w:t>Academic research on RCRP is still scarce and mostly consists of pilot assessments, policy commentary, and grey literature, despite increased policy attention. The evaluation of the long-term effects of RCRP on patient well-being, service demand, and system cost-effectiveness requires independent, longitudinal research immediately. The literature currently in publication also severely lacks qualitative research that captures the viewpoints of service users and comparative studies across areas.</w:t>
      </w:r>
    </w:p>
    <w:p w14:paraId="7E0B08C0" w14:textId="77777777" w:rsidR="00DE035D" w:rsidRPr="00DE035D" w:rsidRDefault="00DE035D" w:rsidP="00DE035D">
      <w:r w:rsidRPr="00DE035D">
        <w:t>By redefining mental health crises as essentially health and social care concerns rather than public order issues, the RCRP program marks a substantial paradigm shift in the way that mental health crises are managed. Although preliminary data from pilot regions shows promise in terms of lowering police demand and coordinating responses with professional knowledge, systemic resource limitations and inconsistent nationwide implementation pose challenges. In the end, RCRP's effectiveness hinges on ongoing cross-sector cooperation, funding for mental health facilities, and a mutual dedication to protecting those at risk.</w:t>
      </w:r>
    </w:p>
    <w:p w14:paraId="5500ED53" w14:textId="77777777" w:rsidR="00DE035D" w:rsidRPr="002F767E" w:rsidRDefault="00DE035D" w:rsidP="002F767E"/>
    <w:p w14:paraId="3E8E4FA0" w14:textId="5D615DE7" w:rsidR="002F767E" w:rsidRDefault="0002266E">
      <w:r>
        <w:t xml:space="preserve">Bibliography </w:t>
      </w:r>
    </w:p>
    <w:p w14:paraId="7B55B95A" w14:textId="77777777" w:rsidR="0002266E" w:rsidRPr="0002266E" w:rsidRDefault="0002266E" w:rsidP="0002266E">
      <w:r w:rsidRPr="0002266E">
        <w:t>Bather, N. and Fitzpatrick, M., 2022. Policing, mental health and human rights: a legal perspective. Oxford Journal of Law and Policy.</w:t>
      </w:r>
    </w:p>
    <w:p w14:paraId="22B4BA24" w14:textId="77777777" w:rsidR="0002266E" w:rsidRPr="0002266E" w:rsidRDefault="0002266E" w:rsidP="0002266E"/>
    <w:p w14:paraId="0A55C814" w14:textId="77777777" w:rsidR="0002266E" w:rsidRPr="0002266E" w:rsidRDefault="0002266E" w:rsidP="0002266E">
      <w:r w:rsidRPr="0002266E">
        <w:t>College of Policing, 2023. Right Care, Right Person: Implementation guidance.</w:t>
      </w:r>
    </w:p>
    <w:p w14:paraId="17E9684E" w14:textId="77777777" w:rsidR="0002266E" w:rsidRPr="0002266E" w:rsidRDefault="0002266E" w:rsidP="0002266E"/>
    <w:p w14:paraId="70534549" w14:textId="77777777" w:rsidR="0002266E" w:rsidRPr="0002266E" w:rsidRDefault="0002266E" w:rsidP="0002266E">
      <w:r w:rsidRPr="0002266E">
        <w:lastRenderedPageBreak/>
        <w:t>HMICFRS (Her Majesty’s Inspectorate of Constabulary and Fire &amp; Rescue Services), 2018. Policing and mental health: Picking up the pieces.</w:t>
      </w:r>
    </w:p>
    <w:p w14:paraId="4595F043" w14:textId="77777777" w:rsidR="0002266E" w:rsidRPr="0002266E" w:rsidRDefault="0002266E" w:rsidP="0002266E"/>
    <w:p w14:paraId="242F262A" w14:textId="77777777" w:rsidR="0002266E" w:rsidRPr="0002266E" w:rsidRDefault="0002266E" w:rsidP="0002266E">
      <w:r w:rsidRPr="0002266E">
        <w:t>Humberside Police, 2021. Annual review: Mental health and demand management.</w:t>
      </w:r>
    </w:p>
    <w:p w14:paraId="3FD7DB58" w14:textId="77777777" w:rsidR="0002266E" w:rsidRPr="0002266E" w:rsidRDefault="0002266E" w:rsidP="0002266E"/>
    <w:p w14:paraId="5706A0C0" w14:textId="77777777" w:rsidR="0002266E" w:rsidRPr="0002266E" w:rsidRDefault="0002266E" w:rsidP="0002266E">
      <w:r w:rsidRPr="0002266E">
        <w:t>Institute for Government, 2024. Cross-sector crisis response: Lessons from RCRP implementation.</w:t>
      </w:r>
    </w:p>
    <w:p w14:paraId="3451C12A" w14:textId="77777777" w:rsidR="0002266E" w:rsidRPr="0002266E" w:rsidRDefault="0002266E" w:rsidP="0002266E"/>
    <w:p w14:paraId="3F6C32D0" w14:textId="77777777" w:rsidR="0002266E" w:rsidRPr="0002266E" w:rsidRDefault="0002266E" w:rsidP="0002266E">
      <w:r w:rsidRPr="0002266E">
        <w:t>King’s Fund, 2023. Integrated care and crisis management: Emerging findings.</w:t>
      </w:r>
    </w:p>
    <w:p w14:paraId="34E62523" w14:textId="77777777" w:rsidR="0002266E" w:rsidRPr="0002266E" w:rsidRDefault="0002266E" w:rsidP="0002266E"/>
    <w:p w14:paraId="7C2B85CE" w14:textId="77777777" w:rsidR="0002266E" w:rsidRPr="0002266E" w:rsidRDefault="0002266E" w:rsidP="0002266E">
      <w:r w:rsidRPr="0002266E">
        <w:t>Liberty, 2023. Public safety and the right to health: Concerns about RCRP.</w:t>
      </w:r>
    </w:p>
    <w:p w14:paraId="2CB924BA" w14:textId="77777777" w:rsidR="0002266E" w:rsidRPr="0002266E" w:rsidRDefault="0002266E" w:rsidP="0002266E"/>
    <w:p w14:paraId="55C2B4D5" w14:textId="77777777" w:rsidR="0002266E" w:rsidRPr="0002266E" w:rsidRDefault="0002266E" w:rsidP="0002266E">
      <w:r w:rsidRPr="0002266E">
        <w:t>Mental Health Foundation, 2021. Crisis services and the role of the police.</w:t>
      </w:r>
    </w:p>
    <w:p w14:paraId="29A0313D" w14:textId="77777777" w:rsidR="0002266E" w:rsidRPr="0002266E" w:rsidRDefault="0002266E" w:rsidP="0002266E"/>
    <w:p w14:paraId="018DAD2F" w14:textId="77777777" w:rsidR="0002266E" w:rsidRPr="0002266E" w:rsidRDefault="0002266E" w:rsidP="0002266E">
      <w:r w:rsidRPr="0002266E">
        <w:t>Mind, 2019. Responding to crisis: The role of the police in mental health emergencies.</w:t>
      </w:r>
    </w:p>
    <w:p w14:paraId="33398425" w14:textId="77777777" w:rsidR="0002266E" w:rsidRPr="0002266E" w:rsidRDefault="0002266E" w:rsidP="0002266E"/>
    <w:p w14:paraId="408F4F64" w14:textId="77777777" w:rsidR="0002266E" w:rsidRPr="0002266E" w:rsidRDefault="0002266E" w:rsidP="0002266E">
      <w:r w:rsidRPr="0002266E">
        <w:t>NHS Confederation, 2022. Learning from Humberside: Right Care, Right Person in action.</w:t>
      </w:r>
    </w:p>
    <w:p w14:paraId="54E58D66" w14:textId="77777777" w:rsidR="0002266E" w:rsidRPr="0002266E" w:rsidRDefault="0002266E" w:rsidP="0002266E"/>
    <w:p w14:paraId="056E70F4" w14:textId="77777777" w:rsidR="0002266E" w:rsidRPr="0002266E" w:rsidRDefault="0002266E" w:rsidP="0002266E">
      <w:r w:rsidRPr="0002266E">
        <w:t>NPCC (National Police Chiefs’ Council), 2023. RCRP national rollout briefing document.</w:t>
      </w:r>
    </w:p>
    <w:p w14:paraId="78EFED85" w14:textId="77777777" w:rsidR="0002266E" w:rsidRPr="0002266E" w:rsidRDefault="0002266E" w:rsidP="0002266E"/>
    <w:p w14:paraId="2777FFF4" w14:textId="77777777" w:rsidR="0002266E" w:rsidRPr="0002266E" w:rsidRDefault="0002266E" w:rsidP="0002266E">
      <w:r w:rsidRPr="0002266E">
        <w:t>Police Federation, 2023. Officer welfare and the burden of mental health response.</w:t>
      </w:r>
    </w:p>
    <w:p w14:paraId="1E5536D5" w14:textId="77777777" w:rsidR="0002266E" w:rsidRDefault="0002266E"/>
    <w:sectPr w:rsidR="000226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6245D"/>
    <w:multiLevelType w:val="hybridMultilevel"/>
    <w:tmpl w:val="4D343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16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67E"/>
    <w:rsid w:val="0002266E"/>
    <w:rsid w:val="002F767E"/>
    <w:rsid w:val="006E40FA"/>
    <w:rsid w:val="00A52049"/>
    <w:rsid w:val="00CC7775"/>
    <w:rsid w:val="00D60F84"/>
    <w:rsid w:val="00DE035D"/>
    <w:rsid w:val="00F70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8B3FD"/>
  <w15:chartTrackingRefBased/>
  <w15:docId w15:val="{44E2F55E-3850-4EC6-86D3-380D353BC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7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7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67E"/>
    <w:rPr>
      <w:rFonts w:eastAsiaTheme="majorEastAsia" w:cstheme="majorBidi"/>
      <w:color w:val="272727" w:themeColor="text1" w:themeTint="D8"/>
    </w:rPr>
  </w:style>
  <w:style w:type="paragraph" w:styleId="Title">
    <w:name w:val="Title"/>
    <w:basedOn w:val="Normal"/>
    <w:next w:val="Normal"/>
    <w:link w:val="TitleChar"/>
    <w:uiPriority w:val="10"/>
    <w:qFormat/>
    <w:rsid w:val="002F7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67E"/>
    <w:pPr>
      <w:spacing w:before="160"/>
      <w:jc w:val="center"/>
    </w:pPr>
    <w:rPr>
      <w:i/>
      <w:iCs/>
      <w:color w:val="404040" w:themeColor="text1" w:themeTint="BF"/>
    </w:rPr>
  </w:style>
  <w:style w:type="character" w:customStyle="1" w:styleId="QuoteChar">
    <w:name w:val="Quote Char"/>
    <w:basedOn w:val="DefaultParagraphFont"/>
    <w:link w:val="Quote"/>
    <w:uiPriority w:val="29"/>
    <w:rsid w:val="002F767E"/>
    <w:rPr>
      <w:i/>
      <w:iCs/>
      <w:color w:val="404040" w:themeColor="text1" w:themeTint="BF"/>
    </w:rPr>
  </w:style>
  <w:style w:type="paragraph" w:styleId="ListParagraph">
    <w:name w:val="List Paragraph"/>
    <w:basedOn w:val="Normal"/>
    <w:uiPriority w:val="34"/>
    <w:qFormat/>
    <w:rsid w:val="002F767E"/>
    <w:pPr>
      <w:ind w:left="720"/>
      <w:contextualSpacing/>
    </w:pPr>
  </w:style>
  <w:style w:type="character" w:styleId="IntenseEmphasis">
    <w:name w:val="Intense Emphasis"/>
    <w:basedOn w:val="DefaultParagraphFont"/>
    <w:uiPriority w:val="21"/>
    <w:qFormat/>
    <w:rsid w:val="002F767E"/>
    <w:rPr>
      <w:i/>
      <w:iCs/>
      <w:color w:val="0F4761" w:themeColor="accent1" w:themeShade="BF"/>
    </w:rPr>
  </w:style>
  <w:style w:type="paragraph" w:styleId="IntenseQuote">
    <w:name w:val="Intense Quote"/>
    <w:basedOn w:val="Normal"/>
    <w:next w:val="Normal"/>
    <w:link w:val="IntenseQuoteChar"/>
    <w:uiPriority w:val="30"/>
    <w:qFormat/>
    <w:rsid w:val="002F7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67E"/>
    <w:rPr>
      <w:i/>
      <w:iCs/>
      <w:color w:val="0F4761" w:themeColor="accent1" w:themeShade="BF"/>
    </w:rPr>
  </w:style>
  <w:style w:type="character" w:styleId="IntenseReference">
    <w:name w:val="Intense Reference"/>
    <w:basedOn w:val="DefaultParagraphFont"/>
    <w:uiPriority w:val="32"/>
    <w:qFormat/>
    <w:rsid w:val="002F76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5491">
      <w:bodyDiv w:val="1"/>
      <w:marLeft w:val="0"/>
      <w:marRight w:val="0"/>
      <w:marTop w:val="0"/>
      <w:marBottom w:val="0"/>
      <w:divBdr>
        <w:top w:val="none" w:sz="0" w:space="0" w:color="auto"/>
        <w:left w:val="none" w:sz="0" w:space="0" w:color="auto"/>
        <w:bottom w:val="none" w:sz="0" w:space="0" w:color="auto"/>
        <w:right w:val="none" w:sz="0" w:space="0" w:color="auto"/>
      </w:divBdr>
    </w:div>
    <w:div w:id="14581704">
      <w:bodyDiv w:val="1"/>
      <w:marLeft w:val="0"/>
      <w:marRight w:val="0"/>
      <w:marTop w:val="0"/>
      <w:marBottom w:val="0"/>
      <w:divBdr>
        <w:top w:val="none" w:sz="0" w:space="0" w:color="auto"/>
        <w:left w:val="none" w:sz="0" w:space="0" w:color="auto"/>
        <w:bottom w:val="none" w:sz="0" w:space="0" w:color="auto"/>
        <w:right w:val="none" w:sz="0" w:space="0" w:color="auto"/>
      </w:divBdr>
    </w:div>
    <w:div w:id="86006729">
      <w:bodyDiv w:val="1"/>
      <w:marLeft w:val="0"/>
      <w:marRight w:val="0"/>
      <w:marTop w:val="0"/>
      <w:marBottom w:val="0"/>
      <w:divBdr>
        <w:top w:val="none" w:sz="0" w:space="0" w:color="auto"/>
        <w:left w:val="none" w:sz="0" w:space="0" w:color="auto"/>
        <w:bottom w:val="none" w:sz="0" w:space="0" w:color="auto"/>
        <w:right w:val="none" w:sz="0" w:space="0" w:color="auto"/>
      </w:divBdr>
    </w:div>
    <w:div w:id="148519333">
      <w:bodyDiv w:val="1"/>
      <w:marLeft w:val="0"/>
      <w:marRight w:val="0"/>
      <w:marTop w:val="0"/>
      <w:marBottom w:val="0"/>
      <w:divBdr>
        <w:top w:val="none" w:sz="0" w:space="0" w:color="auto"/>
        <w:left w:val="none" w:sz="0" w:space="0" w:color="auto"/>
        <w:bottom w:val="none" w:sz="0" w:space="0" w:color="auto"/>
        <w:right w:val="none" w:sz="0" w:space="0" w:color="auto"/>
      </w:divBdr>
    </w:div>
    <w:div w:id="205140832">
      <w:bodyDiv w:val="1"/>
      <w:marLeft w:val="0"/>
      <w:marRight w:val="0"/>
      <w:marTop w:val="0"/>
      <w:marBottom w:val="0"/>
      <w:divBdr>
        <w:top w:val="none" w:sz="0" w:space="0" w:color="auto"/>
        <w:left w:val="none" w:sz="0" w:space="0" w:color="auto"/>
        <w:bottom w:val="none" w:sz="0" w:space="0" w:color="auto"/>
        <w:right w:val="none" w:sz="0" w:space="0" w:color="auto"/>
      </w:divBdr>
    </w:div>
    <w:div w:id="274409093">
      <w:bodyDiv w:val="1"/>
      <w:marLeft w:val="0"/>
      <w:marRight w:val="0"/>
      <w:marTop w:val="0"/>
      <w:marBottom w:val="0"/>
      <w:divBdr>
        <w:top w:val="none" w:sz="0" w:space="0" w:color="auto"/>
        <w:left w:val="none" w:sz="0" w:space="0" w:color="auto"/>
        <w:bottom w:val="none" w:sz="0" w:space="0" w:color="auto"/>
        <w:right w:val="none" w:sz="0" w:space="0" w:color="auto"/>
      </w:divBdr>
    </w:div>
    <w:div w:id="343439738">
      <w:bodyDiv w:val="1"/>
      <w:marLeft w:val="0"/>
      <w:marRight w:val="0"/>
      <w:marTop w:val="0"/>
      <w:marBottom w:val="0"/>
      <w:divBdr>
        <w:top w:val="none" w:sz="0" w:space="0" w:color="auto"/>
        <w:left w:val="none" w:sz="0" w:space="0" w:color="auto"/>
        <w:bottom w:val="none" w:sz="0" w:space="0" w:color="auto"/>
        <w:right w:val="none" w:sz="0" w:space="0" w:color="auto"/>
      </w:divBdr>
    </w:div>
    <w:div w:id="349188796">
      <w:bodyDiv w:val="1"/>
      <w:marLeft w:val="0"/>
      <w:marRight w:val="0"/>
      <w:marTop w:val="0"/>
      <w:marBottom w:val="0"/>
      <w:divBdr>
        <w:top w:val="none" w:sz="0" w:space="0" w:color="auto"/>
        <w:left w:val="none" w:sz="0" w:space="0" w:color="auto"/>
        <w:bottom w:val="none" w:sz="0" w:space="0" w:color="auto"/>
        <w:right w:val="none" w:sz="0" w:space="0" w:color="auto"/>
      </w:divBdr>
    </w:div>
    <w:div w:id="570892273">
      <w:bodyDiv w:val="1"/>
      <w:marLeft w:val="0"/>
      <w:marRight w:val="0"/>
      <w:marTop w:val="0"/>
      <w:marBottom w:val="0"/>
      <w:divBdr>
        <w:top w:val="none" w:sz="0" w:space="0" w:color="auto"/>
        <w:left w:val="none" w:sz="0" w:space="0" w:color="auto"/>
        <w:bottom w:val="none" w:sz="0" w:space="0" w:color="auto"/>
        <w:right w:val="none" w:sz="0" w:space="0" w:color="auto"/>
      </w:divBdr>
    </w:div>
    <w:div w:id="659970244">
      <w:bodyDiv w:val="1"/>
      <w:marLeft w:val="0"/>
      <w:marRight w:val="0"/>
      <w:marTop w:val="0"/>
      <w:marBottom w:val="0"/>
      <w:divBdr>
        <w:top w:val="none" w:sz="0" w:space="0" w:color="auto"/>
        <w:left w:val="none" w:sz="0" w:space="0" w:color="auto"/>
        <w:bottom w:val="none" w:sz="0" w:space="0" w:color="auto"/>
        <w:right w:val="none" w:sz="0" w:space="0" w:color="auto"/>
      </w:divBdr>
    </w:div>
    <w:div w:id="925990730">
      <w:bodyDiv w:val="1"/>
      <w:marLeft w:val="0"/>
      <w:marRight w:val="0"/>
      <w:marTop w:val="0"/>
      <w:marBottom w:val="0"/>
      <w:divBdr>
        <w:top w:val="none" w:sz="0" w:space="0" w:color="auto"/>
        <w:left w:val="none" w:sz="0" w:space="0" w:color="auto"/>
        <w:bottom w:val="none" w:sz="0" w:space="0" w:color="auto"/>
        <w:right w:val="none" w:sz="0" w:space="0" w:color="auto"/>
      </w:divBdr>
    </w:div>
    <w:div w:id="1067798850">
      <w:bodyDiv w:val="1"/>
      <w:marLeft w:val="0"/>
      <w:marRight w:val="0"/>
      <w:marTop w:val="0"/>
      <w:marBottom w:val="0"/>
      <w:divBdr>
        <w:top w:val="none" w:sz="0" w:space="0" w:color="auto"/>
        <w:left w:val="none" w:sz="0" w:space="0" w:color="auto"/>
        <w:bottom w:val="none" w:sz="0" w:space="0" w:color="auto"/>
        <w:right w:val="none" w:sz="0" w:space="0" w:color="auto"/>
      </w:divBdr>
    </w:div>
    <w:div w:id="1224373013">
      <w:bodyDiv w:val="1"/>
      <w:marLeft w:val="0"/>
      <w:marRight w:val="0"/>
      <w:marTop w:val="0"/>
      <w:marBottom w:val="0"/>
      <w:divBdr>
        <w:top w:val="none" w:sz="0" w:space="0" w:color="auto"/>
        <w:left w:val="none" w:sz="0" w:space="0" w:color="auto"/>
        <w:bottom w:val="none" w:sz="0" w:space="0" w:color="auto"/>
        <w:right w:val="none" w:sz="0" w:space="0" w:color="auto"/>
      </w:divBdr>
    </w:div>
    <w:div w:id="1249189514">
      <w:bodyDiv w:val="1"/>
      <w:marLeft w:val="0"/>
      <w:marRight w:val="0"/>
      <w:marTop w:val="0"/>
      <w:marBottom w:val="0"/>
      <w:divBdr>
        <w:top w:val="none" w:sz="0" w:space="0" w:color="auto"/>
        <w:left w:val="none" w:sz="0" w:space="0" w:color="auto"/>
        <w:bottom w:val="none" w:sz="0" w:space="0" w:color="auto"/>
        <w:right w:val="none" w:sz="0" w:space="0" w:color="auto"/>
      </w:divBdr>
    </w:div>
    <w:div w:id="1428699335">
      <w:bodyDiv w:val="1"/>
      <w:marLeft w:val="0"/>
      <w:marRight w:val="0"/>
      <w:marTop w:val="0"/>
      <w:marBottom w:val="0"/>
      <w:divBdr>
        <w:top w:val="none" w:sz="0" w:space="0" w:color="auto"/>
        <w:left w:val="none" w:sz="0" w:space="0" w:color="auto"/>
        <w:bottom w:val="none" w:sz="0" w:space="0" w:color="auto"/>
        <w:right w:val="none" w:sz="0" w:space="0" w:color="auto"/>
      </w:divBdr>
    </w:div>
    <w:div w:id="1579317248">
      <w:bodyDiv w:val="1"/>
      <w:marLeft w:val="0"/>
      <w:marRight w:val="0"/>
      <w:marTop w:val="0"/>
      <w:marBottom w:val="0"/>
      <w:divBdr>
        <w:top w:val="none" w:sz="0" w:space="0" w:color="auto"/>
        <w:left w:val="none" w:sz="0" w:space="0" w:color="auto"/>
        <w:bottom w:val="none" w:sz="0" w:space="0" w:color="auto"/>
        <w:right w:val="none" w:sz="0" w:space="0" w:color="auto"/>
      </w:divBdr>
    </w:div>
    <w:div w:id="1725791030">
      <w:bodyDiv w:val="1"/>
      <w:marLeft w:val="0"/>
      <w:marRight w:val="0"/>
      <w:marTop w:val="0"/>
      <w:marBottom w:val="0"/>
      <w:divBdr>
        <w:top w:val="none" w:sz="0" w:space="0" w:color="auto"/>
        <w:left w:val="none" w:sz="0" w:space="0" w:color="auto"/>
        <w:bottom w:val="none" w:sz="0" w:space="0" w:color="auto"/>
        <w:right w:val="none" w:sz="0" w:space="0" w:color="auto"/>
      </w:divBdr>
    </w:div>
    <w:div w:id="1820615293">
      <w:bodyDiv w:val="1"/>
      <w:marLeft w:val="0"/>
      <w:marRight w:val="0"/>
      <w:marTop w:val="0"/>
      <w:marBottom w:val="0"/>
      <w:divBdr>
        <w:top w:val="none" w:sz="0" w:space="0" w:color="auto"/>
        <w:left w:val="none" w:sz="0" w:space="0" w:color="auto"/>
        <w:bottom w:val="none" w:sz="0" w:space="0" w:color="auto"/>
        <w:right w:val="none" w:sz="0" w:space="0" w:color="auto"/>
      </w:divBdr>
    </w:div>
    <w:div w:id="1855999916">
      <w:bodyDiv w:val="1"/>
      <w:marLeft w:val="0"/>
      <w:marRight w:val="0"/>
      <w:marTop w:val="0"/>
      <w:marBottom w:val="0"/>
      <w:divBdr>
        <w:top w:val="none" w:sz="0" w:space="0" w:color="auto"/>
        <w:left w:val="none" w:sz="0" w:space="0" w:color="auto"/>
        <w:bottom w:val="none" w:sz="0" w:space="0" w:color="auto"/>
        <w:right w:val="none" w:sz="0" w:space="0" w:color="auto"/>
      </w:divBdr>
    </w:div>
    <w:div w:id="1866482924">
      <w:bodyDiv w:val="1"/>
      <w:marLeft w:val="0"/>
      <w:marRight w:val="0"/>
      <w:marTop w:val="0"/>
      <w:marBottom w:val="0"/>
      <w:divBdr>
        <w:top w:val="none" w:sz="0" w:space="0" w:color="auto"/>
        <w:left w:val="none" w:sz="0" w:space="0" w:color="auto"/>
        <w:bottom w:val="none" w:sz="0" w:space="0" w:color="auto"/>
        <w:right w:val="none" w:sz="0" w:space="0" w:color="auto"/>
      </w:divBdr>
    </w:div>
    <w:div w:id="1889796351">
      <w:bodyDiv w:val="1"/>
      <w:marLeft w:val="0"/>
      <w:marRight w:val="0"/>
      <w:marTop w:val="0"/>
      <w:marBottom w:val="0"/>
      <w:divBdr>
        <w:top w:val="none" w:sz="0" w:space="0" w:color="auto"/>
        <w:left w:val="none" w:sz="0" w:space="0" w:color="auto"/>
        <w:bottom w:val="none" w:sz="0" w:space="0" w:color="auto"/>
        <w:right w:val="none" w:sz="0" w:space="0" w:color="auto"/>
      </w:divBdr>
    </w:div>
    <w:div w:id="1966497586">
      <w:bodyDiv w:val="1"/>
      <w:marLeft w:val="0"/>
      <w:marRight w:val="0"/>
      <w:marTop w:val="0"/>
      <w:marBottom w:val="0"/>
      <w:divBdr>
        <w:top w:val="none" w:sz="0" w:space="0" w:color="auto"/>
        <w:left w:val="none" w:sz="0" w:space="0" w:color="auto"/>
        <w:bottom w:val="none" w:sz="0" w:space="0" w:color="auto"/>
        <w:right w:val="none" w:sz="0" w:space="0" w:color="auto"/>
      </w:divBdr>
    </w:div>
    <w:div w:id="2000304113">
      <w:bodyDiv w:val="1"/>
      <w:marLeft w:val="0"/>
      <w:marRight w:val="0"/>
      <w:marTop w:val="0"/>
      <w:marBottom w:val="0"/>
      <w:divBdr>
        <w:top w:val="none" w:sz="0" w:space="0" w:color="auto"/>
        <w:left w:val="none" w:sz="0" w:space="0" w:color="auto"/>
        <w:bottom w:val="none" w:sz="0" w:space="0" w:color="auto"/>
        <w:right w:val="none" w:sz="0" w:space="0" w:color="auto"/>
      </w:divBdr>
    </w:div>
    <w:div w:id="211748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1155</Words>
  <Characters>6586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Bisi,Rebecca swp8536</dc:creator>
  <cp:keywords/>
  <dc:description/>
  <cp:lastModifiedBy>Bisi,Rebecca swp8536</cp:lastModifiedBy>
  <cp:revision>2</cp:revision>
  <dcterms:created xsi:type="dcterms:W3CDTF">2025-05-21T09:12:00Z</dcterms:created>
  <dcterms:modified xsi:type="dcterms:W3CDTF">2025-05-21T09:12:00Z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2025-05-19T15:24:20Z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cfd07f20-edac-4d75-b990-15569c24be82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