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018233" w14:textId="4A67DD6E" w:rsidR="00FD1709" w:rsidRDefault="00FD1709" w:rsidP="00106024">
      <w:pPr>
        <w:pStyle w:val="NoSpacing"/>
      </w:pPr>
    </w:p>
    <w:p w14:paraId="0DA6992F" w14:textId="478EBACB" w:rsidR="00106024" w:rsidRDefault="00106024" w:rsidP="00106024">
      <w:pPr>
        <w:pStyle w:val="NoSpacing"/>
        <w:spacing w:line="360" w:lineRule="auto"/>
        <w:jc w:val="center"/>
      </w:pPr>
      <w:r>
        <w:rPr>
          <w:b/>
          <w:bCs/>
          <w:u w:val="single"/>
        </w:rPr>
        <w:t>Reform of the Offences Against the Person Act 1861</w:t>
      </w:r>
    </w:p>
    <w:p w14:paraId="50454532" w14:textId="0EED5C3A" w:rsidR="00106024" w:rsidRDefault="00761924" w:rsidP="003C6BA3">
      <w:pPr>
        <w:pStyle w:val="NoSpacing"/>
        <w:spacing w:line="360" w:lineRule="auto"/>
        <w:jc w:val="both"/>
      </w:pPr>
      <w:r>
        <w:t>It has long been thought by legal scholars and professionals that the law surrounding the Offences Against the Person Act 1861 is not fit for purpose and is outdated</w:t>
      </w:r>
      <w:r w:rsidR="007F428A">
        <w:t xml:space="preserve">. In total since the 1980s successive governments have made six attempts at reforming this Act, including a Law Commission report in 1992. The other key attempts involve the 1998 Draft Bill and the 2015 Law Commission report, </w:t>
      </w:r>
      <w:r w:rsidR="0062105C">
        <w:t xml:space="preserve">which aims to address areas they feel the Draft Bill missed, </w:t>
      </w:r>
      <w:proofErr w:type="spellStart"/>
      <w:r w:rsidR="0062105C">
        <w:t>Eugenicos</w:t>
      </w:r>
      <w:proofErr w:type="spellEnd"/>
      <w:r w:rsidR="0062105C">
        <w:t xml:space="preserve">, (2017). </w:t>
      </w:r>
      <w:r>
        <w:t>One of the main reasons for reforming this area of law</w:t>
      </w:r>
      <w:r w:rsidR="00646670">
        <w:t xml:space="preserve"> is the language is very dated and is difficult to understand. There is also no logical hierarchy of offences and sentencing powers are also inconsistent. In the case of s20 Grievous Bodily Harm, which is more serious than a s47 Actual Bodily Harm both have the same maximum sentences of five years imprisonment, </w:t>
      </w:r>
      <w:r w:rsidR="00574FAA">
        <w:t>(Herring,</w:t>
      </w:r>
      <w:r w:rsidR="00E34E6B">
        <w:t xml:space="preserve"> 2018</w:t>
      </w:r>
      <w:r w:rsidR="00646670">
        <w:t xml:space="preserve">). In such cases it is often left up to the individual prosecutors to assess the level of harm sustained to bring charges which reflect the seriousness of an offence. This can lead to a disparity between sentences as there are no set guidelines for prosecutors to follow when applying such charges. As a result of this, over a ten-year period between 2003 and 2013, 7% and 12% of cases where a defendant was referred to trial at Crown Court received sentences which could have been handed down in a Magistrates’ Court, according to the Law Commission’s Scoping Paper, (2014).  </w:t>
      </w:r>
    </w:p>
    <w:p w14:paraId="4E93FA20" w14:textId="1DEF7EE2" w:rsidR="00BC1E8E" w:rsidRDefault="00BC1E8E" w:rsidP="003C6BA3">
      <w:pPr>
        <w:pStyle w:val="NoSpacing"/>
        <w:spacing w:line="360" w:lineRule="auto"/>
        <w:jc w:val="both"/>
      </w:pPr>
    </w:p>
    <w:p w14:paraId="07E3751A" w14:textId="67C14392" w:rsidR="00BC1E8E" w:rsidRDefault="00BC1E8E" w:rsidP="003C6BA3">
      <w:pPr>
        <w:pStyle w:val="NoSpacing"/>
        <w:spacing w:line="360" w:lineRule="auto"/>
        <w:jc w:val="both"/>
      </w:pPr>
      <w:r>
        <w:t>The Offences Against the Person act forms the basis of over 26,000 prosecutions every year, with those for offences such as assault and battery generating 100,000</w:t>
      </w:r>
      <w:r w:rsidR="00330D33">
        <w:t xml:space="preserve"> (Law Commission, 2014)</w:t>
      </w:r>
      <w:r>
        <w:t>. This particular law draws criticism because the offences are not classified in order of seriousness, and some offences detail situations which have no relevance in the modern world. For instance, s</w:t>
      </w:r>
      <w:r w:rsidR="00330D33">
        <w:t>.37 Assaulting a Magistrate on account of preserving his wreck, meaning a person can be prosecuted for assaulting someone who has the authority to preserve a vessel in distress (OAPA 1861). There are many other instances of this and does not set out a clear principle for prosecutors to follow when assessing how to charge a defendant.</w:t>
      </w:r>
    </w:p>
    <w:p w14:paraId="7C4A1553" w14:textId="4120FBED" w:rsidR="00891A33" w:rsidRDefault="00891A33" w:rsidP="003C6BA3">
      <w:pPr>
        <w:pStyle w:val="NoSpacing"/>
        <w:spacing w:line="360" w:lineRule="auto"/>
        <w:jc w:val="both"/>
      </w:pPr>
    </w:p>
    <w:p w14:paraId="6C972506" w14:textId="77777777" w:rsidR="00891A33" w:rsidRDefault="00891A33" w:rsidP="003C6BA3">
      <w:pPr>
        <w:pStyle w:val="NoSpacing"/>
        <w:spacing w:line="360" w:lineRule="auto"/>
        <w:jc w:val="both"/>
      </w:pPr>
      <w:r>
        <w:t xml:space="preserve">The Law Commission argues that one of the main areas of this act which is most in need of reform is the non-fatal offences against the person. There are many times as well where a defendant is charged with assault when in actual fact a battery has taken place. Assault is a common law offence and is committed when a person intentionally or recklessly causes the </w:t>
      </w:r>
    </w:p>
    <w:p w14:paraId="72D341B9" w14:textId="77777777" w:rsidR="00891A33" w:rsidRDefault="00891A33" w:rsidP="003C6BA3">
      <w:pPr>
        <w:pStyle w:val="NoSpacing"/>
        <w:spacing w:line="360" w:lineRule="auto"/>
        <w:jc w:val="both"/>
      </w:pPr>
    </w:p>
    <w:p w14:paraId="296D86CB" w14:textId="2F0CD7F3" w:rsidR="00891A33" w:rsidRDefault="00891A33" w:rsidP="003C6BA3">
      <w:pPr>
        <w:pStyle w:val="NoSpacing"/>
        <w:spacing w:line="360" w:lineRule="auto"/>
        <w:jc w:val="both"/>
      </w:pPr>
      <w:r>
        <w:t>victim to apprehend immediate unlawful personal violence, whereas battery is also a common law offence but is committed when the</w:t>
      </w:r>
      <w:r w:rsidR="001339A4">
        <w:t xml:space="preserve"> person intentionally or recklessly causes the victim to apprehend unlawful personal violence, meaning that for battery to be committed there has been no physical contact between the defendant and the victim. The case of </w:t>
      </w:r>
      <w:proofErr w:type="spellStart"/>
      <w:r w:rsidR="001339A4" w:rsidRPr="001339A4">
        <w:rPr>
          <w:i/>
          <w:iCs/>
        </w:rPr>
        <w:t>Longdon</w:t>
      </w:r>
      <w:proofErr w:type="spellEnd"/>
      <w:r w:rsidR="001339A4" w:rsidRPr="001339A4">
        <w:rPr>
          <w:i/>
          <w:iCs/>
        </w:rPr>
        <w:t xml:space="preserve"> v DPP [1976]</w:t>
      </w:r>
      <w:r w:rsidR="001339A4">
        <w:t xml:space="preserve"> held that a woman suffered immediate personal violence when the defendant casually pointed a fake gun at a woman who was understandably terrified, even though he told her the gun was not real, but he was reckless as to the fact she could have apprehended such violence. </w:t>
      </w:r>
    </w:p>
    <w:p w14:paraId="1AC5639D" w14:textId="218B4BD0" w:rsidR="001339A4" w:rsidRDefault="001339A4" w:rsidP="003C6BA3">
      <w:pPr>
        <w:pStyle w:val="NoSpacing"/>
        <w:spacing w:line="360" w:lineRule="auto"/>
        <w:jc w:val="both"/>
      </w:pPr>
    </w:p>
    <w:p w14:paraId="011128DF" w14:textId="77777777" w:rsidR="008C16E5" w:rsidRDefault="001339A4" w:rsidP="003C6BA3">
      <w:pPr>
        <w:pStyle w:val="NoSpacing"/>
        <w:spacing w:line="360" w:lineRule="auto"/>
        <w:jc w:val="both"/>
      </w:pPr>
      <w:r>
        <w:t xml:space="preserve">It is also thought that medical terminology relating to this act is also now outdated, </w:t>
      </w:r>
      <w:r w:rsidR="008C16E5">
        <w:t xml:space="preserve">as the words ‘bodily harm’ is mentioned in s.18, s.20, and s.47 but it only discusses physical injury to the body and does not account for any form of mental harm or torture. The consideration of whether psychiatric injury can amount to bodily harm was addressed in the case of </w:t>
      </w:r>
    </w:p>
    <w:p w14:paraId="77E832DD" w14:textId="679CD6A4" w:rsidR="001339A4" w:rsidRDefault="008C16E5" w:rsidP="003C6BA3">
      <w:pPr>
        <w:pStyle w:val="NoSpacing"/>
        <w:spacing w:line="360" w:lineRule="auto"/>
        <w:jc w:val="both"/>
      </w:pPr>
      <w:r w:rsidRPr="008C16E5">
        <w:rPr>
          <w:i/>
          <w:iCs/>
        </w:rPr>
        <w:t>R v Ireland and Burstow [1997]</w:t>
      </w:r>
      <w:r>
        <w:t xml:space="preserve">, where the defendant was involved in a relationship with the victim but was not happy when it ended, and he harassed her over several months with phone calls and hate mail, he would also randomly turn up places and harass her neighbours too. It was held that psychiatric injury did amount to bodily harm, while referring to </w:t>
      </w:r>
      <w:r w:rsidRPr="008C16E5">
        <w:rPr>
          <w:i/>
          <w:iCs/>
        </w:rPr>
        <w:t xml:space="preserve">R v Chan </w:t>
      </w:r>
      <w:proofErr w:type="spellStart"/>
      <w:r w:rsidRPr="008C16E5">
        <w:rPr>
          <w:i/>
          <w:iCs/>
        </w:rPr>
        <w:t>Fook</w:t>
      </w:r>
      <w:proofErr w:type="spellEnd"/>
      <w:r w:rsidRPr="008C16E5">
        <w:rPr>
          <w:i/>
          <w:iCs/>
        </w:rPr>
        <w:t xml:space="preserve"> [1994]</w:t>
      </w:r>
      <w:r>
        <w:t xml:space="preserve">, where it was held that psychiatric injury could constitute ABH (Herring, 2018). </w:t>
      </w:r>
    </w:p>
    <w:p w14:paraId="06E33A2F" w14:textId="563BC011" w:rsidR="008C16E5" w:rsidRDefault="008C16E5" w:rsidP="003C6BA3">
      <w:pPr>
        <w:pStyle w:val="NoSpacing"/>
        <w:spacing w:line="360" w:lineRule="auto"/>
        <w:jc w:val="both"/>
      </w:pPr>
    </w:p>
    <w:p w14:paraId="4D441F58" w14:textId="5EA35FFB" w:rsidR="008C16E5" w:rsidRDefault="008C16E5" w:rsidP="003C6BA3">
      <w:pPr>
        <w:pStyle w:val="NoSpacing"/>
        <w:spacing w:line="360" w:lineRule="auto"/>
        <w:jc w:val="both"/>
      </w:pPr>
      <w:r>
        <w:t xml:space="preserve">Although much of the language is considered to be irrelevant today, and can be applied to </w:t>
      </w:r>
      <w:r w:rsidR="006A0F91">
        <w:t xml:space="preserve">minimal situations today, but there have been instances where modern offences have needed to be modified to find a basis in statute for offences against the person. This was such in R v Cunningham [1957], where the court defined ‘maliciously’ as being reckless as opposed to its actual definition, which could have caused some confusion when interpreting other statutory definitions. In this case, a man had ripped a gas meter off the wall with the intent of stealing the money inside. As a result of this the fitting was no longer safe and the gas leaked from the meter through to the house next door, poisoning the owner. It was held that malicious could either mean the defendant intended to inflict the particular harm that was </w:t>
      </w:r>
      <w:r w:rsidR="003B1EA0">
        <w:t>done or</w:t>
      </w:r>
      <w:r w:rsidR="006A0F91">
        <w:t xml:space="preserve"> was reckless to see that the particular harm done was a possibility. </w:t>
      </w:r>
    </w:p>
    <w:p w14:paraId="365BF0F2" w14:textId="0037467D" w:rsidR="003B1EA0" w:rsidRDefault="003B1EA0" w:rsidP="003C6BA3">
      <w:pPr>
        <w:pStyle w:val="NoSpacing"/>
        <w:spacing w:line="360" w:lineRule="auto"/>
        <w:jc w:val="both"/>
      </w:pPr>
    </w:p>
    <w:p w14:paraId="6397E354" w14:textId="54F8F704" w:rsidR="003B1EA0" w:rsidRDefault="003B1EA0" w:rsidP="003C6BA3">
      <w:pPr>
        <w:pStyle w:val="NoSpacing"/>
        <w:spacing w:line="360" w:lineRule="auto"/>
        <w:jc w:val="both"/>
      </w:pPr>
    </w:p>
    <w:p w14:paraId="6E293316" w14:textId="72BF167A" w:rsidR="003B1EA0" w:rsidRDefault="003B1EA0" w:rsidP="003C6BA3">
      <w:pPr>
        <w:pStyle w:val="NoSpacing"/>
        <w:spacing w:line="360" w:lineRule="auto"/>
        <w:jc w:val="both"/>
      </w:pPr>
      <w:r>
        <w:t>Although there are many issues with the current legislation not everyone agrees with the Law Commission that the law in this area needs to be reformed</w:t>
      </w:r>
      <w:r w:rsidR="00FD2009">
        <w:t xml:space="preserve"> but </w:t>
      </w:r>
      <w:r>
        <w:t xml:space="preserve">the Act </w:t>
      </w:r>
      <w:r w:rsidR="00FD2009">
        <w:t xml:space="preserve">does </w:t>
      </w:r>
      <w:r>
        <w:t xml:space="preserve">remain drastically unorganised with a hugely unclear structure, such as the fact that there still is no codified difference between the offences of assault and battery. </w:t>
      </w:r>
      <w:proofErr w:type="gramStart"/>
      <w:r w:rsidR="00FD2009">
        <w:t>So</w:t>
      </w:r>
      <w:proofErr w:type="gramEnd"/>
      <w:r w:rsidR="00FD2009">
        <w:t xml:space="preserve"> no matter if there are organisations that feel that the Act does not need to be reformed, they must agree with the fact that the language and situations in the Act need to be updated and a logical hierarchy of offences needs to be established. </w:t>
      </w:r>
    </w:p>
    <w:p w14:paraId="6681BC9F" w14:textId="1A2E11F4" w:rsidR="003B1EA0" w:rsidRDefault="003B1EA0" w:rsidP="003C6BA3">
      <w:pPr>
        <w:pStyle w:val="NoSpacing"/>
        <w:spacing w:line="360" w:lineRule="auto"/>
        <w:jc w:val="both"/>
      </w:pPr>
    </w:p>
    <w:p w14:paraId="74739095" w14:textId="175074DA" w:rsidR="003B1EA0" w:rsidRDefault="003B1EA0" w:rsidP="003C6BA3">
      <w:pPr>
        <w:pStyle w:val="NoSpacing"/>
        <w:spacing w:line="360" w:lineRule="auto"/>
        <w:jc w:val="both"/>
      </w:pPr>
      <w:r>
        <w:t xml:space="preserve">The Home Office came up with the Draft Bill 1998 to attempt to reform the Offences Against the Person Act into a logical, clearly written way so that it could be easily understood. It offered a clear hierarchy of offences, </w:t>
      </w:r>
      <w:r w:rsidR="000C6687">
        <w:t xml:space="preserve">differentiating between the levels of seriousness of the injury apprehended by the victim, with one single offence replacing assault and battery. As of now the Bill did not become law and the Law Commission felt that the Draft Bill failed to address some aspects of Act as it put forward its 2015 report. </w:t>
      </w:r>
    </w:p>
    <w:p w14:paraId="049F7E67" w14:textId="75C0F986" w:rsidR="000C6687" w:rsidRDefault="000C6687" w:rsidP="003C6BA3">
      <w:pPr>
        <w:pStyle w:val="NoSpacing"/>
        <w:spacing w:line="360" w:lineRule="auto"/>
        <w:jc w:val="both"/>
      </w:pPr>
    </w:p>
    <w:p w14:paraId="07318E28" w14:textId="7364BD08" w:rsidR="000C6687" w:rsidRDefault="000C6687" w:rsidP="003C6BA3">
      <w:pPr>
        <w:pStyle w:val="NoSpacing"/>
        <w:spacing w:line="360" w:lineRule="auto"/>
        <w:jc w:val="both"/>
      </w:pPr>
      <w:r>
        <w:t xml:space="preserve">One of the first things to consider is the Actus Reus of an offence, meaning there has to be a positive physical act in order for a crime to have taken place. </w:t>
      </w:r>
      <w:r w:rsidR="00943C81">
        <w:t xml:space="preserve">The initial element of AR is that the victim would suffer a wound or Grievous Bodily Harm, the case of </w:t>
      </w:r>
      <w:r w:rsidR="00943C81">
        <w:rPr>
          <w:i/>
          <w:iCs/>
        </w:rPr>
        <w:t>Eisenhower</w:t>
      </w:r>
      <w:r w:rsidR="00943C81">
        <w:t xml:space="preserve"> held that for a wound to occur, both layers of the skin must be cut and bleeding. A scratch on just one layer of the skin would not constitute a wound because the skin as a whole did not break. The next thing to consider is causation, and if you apply </w:t>
      </w:r>
      <w:r w:rsidR="00943C81" w:rsidRPr="00943C81">
        <w:rPr>
          <w:i/>
          <w:iCs/>
        </w:rPr>
        <w:t>R v Ireland and Burstow [1997]</w:t>
      </w:r>
      <w:r w:rsidR="00943C81">
        <w:t xml:space="preserve">, both the words ‘cause’ and ‘inflict’ have a similar meaning, with factual causation being applied by the but for test. The but for test when applied to a case, simply means, ‘if this, then this’ – if the defendant never constantly harassed his ex-girlfriend, she would not have suffered psychiatric distress. </w:t>
      </w:r>
    </w:p>
    <w:p w14:paraId="7AB4E386" w14:textId="08898332" w:rsidR="00943C81" w:rsidRDefault="00943C81" w:rsidP="003C6BA3">
      <w:pPr>
        <w:pStyle w:val="NoSpacing"/>
        <w:spacing w:line="360" w:lineRule="auto"/>
        <w:jc w:val="both"/>
      </w:pPr>
    </w:p>
    <w:p w14:paraId="565C6A15" w14:textId="77777777" w:rsidR="006E2F67" w:rsidRDefault="00943C81" w:rsidP="003C6BA3">
      <w:pPr>
        <w:pStyle w:val="NoSpacing"/>
        <w:spacing w:line="360" w:lineRule="auto"/>
        <w:jc w:val="both"/>
      </w:pPr>
      <w:r>
        <w:t xml:space="preserve">After factual causation for an offence has been established, we then need to consider legal causation.  Legal causation means that the </w:t>
      </w:r>
      <w:r w:rsidR="006E2F67">
        <w:t>defendants’</w:t>
      </w:r>
      <w:r>
        <w:t xml:space="preserve"> actions must be a substantial cause, or an operative cause of the injuries apprehended by the victim. </w:t>
      </w:r>
      <w:r w:rsidR="006E2F67">
        <w:t xml:space="preserve">Applying </w:t>
      </w:r>
      <w:r w:rsidR="006E2F67" w:rsidRPr="006E2F67">
        <w:rPr>
          <w:i/>
          <w:iCs/>
        </w:rPr>
        <w:t>R v Pagett [1983]</w:t>
      </w:r>
      <w:r w:rsidR="006E2F67">
        <w:t xml:space="preserve">, </w:t>
      </w:r>
    </w:p>
    <w:p w14:paraId="6F65C115" w14:textId="77777777" w:rsidR="006E2F67" w:rsidRDefault="006E2F67" w:rsidP="003C6BA3">
      <w:pPr>
        <w:pStyle w:val="NoSpacing"/>
        <w:spacing w:line="360" w:lineRule="auto"/>
        <w:jc w:val="both"/>
      </w:pPr>
    </w:p>
    <w:p w14:paraId="1E7ABDDA" w14:textId="2E944FEF" w:rsidR="00943C81" w:rsidRDefault="006E2F67" w:rsidP="003C6BA3">
      <w:pPr>
        <w:pStyle w:val="NoSpacing"/>
        <w:spacing w:line="360" w:lineRule="auto"/>
        <w:jc w:val="both"/>
      </w:pPr>
      <w:r>
        <w:lastRenderedPageBreak/>
        <w:t xml:space="preserve">where he had separated from his wife and commenced a relationship with a 16-year-old girl who became pregnant by the defendant but ended the relationship when she was six months pregnant because of his violence. He turned up at her parents’ house with a shotgun and shot her father in the leg and then drove off with the girl and her mother. Along the way he threw the mother out of the car and drove off with the girl and was eventually caught up by the police. He started firing his shotgun at the police, who fired back in defence, but he used the girl as a shield, and she was shot and died. It was held that he was the legal cause of her death because the police fired back in self-defence and if he had not used her as a shield, she would not have been killed. </w:t>
      </w:r>
    </w:p>
    <w:p w14:paraId="0ACB598C" w14:textId="3636FB8B" w:rsidR="006E2F67" w:rsidRDefault="006E2F67" w:rsidP="003C6BA3">
      <w:pPr>
        <w:pStyle w:val="NoSpacing"/>
        <w:spacing w:line="360" w:lineRule="auto"/>
        <w:jc w:val="both"/>
      </w:pPr>
    </w:p>
    <w:p w14:paraId="765CD95C" w14:textId="27CE3A03" w:rsidR="006E2F67" w:rsidRDefault="006E2F67" w:rsidP="003C6BA3">
      <w:pPr>
        <w:pStyle w:val="NoSpacing"/>
        <w:spacing w:line="360" w:lineRule="auto"/>
        <w:jc w:val="both"/>
      </w:pPr>
      <w:r>
        <w:t>Mens Rea is the next point to consider, which deal with the mental elements of an offence. The case of R v Savage [1991] deals with establishing mens rea in a case. In this case, the defendant threw a pint of beer at someone in a pub and dropped the glass, cutting the victims wrist. The defendant maintained that she never intended to cut the victim or cause injury, she just wanted her to be humiliated by having beer thrown at her. The judge at trial directed the jury that</w:t>
      </w:r>
      <w:r w:rsidR="00FD2009">
        <w:t xml:space="preserve"> ‘malicious’ meant that an unlawful act was deliberate and resulted in the wound. The jury convicted her, and she appealed, where they held it was not necessary for the defendant to possess the mens rea for the offence, it was sufficient that they intended or could see that harm could result. </w:t>
      </w:r>
    </w:p>
    <w:p w14:paraId="2D9449F3" w14:textId="2CE5C658" w:rsidR="00FD2009" w:rsidRDefault="00FD2009" w:rsidP="003C6BA3">
      <w:pPr>
        <w:pStyle w:val="NoSpacing"/>
        <w:spacing w:line="360" w:lineRule="auto"/>
        <w:jc w:val="both"/>
      </w:pPr>
    </w:p>
    <w:p w14:paraId="05F6FA5C" w14:textId="49CD0B57" w:rsidR="00FD2009" w:rsidRDefault="00FD2009" w:rsidP="003C6BA3">
      <w:pPr>
        <w:pStyle w:val="NoSpacing"/>
        <w:spacing w:line="360" w:lineRule="auto"/>
        <w:jc w:val="both"/>
      </w:pPr>
      <w:r>
        <w:t xml:space="preserve">There are many institutions, such as the Bar Council and the Bar Standards Board that feel there is no real need to reform this area of law. They feel that it is an issue which is discussed among legal academics, and the fact that the legislation is out of touch with modern society is just a theoretical legal point as the majority of legislation for modern </w:t>
      </w:r>
      <w:r w:rsidR="00062F52">
        <w:t xml:space="preserve">non-fatal offences against the person to be established in case law. They do however believe that the outdated offences should be repealed from the Act would be sufficient action to take. There are still a lot of people who think that the entire law and legislation surrounding offences against the person needs to be restructured from the top down and current legislation needs to be totally repealed to make the law fit for purpose in twenty-first century society. </w:t>
      </w:r>
    </w:p>
    <w:p w14:paraId="5A38D7A7" w14:textId="06B5AF7D" w:rsidR="00062F52" w:rsidRDefault="00062F52" w:rsidP="003C6BA3">
      <w:pPr>
        <w:pStyle w:val="NoSpacing"/>
        <w:spacing w:line="360" w:lineRule="auto"/>
        <w:jc w:val="both"/>
      </w:pPr>
    </w:p>
    <w:p w14:paraId="031A0317" w14:textId="17F53112" w:rsidR="00062F52" w:rsidRDefault="00062F52" w:rsidP="003C6BA3">
      <w:pPr>
        <w:pStyle w:val="NoSpacing"/>
        <w:spacing w:line="360" w:lineRule="auto"/>
        <w:jc w:val="both"/>
      </w:pPr>
    </w:p>
    <w:p w14:paraId="34683D5C" w14:textId="77777777" w:rsidR="00062F52" w:rsidRDefault="00062F52" w:rsidP="003C6BA3">
      <w:pPr>
        <w:pStyle w:val="NoSpacing"/>
        <w:spacing w:line="360" w:lineRule="auto"/>
        <w:jc w:val="both"/>
      </w:pPr>
    </w:p>
    <w:p w14:paraId="511EF220" w14:textId="1BE11C32" w:rsidR="00062F52" w:rsidRDefault="00062F52" w:rsidP="003C6BA3">
      <w:pPr>
        <w:pStyle w:val="NoSpacing"/>
        <w:spacing w:line="360" w:lineRule="auto"/>
        <w:jc w:val="both"/>
      </w:pPr>
      <w:r>
        <w:t xml:space="preserve">It is clear though that if new legislation were to be enacted, there would need to be no overlap of previous legislation and the Magistrates’ Court needs to be more utilised to stop clogging the courts with unnecessary cases where sentences issued in Crown could have been issued in Magistrates’. The new legislation would also need to be a lot clearer with regards to the varying degrees of offences and allow for further amendments in the future to adapt to modern and changing methods of crime, as we are arguing with this Act now. It can also be argued that there are even legal professionals who are despondent over the archaic language used in the OAPA, and that various terminology which would alienate the majority of society from the system and as a result of this the legal profession could be damaged. Because of this, there are organisations fighting </w:t>
      </w:r>
      <w:r w:rsidR="00574FAA">
        <w:t xml:space="preserve">with urgency to modernise this law to make it more accessible. The main point that various people make is that the Law Commission Report of 2015 is still lacking in some clarity with regards to certain elements of the reform they are advocating for and that is a major setback of the report. Ultimately though, the decision as to whether or not the law will change lies with parliament and I think this issue will continue for some years as parliament do not seem in a rush to amend this Act. </w:t>
      </w:r>
    </w:p>
    <w:p w14:paraId="26035ACB" w14:textId="69BEF32A" w:rsidR="00574FAA" w:rsidRDefault="00574FAA" w:rsidP="003C6BA3">
      <w:pPr>
        <w:pStyle w:val="NoSpacing"/>
        <w:spacing w:line="360" w:lineRule="auto"/>
        <w:jc w:val="both"/>
      </w:pPr>
    </w:p>
    <w:p w14:paraId="5D836ECB" w14:textId="163E481A" w:rsidR="00574FAA" w:rsidRDefault="00574FAA" w:rsidP="003C6BA3">
      <w:pPr>
        <w:pStyle w:val="NoSpacing"/>
        <w:spacing w:line="360" w:lineRule="auto"/>
        <w:jc w:val="both"/>
      </w:pPr>
    </w:p>
    <w:p w14:paraId="6E60C590" w14:textId="11882764" w:rsidR="00574FAA" w:rsidRDefault="00574FAA" w:rsidP="003C6BA3">
      <w:pPr>
        <w:pStyle w:val="NoSpacing"/>
        <w:spacing w:line="360" w:lineRule="auto"/>
        <w:jc w:val="both"/>
      </w:pPr>
    </w:p>
    <w:p w14:paraId="2F5BE765" w14:textId="73C8CCC7" w:rsidR="00574FAA" w:rsidRDefault="00574FAA" w:rsidP="003C6BA3">
      <w:pPr>
        <w:pStyle w:val="NoSpacing"/>
        <w:spacing w:line="360" w:lineRule="auto"/>
        <w:jc w:val="both"/>
      </w:pPr>
    </w:p>
    <w:p w14:paraId="7964EC3F" w14:textId="2FC813C4" w:rsidR="00574FAA" w:rsidRDefault="00574FAA" w:rsidP="003C6BA3">
      <w:pPr>
        <w:pStyle w:val="NoSpacing"/>
        <w:spacing w:line="360" w:lineRule="auto"/>
        <w:jc w:val="both"/>
      </w:pPr>
    </w:p>
    <w:p w14:paraId="29AB08D1" w14:textId="217DFFC3" w:rsidR="00574FAA" w:rsidRDefault="00574FAA" w:rsidP="003C6BA3">
      <w:pPr>
        <w:pStyle w:val="NoSpacing"/>
        <w:spacing w:line="360" w:lineRule="auto"/>
        <w:jc w:val="both"/>
      </w:pPr>
    </w:p>
    <w:p w14:paraId="79C99A67" w14:textId="463554F5" w:rsidR="00574FAA" w:rsidRDefault="00574FAA" w:rsidP="003C6BA3">
      <w:pPr>
        <w:pStyle w:val="NoSpacing"/>
        <w:spacing w:line="360" w:lineRule="auto"/>
        <w:jc w:val="both"/>
      </w:pPr>
    </w:p>
    <w:p w14:paraId="07091871" w14:textId="02FB6DF0" w:rsidR="00574FAA" w:rsidRDefault="00574FAA" w:rsidP="003C6BA3">
      <w:pPr>
        <w:pStyle w:val="NoSpacing"/>
        <w:spacing w:line="360" w:lineRule="auto"/>
        <w:jc w:val="both"/>
      </w:pPr>
    </w:p>
    <w:p w14:paraId="02B53D39" w14:textId="7DFA6D8D" w:rsidR="00574FAA" w:rsidRDefault="00574FAA" w:rsidP="003C6BA3">
      <w:pPr>
        <w:pStyle w:val="NoSpacing"/>
        <w:spacing w:line="360" w:lineRule="auto"/>
        <w:jc w:val="both"/>
      </w:pPr>
    </w:p>
    <w:p w14:paraId="0B49B3C1" w14:textId="2581B6ED" w:rsidR="00574FAA" w:rsidRDefault="00574FAA" w:rsidP="003C6BA3">
      <w:pPr>
        <w:pStyle w:val="NoSpacing"/>
        <w:spacing w:line="360" w:lineRule="auto"/>
        <w:jc w:val="both"/>
      </w:pPr>
    </w:p>
    <w:p w14:paraId="7C536455" w14:textId="263D0099" w:rsidR="00574FAA" w:rsidRDefault="00574FAA" w:rsidP="003C6BA3">
      <w:pPr>
        <w:pStyle w:val="NoSpacing"/>
        <w:spacing w:line="360" w:lineRule="auto"/>
        <w:jc w:val="both"/>
      </w:pPr>
    </w:p>
    <w:p w14:paraId="0D4CC0D5" w14:textId="548E5749" w:rsidR="00574FAA" w:rsidRDefault="00574FAA" w:rsidP="003C6BA3">
      <w:pPr>
        <w:pStyle w:val="NoSpacing"/>
        <w:spacing w:line="360" w:lineRule="auto"/>
        <w:jc w:val="both"/>
      </w:pPr>
    </w:p>
    <w:p w14:paraId="73B7764A" w14:textId="6041EEDD" w:rsidR="00574FAA" w:rsidRDefault="00574FAA" w:rsidP="003C6BA3">
      <w:pPr>
        <w:pStyle w:val="NoSpacing"/>
        <w:spacing w:line="360" w:lineRule="auto"/>
        <w:jc w:val="both"/>
      </w:pPr>
    </w:p>
    <w:p w14:paraId="5C758966" w14:textId="2424E439" w:rsidR="00574FAA" w:rsidRDefault="00574FAA" w:rsidP="003C6BA3">
      <w:pPr>
        <w:pStyle w:val="NoSpacing"/>
        <w:spacing w:line="360" w:lineRule="auto"/>
        <w:jc w:val="both"/>
      </w:pPr>
    </w:p>
    <w:p w14:paraId="36543433" w14:textId="57636C08" w:rsidR="00574FAA" w:rsidRDefault="00574FAA" w:rsidP="003C6BA3">
      <w:pPr>
        <w:pStyle w:val="NoSpacing"/>
        <w:spacing w:line="360" w:lineRule="auto"/>
        <w:jc w:val="both"/>
      </w:pPr>
    </w:p>
    <w:p w14:paraId="1C345124" w14:textId="1E198A94" w:rsidR="00574FAA" w:rsidRDefault="00574FAA" w:rsidP="003C6BA3">
      <w:pPr>
        <w:pStyle w:val="NoSpacing"/>
        <w:spacing w:line="360" w:lineRule="auto"/>
        <w:jc w:val="both"/>
      </w:pPr>
    </w:p>
    <w:p w14:paraId="54E60198" w14:textId="314F6E90" w:rsidR="00574FAA" w:rsidRDefault="00574FAA" w:rsidP="00574FAA">
      <w:pPr>
        <w:pStyle w:val="NoSpacing"/>
        <w:spacing w:line="360" w:lineRule="auto"/>
        <w:jc w:val="center"/>
        <w:rPr>
          <w:b/>
          <w:bCs/>
          <w:u w:val="single"/>
        </w:rPr>
      </w:pPr>
      <w:r>
        <w:rPr>
          <w:b/>
          <w:bCs/>
          <w:u w:val="single"/>
        </w:rPr>
        <w:t>Reference List</w:t>
      </w:r>
    </w:p>
    <w:p w14:paraId="3C693031" w14:textId="77777777" w:rsidR="00E34E6B" w:rsidRDefault="00E34E6B" w:rsidP="00E34E6B">
      <w:pPr>
        <w:pStyle w:val="NoSpacing"/>
        <w:spacing w:line="360" w:lineRule="auto"/>
        <w:jc w:val="both"/>
      </w:pPr>
      <w:r>
        <w:t xml:space="preserve">Child. J, (2017), Smith, Hogan and Ormerod’s Essentials of Criminal Law Second Edition, Oxford University Press: London.    </w:t>
      </w:r>
    </w:p>
    <w:p w14:paraId="4F514CC6" w14:textId="7CFB2630" w:rsidR="00E34E6B" w:rsidRDefault="00E34E6B" w:rsidP="00574FAA">
      <w:pPr>
        <w:pStyle w:val="NoSpacing"/>
        <w:spacing w:line="360" w:lineRule="auto"/>
        <w:jc w:val="center"/>
        <w:rPr>
          <w:b/>
          <w:bCs/>
          <w:u w:val="single"/>
        </w:rPr>
      </w:pPr>
    </w:p>
    <w:p w14:paraId="5425E92C" w14:textId="1E78DAF0" w:rsidR="00E34E6B" w:rsidRDefault="00E34E6B" w:rsidP="00E34E6B">
      <w:pPr>
        <w:pStyle w:val="NoSpacing"/>
        <w:spacing w:line="360" w:lineRule="auto"/>
        <w:jc w:val="both"/>
        <w:rPr>
          <w:i/>
          <w:iCs/>
        </w:rPr>
      </w:pPr>
      <w:r>
        <w:t xml:space="preserve">E-Law Resources, </w:t>
      </w:r>
      <w:r>
        <w:rPr>
          <w:i/>
          <w:iCs/>
        </w:rPr>
        <w:t xml:space="preserve">Non-Fatal Offences Against the Person – Criticisms, </w:t>
      </w:r>
      <w:hyperlink r:id="rId6" w:history="1">
        <w:r w:rsidRPr="002349E2">
          <w:rPr>
            <w:rStyle w:val="Hyperlink"/>
            <w:i/>
            <w:iCs/>
          </w:rPr>
          <w:t>http://www.e-lawresources.co.uk/Non-Fatal-Offences-Against-the-Person---Criticisms.php</w:t>
        </w:r>
      </w:hyperlink>
      <w:r>
        <w:rPr>
          <w:i/>
          <w:iCs/>
        </w:rPr>
        <w:t xml:space="preserve"> (Accessed 05/03/2021). </w:t>
      </w:r>
    </w:p>
    <w:p w14:paraId="1D73EF8C" w14:textId="609EBF31" w:rsidR="00E34E6B" w:rsidRDefault="00E34E6B" w:rsidP="00E34E6B">
      <w:pPr>
        <w:pStyle w:val="NoSpacing"/>
        <w:spacing w:line="360" w:lineRule="auto"/>
        <w:jc w:val="both"/>
      </w:pPr>
    </w:p>
    <w:p w14:paraId="022BA076" w14:textId="77777777" w:rsidR="00E34E6B" w:rsidRDefault="00E34E6B" w:rsidP="00E34E6B">
      <w:pPr>
        <w:pStyle w:val="NoSpacing"/>
        <w:spacing w:line="360" w:lineRule="auto"/>
        <w:jc w:val="both"/>
        <w:rPr>
          <w:i/>
          <w:iCs/>
        </w:rPr>
      </w:pPr>
      <w:r>
        <w:t xml:space="preserve">Hein Online, </w:t>
      </w:r>
      <w:r>
        <w:rPr>
          <w:i/>
          <w:iCs/>
        </w:rPr>
        <w:t xml:space="preserve">Offences Against the Person, </w:t>
      </w:r>
      <w:hyperlink r:id="rId7" w:history="1">
        <w:r w:rsidRPr="002349E2">
          <w:rPr>
            <w:rStyle w:val="Hyperlink"/>
            <w:i/>
            <w:iCs/>
          </w:rPr>
          <w:t>https://heinonline.org/HOL/LandingPage?handle=hein.journals/jcriml59&amp;div=22&amp;id=&amp;page=</w:t>
        </w:r>
      </w:hyperlink>
      <w:r>
        <w:rPr>
          <w:i/>
          <w:iCs/>
        </w:rPr>
        <w:t xml:space="preserve"> (</w:t>
      </w:r>
      <w:proofErr w:type="spellStart"/>
      <w:r w:rsidRPr="00E34E6B">
        <w:t>Accessd</w:t>
      </w:r>
      <w:proofErr w:type="spellEnd"/>
      <w:r w:rsidRPr="00E34E6B">
        <w:t xml:space="preserve"> 02/03/2021; 04/03/2021).</w:t>
      </w:r>
      <w:r>
        <w:rPr>
          <w:i/>
          <w:iCs/>
        </w:rPr>
        <w:t xml:space="preserve"> </w:t>
      </w:r>
    </w:p>
    <w:p w14:paraId="451999BC" w14:textId="77777777" w:rsidR="00E34E6B" w:rsidRPr="00E34E6B" w:rsidRDefault="00E34E6B" w:rsidP="00E34E6B">
      <w:pPr>
        <w:pStyle w:val="NoSpacing"/>
        <w:spacing w:line="360" w:lineRule="auto"/>
        <w:jc w:val="both"/>
      </w:pPr>
    </w:p>
    <w:p w14:paraId="2A47DC7A" w14:textId="51E6AE47" w:rsidR="00E34E6B" w:rsidRDefault="00E34E6B" w:rsidP="00E34E6B">
      <w:pPr>
        <w:pStyle w:val="NoSpacing"/>
        <w:spacing w:line="360" w:lineRule="auto"/>
        <w:jc w:val="both"/>
      </w:pPr>
      <w:r>
        <w:t xml:space="preserve">Herring. J, (2018), Criminal Law, Texts and Cases Eighth Edition, Oxford University Press: London. </w:t>
      </w:r>
    </w:p>
    <w:p w14:paraId="28A08128" w14:textId="77777777" w:rsidR="00E34E6B" w:rsidRDefault="00E34E6B" w:rsidP="00E34E6B">
      <w:pPr>
        <w:pStyle w:val="NoSpacing"/>
        <w:spacing w:line="360" w:lineRule="auto"/>
        <w:jc w:val="both"/>
      </w:pPr>
    </w:p>
    <w:p w14:paraId="3087A1E4" w14:textId="77777777" w:rsidR="00E34E6B" w:rsidRDefault="00E34E6B" w:rsidP="00E34E6B">
      <w:pPr>
        <w:pStyle w:val="NoSpacing"/>
        <w:spacing w:line="360" w:lineRule="auto"/>
        <w:jc w:val="both"/>
      </w:pPr>
      <w:r>
        <w:t xml:space="preserve">Keep Calm, Talk of Law, Reforming Offences Against the Person, </w:t>
      </w:r>
      <w:hyperlink r:id="rId8" w:history="1">
        <w:r w:rsidRPr="002349E2">
          <w:rPr>
            <w:rStyle w:val="Hyperlink"/>
          </w:rPr>
          <w:t>http://www.keepcalmtalklaw.co.uk/</w:t>
        </w:r>
        <w:r w:rsidRPr="002349E2">
          <w:rPr>
            <w:rStyle w:val="Hyperlink"/>
          </w:rPr>
          <w:t>o</w:t>
        </w:r>
        <w:r w:rsidRPr="002349E2">
          <w:rPr>
            <w:rStyle w:val="Hyperlink"/>
          </w:rPr>
          <w:t>ff</w:t>
        </w:r>
        <w:r w:rsidRPr="002349E2">
          <w:rPr>
            <w:rStyle w:val="Hyperlink"/>
          </w:rPr>
          <w:t>e</w:t>
        </w:r>
        <w:r w:rsidRPr="002349E2">
          <w:rPr>
            <w:rStyle w:val="Hyperlink"/>
          </w:rPr>
          <w:t>nces-against-the-person-options-for-reform/</w:t>
        </w:r>
      </w:hyperlink>
      <w:r>
        <w:t xml:space="preserve"> (Accessed 04/03/2021; 05/03/2021). </w:t>
      </w:r>
    </w:p>
    <w:p w14:paraId="779EF817" w14:textId="4EA68BE4" w:rsidR="00E34E6B" w:rsidRDefault="00E34E6B" w:rsidP="00E34E6B">
      <w:pPr>
        <w:pStyle w:val="NoSpacing"/>
        <w:spacing w:line="360" w:lineRule="auto"/>
        <w:jc w:val="both"/>
      </w:pPr>
    </w:p>
    <w:p w14:paraId="611DDE51" w14:textId="77777777" w:rsidR="00E34E6B" w:rsidRDefault="00E34E6B" w:rsidP="00E34E6B">
      <w:pPr>
        <w:pStyle w:val="NoSpacing"/>
        <w:spacing w:line="360" w:lineRule="auto"/>
        <w:jc w:val="both"/>
      </w:pPr>
      <w:r>
        <w:t xml:space="preserve">Offences Against the Person Act 1861, </w:t>
      </w:r>
      <w:hyperlink r:id="rId9" w:history="1">
        <w:r w:rsidRPr="002349E2">
          <w:rPr>
            <w:rStyle w:val="Hyperlink"/>
          </w:rPr>
          <w:t>https://www.legislation.gov.uk/ukpga/Vict/24-25/100/section/37</w:t>
        </w:r>
      </w:hyperlink>
      <w:r>
        <w:t xml:space="preserve"> (Accessed 03/03/2021; 04/03/2021; 05/03/2021). </w:t>
      </w:r>
    </w:p>
    <w:p w14:paraId="49F4EC9C" w14:textId="77777777" w:rsidR="00E34E6B" w:rsidRPr="00E34E6B" w:rsidRDefault="00E34E6B" w:rsidP="00E34E6B">
      <w:pPr>
        <w:pStyle w:val="NoSpacing"/>
        <w:spacing w:line="360" w:lineRule="auto"/>
      </w:pPr>
    </w:p>
    <w:p w14:paraId="3BDEB0B1" w14:textId="6A070A03" w:rsidR="00574FAA" w:rsidRDefault="00574FAA" w:rsidP="00574FAA">
      <w:pPr>
        <w:pStyle w:val="NoSpacing"/>
        <w:spacing w:line="360" w:lineRule="auto"/>
        <w:jc w:val="both"/>
      </w:pPr>
      <w:r>
        <w:t xml:space="preserve">The Law Commission, (2014), </w:t>
      </w:r>
      <w:r>
        <w:rPr>
          <w:i/>
          <w:iCs/>
        </w:rPr>
        <w:t>Reform of Offences Against the Person Act – A Scoping Paper</w:t>
      </w:r>
      <w:r>
        <w:t>, Consultation Paper 217: London</w:t>
      </w:r>
      <w:r w:rsidR="00E34E6B">
        <w:t xml:space="preserve">. </w:t>
      </w:r>
    </w:p>
    <w:p w14:paraId="6BD468D9" w14:textId="4EC74EFB" w:rsidR="00574FAA" w:rsidRDefault="00574FAA" w:rsidP="00574FAA">
      <w:pPr>
        <w:pStyle w:val="NoSpacing"/>
        <w:spacing w:line="360" w:lineRule="auto"/>
        <w:jc w:val="both"/>
      </w:pPr>
    </w:p>
    <w:p w14:paraId="77731F36" w14:textId="3F3E9098" w:rsidR="00E34E6B" w:rsidRDefault="00574FAA" w:rsidP="00574FAA">
      <w:pPr>
        <w:pStyle w:val="NoSpacing"/>
        <w:spacing w:line="360" w:lineRule="auto"/>
        <w:jc w:val="both"/>
      </w:pPr>
      <w:r>
        <w:t xml:space="preserve">The Law Commission, (2015), </w:t>
      </w:r>
      <w:r>
        <w:rPr>
          <w:i/>
          <w:iCs/>
        </w:rPr>
        <w:t>Reform of Offences Against the Person Act</w:t>
      </w:r>
      <w:r>
        <w:t>, Law Com Number 361: London</w:t>
      </w:r>
      <w:r w:rsidR="00E34E6B">
        <w:t xml:space="preserve">. </w:t>
      </w:r>
    </w:p>
    <w:p w14:paraId="5E3DF0AE" w14:textId="77777777" w:rsidR="00E34E6B" w:rsidRDefault="00E34E6B" w:rsidP="00574FAA">
      <w:pPr>
        <w:pStyle w:val="NoSpacing"/>
        <w:spacing w:line="360" w:lineRule="auto"/>
        <w:jc w:val="both"/>
      </w:pPr>
    </w:p>
    <w:p w14:paraId="7BF61710" w14:textId="4F145631" w:rsidR="00E34E6B" w:rsidRDefault="00E34E6B" w:rsidP="00574FAA">
      <w:pPr>
        <w:pStyle w:val="NoSpacing"/>
        <w:spacing w:line="360" w:lineRule="auto"/>
        <w:jc w:val="both"/>
      </w:pPr>
      <w:r>
        <w:lastRenderedPageBreak/>
        <w:t xml:space="preserve">The Law Commission, </w:t>
      </w:r>
      <w:r>
        <w:rPr>
          <w:i/>
          <w:iCs/>
        </w:rPr>
        <w:t>Modernising the Law Against Violence</w:t>
      </w:r>
      <w:r>
        <w:t xml:space="preserve">, </w:t>
      </w:r>
      <w:hyperlink r:id="rId10" w:history="1">
        <w:r w:rsidRPr="002349E2">
          <w:rPr>
            <w:rStyle w:val="Hyperlink"/>
          </w:rPr>
          <w:t>https://www.lawcom.gov.uk/offences-against-the-p</w:t>
        </w:r>
        <w:r w:rsidRPr="002349E2">
          <w:rPr>
            <w:rStyle w:val="Hyperlink"/>
          </w:rPr>
          <w:t>e</w:t>
        </w:r>
        <w:r w:rsidRPr="002349E2">
          <w:rPr>
            <w:rStyle w:val="Hyperlink"/>
          </w:rPr>
          <w:t>rson-modernising-the-law-on-violence-2/</w:t>
        </w:r>
      </w:hyperlink>
      <w:r>
        <w:t xml:space="preserve"> (Accessed 03/03/2021; 04/03/2021). </w:t>
      </w:r>
    </w:p>
    <w:p w14:paraId="3F48C7A2" w14:textId="661F66BE" w:rsidR="00E34E6B" w:rsidRDefault="00E34E6B" w:rsidP="00574FAA">
      <w:pPr>
        <w:pStyle w:val="NoSpacing"/>
        <w:spacing w:line="360" w:lineRule="auto"/>
        <w:jc w:val="both"/>
      </w:pPr>
    </w:p>
    <w:p w14:paraId="3813B746" w14:textId="28A8D11E" w:rsidR="00E34E6B" w:rsidRDefault="00E34E6B" w:rsidP="00574FAA">
      <w:pPr>
        <w:pStyle w:val="NoSpacing"/>
        <w:spacing w:line="360" w:lineRule="auto"/>
        <w:jc w:val="both"/>
        <w:rPr>
          <w:i/>
          <w:iCs/>
        </w:rPr>
      </w:pPr>
    </w:p>
    <w:p w14:paraId="6F6B2969" w14:textId="7D20A637" w:rsidR="00E34E6B" w:rsidRDefault="00E34E6B" w:rsidP="00574FAA">
      <w:pPr>
        <w:pStyle w:val="NoSpacing"/>
        <w:spacing w:line="360" w:lineRule="auto"/>
        <w:jc w:val="both"/>
        <w:rPr>
          <w:i/>
          <w:iCs/>
        </w:rPr>
      </w:pPr>
    </w:p>
    <w:p w14:paraId="68957C98" w14:textId="49D9D3B8" w:rsidR="00E34E6B" w:rsidRDefault="00E34E6B" w:rsidP="00574FAA">
      <w:pPr>
        <w:pStyle w:val="NoSpacing"/>
        <w:spacing w:line="360" w:lineRule="auto"/>
        <w:jc w:val="both"/>
        <w:rPr>
          <w:i/>
          <w:iCs/>
        </w:rPr>
      </w:pPr>
    </w:p>
    <w:p w14:paraId="53CFFD85" w14:textId="77777777" w:rsidR="00E34E6B" w:rsidRDefault="00E34E6B" w:rsidP="00574FAA">
      <w:pPr>
        <w:pStyle w:val="NoSpacing"/>
        <w:spacing w:line="360" w:lineRule="auto"/>
        <w:jc w:val="both"/>
        <w:rPr>
          <w:i/>
          <w:iCs/>
        </w:rPr>
      </w:pPr>
    </w:p>
    <w:p w14:paraId="70E7BC83" w14:textId="0537DBAA" w:rsidR="00FD2009" w:rsidRDefault="00FD2009" w:rsidP="003C6BA3">
      <w:pPr>
        <w:pStyle w:val="NoSpacing"/>
        <w:spacing w:line="360" w:lineRule="auto"/>
        <w:jc w:val="both"/>
      </w:pPr>
    </w:p>
    <w:p w14:paraId="4AF2B5CA" w14:textId="77777777" w:rsidR="00FD2009" w:rsidRPr="006E2F67" w:rsidRDefault="00FD2009" w:rsidP="003C6BA3">
      <w:pPr>
        <w:pStyle w:val="NoSpacing"/>
        <w:spacing w:line="360" w:lineRule="auto"/>
        <w:jc w:val="both"/>
      </w:pPr>
    </w:p>
    <w:sectPr w:rsidR="00FD2009" w:rsidRPr="006E2F67">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2890E6" w14:textId="77777777" w:rsidR="00E92714" w:rsidRDefault="00E92714" w:rsidP="00106024">
      <w:r>
        <w:separator/>
      </w:r>
    </w:p>
  </w:endnote>
  <w:endnote w:type="continuationSeparator" w:id="0">
    <w:p w14:paraId="67589BE5" w14:textId="77777777" w:rsidR="00E92714" w:rsidRDefault="00E92714" w:rsidP="001060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C89C74" w14:textId="77777777" w:rsidR="00E92714" w:rsidRDefault="00E92714" w:rsidP="00106024">
      <w:r>
        <w:separator/>
      </w:r>
    </w:p>
  </w:footnote>
  <w:footnote w:type="continuationSeparator" w:id="0">
    <w:p w14:paraId="5EDBD017" w14:textId="77777777" w:rsidR="00E92714" w:rsidRDefault="00E92714" w:rsidP="001060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B12692" w14:textId="30073C32" w:rsidR="00106024" w:rsidRDefault="00106024" w:rsidP="00106024">
    <w:pPr>
      <w:pStyle w:val="Header"/>
      <w:jc w:val="center"/>
      <w:rPr>
        <w:b/>
        <w:bCs/>
      </w:rPr>
    </w:pPr>
    <w:r>
      <w:rPr>
        <w:b/>
        <w:bCs/>
      </w:rPr>
      <w:t>University of Wales Trinity Saint David – Swansea Business Campus</w:t>
    </w:r>
  </w:p>
  <w:p w14:paraId="209D213C" w14:textId="423ED429" w:rsidR="00106024" w:rsidRDefault="00106024" w:rsidP="00106024">
    <w:pPr>
      <w:pStyle w:val="Header"/>
      <w:jc w:val="center"/>
    </w:pPr>
    <w:r>
      <w:t>Law and Legal Practice (BA) – Criminal Law BMLW400</w:t>
    </w:r>
    <w:r w:rsidR="00720D5F">
      <w:t>2</w:t>
    </w:r>
    <w:r>
      <w:t xml:space="preserve"> – Laura Knight</w:t>
    </w:r>
  </w:p>
  <w:p w14:paraId="65C7383E" w14:textId="2C7CCA41" w:rsidR="00106024" w:rsidRPr="00106024" w:rsidRDefault="00106024" w:rsidP="00106024">
    <w:pPr>
      <w:pStyle w:val="Header"/>
      <w:jc w:val="center"/>
    </w:pPr>
    <w:r>
      <w:t xml:space="preserve">Ryan Green – 2017590 – 2017590@student.uwtsd.ac.uk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024"/>
    <w:rsid w:val="00062F52"/>
    <w:rsid w:val="000C6687"/>
    <w:rsid w:val="00106024"/>
    <w:rsid w:val="001339A4"/>
    <w:rsid w:val="0029742A"/>
    <w:rsid w:val="00330D33"/>
    <w:rsid w:val="003B1EA0"/>
    <w:rsid w:val="003C6BA3"/>
    <w:rsid w:val="00574FAA"/>
    <w:rsid w:val="0062105C"/>
    <w:rsid w:val="00621484"/>
    <w:rsid w:val="00646670"/>
    <w:rsid w:val="006508D2"/>
    <w:rsid w:val="006A0F91"/>
    <w:rsid w:val="006E2F67"/>
    <w:rsid w:val="00720D5F"/>
    <w:rsid w:val="00761924"/>
    <w:rsid w:val="00784AC3"/>
    <w:rsid w:val="007F428A"/>
    <w:rsid w:val="00891A33"/>
    <w:rsid w:val="008C16E5"/>
    <w:rsid w:val="00943C81"/>
    <w:rsid w:val="00A751F4"/>
    <w:rsid w:val="00BC1E8E"/>
    <w:rsid w:val="00BE4693"/>
    <w:rsid w:val="00BF77E0"/>
    <w:rsid w:val="00E34E6B"/>
    <w:rsid w:val="00E92714"/>
    <w:rsid w:val="00FB0B6D"/>
    <w:rsid w:val="00FD1709"/>
    <w:rsid w:val="00FD2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BD9E9B"/>
  <w15:chartTrackingRefBased/>
  <w15:docId w15:val="{84D75277-F3F0-CC4E-8111-8B9F42A41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6024"/>
    <w:pPr>
      <w:tabs>
        <w:tab w:val="center" w:pos="4513"/>
        <w:tab w:val="right" w:pos="9026"/>
      </w:tabs>
    </w:pPr>
  </w:style>
  <w:style w:type="character" w:customStyle="1" w:styleId="HeaderChar">
    <w:name w:val="Header Char"/>
    <w:basedOn w:val="DefaultParagraphFont"/>
    <w:link w:val="Header"/>
    <w:uiPriority w:val="99"/>
    <w:rsid w:val="00106024"/>
  </w:style>
  <w:style w:type="paragraph" w:styleId="Footer">
    <w:name w:val="footer"/>
    <w:basedOn w:val="Normal"/>
    <w:link w:val="FooterChar"/>
    <w:uiPriority w:val="99"/>
    <w:unhideWhenUsed/>
    <w:rsid w:val="00106024"/>
    <w:pPr>
      <w:tabs>
        <w:tab w:val="center" w:pos="4513"/>
        <w:tab w:val="right" w:pos="9026"/>
      </w:tabs>
    </w:pPr>
  </w:style>
  <w:style w:type="character" w:customStyle="1" w:styleId="FooterChar">
    <w:name w:val="Footer Char"/>
    <w:basedOn w:val="DefaultParagraphFont"/>
    <w:link w:val="Footer"/>
    <w:uiPriority w:val="99"/>
    <w:rsid w:val="00106024"/>
  </w:style>
  <w:style w:type="character" w:styleId="Hyperlink">
    <w:name w:val="Hyperlink"/>
    <w:basedOn w:val="DefaultParagraphFont"/>
    <w:uiPriority w:val="99"/>
    <w:unhideWhenUsed/>
    <w:rsid w:val="00106024"/>
    <w:rPr>
      <w:color w:val="0563C1" w:themeColor="hyperlink"/>
      <w:u w:val="single"/>
    </w:rPr>
  </w:style>
  <w:style w:type="character" w:styleId="UnresolvedMention">
    <w:name w:val="Unresolved Mention"/>
    <w:basedOn w:val="DefaultParagraphFont"/>
    <w:uiPriority w:val="99"/>
    <w:semiHidden/>
    <w:unhideWhenUsed/>
    <w:rsid w:val="00106024"/>
    <w:rPr>
      <w:color w:val="605E5C"/>
      <w:shd w:val="clear" w:color="auto" w:fill="E1DFDD"/>
    </w:rPr>
  </w:style>
  <w:style w:type="paragraph" w:styleId="NoSpacing">
    <w:name w:val="No Spacing"/>
    <w:uiPriority w:val="1"/>
    <w:qFormat/>
    <w:rsid w:val="00106024"/>
  </w:style>
  <w:style w:type="character" w:styleId="FollowedHyperlink">
    <w:name w:val="FollowedHyperlink"/>
    <w:basedOn w:val="DefaultParagraphFont"/>
    <w:uiPriority w:val="99"/>
    <w:semiHidden/>
    <w:unhideWhenUsed/>
    <w:rsid w:val="00E34E6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1803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keepcalmtalklaw.co.uk/offences-against-the-person-options-for-refor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heinonline.org/HOL/LandingPage?handle=hein.journals/jcriml59&amp;div=22&amp;id=&amp;pag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e-lawresources.co.uk/Non-Fatal-Offences-Against-the-Person---Criticisms.php"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lawcom.gov.uk/offences-against-the-person-modernising-the-law-on-violence-2/" TargetMode="External"/><Relationship Id="rId4" Type="http://schemas.openxmlformats.org/officeDocument/2006/relationships/footnotes" Target="footnotes.xml"/><Relationship Id="rId9" Type="http://schemas.openxmlformats.org/officeDocument/2006/relationships/hyperlink" Target="https://www.legislation.gov.uk/ukpga/Vict/24-25/100/section/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2243</Words>
  <Characters>10520</Characters>
  <Application>Microsoft Office Word</Application>
  <DocSecurity>0</DocSecurity>
  <Lines>166</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John Green (2017590)</dc:creator>
  <cp:keywords/>
  <dc:description/>
  <cp:lastModifiedBy>Ryan Green</cp:lastModifiedBy>
  <cp:revision>2</cp:revision>
  <dcterms:created xsi:type="dcterms:W3CDTF">2021-03-05T23:54:00Z</dcterms:created>
  <dcterms:modified xsi:type="dcterms:W3CDTF">2021-03-05T23:54:00Z</dcterms:modified>
</cp:coreProperties>
</file>