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2969D" w14:textId="77777777" w:rsidR="00B268FC" w:rsidRPr="00A2634C" w:rsidRDefault="00B268FC" w:rsidP="00A2634C">
      <w:pPr>
        <w:rPr>
          <w:rFonts w:ascii="Arial" w:hAnsi="Arial" w:cs="Arial"/>
          <w:b/>
          <w:bCs/>
          <w:sz w:val="24"/>
          <w:szCs w:val="24"/>
          <w:u w:val="single"/>
        </w:rPr>
      </w:pPr>
      <w:bookmarkStart w:id="0" w:name="_Hlk206165187"/>
      <w:bookmarkStart w:id="1" w:name="_Hlk175747663"/>
      <w:r w:rsidRPr="00A2634C">
        <w:rPr>
          <w:rFonts w:ascii="Arial" w:hAnsi="Arial" w:cs="Arial"/>
          <w:b/>
          <w:bCs/>
          <w:sz w:val="24"/>
          <w:szCs w:val="24"/>
          <w:u w:val="single"/>
        </w:rPr>
        <w:t>1.1 Explain the principles of reward and its importance to organisational culture and performance management. 849</w:t>
      </w:r>
    </w:p>
    <w:p w14:paraId="7DD8C5D8" w14:textId="77777777" w:rsidR="00B268FC" w:rsidRPr="00A2634C" w:rsidRDefault="00B268FC" w:rsidP="00A2634C">
      <w:pPr>
        <w:ind w:left="-142"/>
        <w:rPr>
          <w:rFonts w:ascii="Arial" w:hAnsi="Arial" w:cs="Arial"/>
          <w:strike/>
          <w:sz w:val="24"/>
          <w:szCs w:val="24"/>
        </w:rPr>
      </w:pPr>
      <w:bookmarkStart w:id="2" w:name="_Hlk205972679"/>
      <w:proofErr w:type="gramStart"/>
      <w:r w:rsidRPr="00A2634C">
        <w:rPr>
          <w:rFonts w:ascii="Arial" w:hAnsi="Arial" w:cs="Arial"/>
          <w:strike/>
          <w:sz w:val="24"/>
          <w:szCs w:val="24"/>
        </w:rPr>
        <w:t>Schein (1992),</w:t>
      </w:r>
      <w:proofErr w:type="gramEnd"/>
      <w:r w:rsidRPr="00A2634C">
        <w:rPr>
          <w:rFonts w:ascii="Arial" w:hAnsi="Arial" w:cs="Arial"/>
          <w:strike/>
          <w:sz w:val="24"/>
          <w:szCs w:val="24"/>
        </w:rPr>
        <w:t xml:space="preserve"> </w:t>
      </w:r>
      <w:bookmarkEnd w:id="2"/>
      <w:r w:rsidRPr="00A2634C">
        <w:rPr>
          <w:rFonts w:ascii="Arial" w:hAnsi="Arial" w:cs="Arial"/>
          <w:strike/>
          <w:sz w:val="24"/>
          <w:szCs w:val="24"/>
        </w:rPr>
        <w:t>describes organisational culture as a set of shared assumptions, values, and beliefs that govern how people behave in organisations. These shared values have a strong influence on the people in the organisation and dictate how they dress, act, and perform their jobs.</w:t>
      </w:r>
    </w:p>
    <w:p w14:paraId="002AF43F"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Armstrong (2006) defines performance management as a</w:t>
      </w:r>
      <w:r w:rsidRPr="00A2634C">
        <w:rPr>
          <w:rFonts w:ascii="Arial" w:hAnsi="Arial" w:cs="Arial"/>
          <w:i/>
          <w:iCs/>
          <w:strike/>
          <w:sz w:val="24"/>
          <w:szCs w:val="24"/>
        </w:rPr>
        <w:t xml:space="preserve"> </w:t>
      </w:r>
      <w:r w:rsidRPr="00A2634C">
        <w:rPr>
          <w:rFonts w:ascii="Arial" w:hAnsi="Arial" w:cs="Arial"/>
          <w:strike/>
          <w:sz w:val="24"/>
          <w:szCs w:val="24"/>
        </w:rPr>
        <w:t>strategic and integrated approach to delivering sustained success to organizations by improving the performance of the people who work in them and by developing the capabilities of teams and individual contributors.</w:t>
      </w:r>
    </w:p>
    <w:p w14:paraId="0AE8C345"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According to Ghoshal and Bartlett (1995), the overall aim of reward management should be to ‘add value to people’. More specifically, the aims are to:</w:t>
      </w:r>
    </w:p>
    <w:p w14:paraId="1E97F241"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 xml:space="preserve"> • support the achievement of business goals through high performance.</w:t>
      </w:r>
    </w:p>
    <w:p w14:paraId="463574B4"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 xml:space="preserve"> • develop and support the organization’s culture.</w:t>
      </w:r>
    </w:p>
    <w:p w14:paraId="0BCB0AD4"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 xml:space="preserve"> • define what is important in terms of behaviours and outcomes.</w:t>
      </w:r>
    </w:p>
    <w:p w14:paraId="076B1254"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 reward people according to the value they create.</w:t>
      </w:r>
    </w:p>
    <w:p w14:paraId="31AAD38B"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 xml:space="preserve"> • reward people according to what the organization values.</w:t>
      </w:r>
    </w:p>
    <w:p w14:paraId="018249BA"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 xml:space="preserve"> • align reward practices with employee needs.</w:t>
      </w:r>
    </w:p>
    <w:p w14:paraId="7E5309F5"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 xml:space="preserve"> • help to attract and retain the high-quality people the organization needs.</w:t>
      </w:r>
    </w:p>
    <w:p w14:paraId="52B1EE58"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 xml:space="preserve"> • win the engagement of people.</w:t>
      </w:r>
      <w:r w:rsidRPr="00A2634C">
        <w:rPr>
          <w:rFonts w:ascii="Arial" w:hAnsi="Arial" w:cs="Arial"/>
          <w:strike/>
          <w:sz w:val="24"/>
          <w:szCs w:val="24"/>
        </w:rPr>
        <w:br/>
      </w:r>
      <w:r w:rsidRPr="00A2634C">
        <w:rPr>
          <w:rFonts w:ascii="Arial" w:hAnsi="Arial" w:cs="Arial"/>
          <w:strike/>
          <w:sz w:val="24"/>
          <w:szCs w:val="24"/>
        </w:rPr>
        <w:br/>
        <w:t xml:space="preserve">When deciding on our reward strategy It is imperative that we follow the following principles of reward: </w:t>
      </w:r>
    </w:p>
    <w:p w14:paraId="0F119265" w14:textId="77777777" w:rsidR="00B268FC" w:rsidRPr="00A2634C" w:rsidRDefault="00B268FC" w:rsidP="00A2634C">
      <w:pPr>
        <w:pStyle w:val="ListParagraph"/>
        <w:numPr>
          <w:ilvl w:val="0"/>
          <w:numId w:val="1"/>
        </w:numPr>
        <w:spacing w:before="120" w:after="200" w:line="264" w:lineRule="auto"/>
        <w:ind w:left="-142" w:firstLine="426"/>
        <w:rPr>
          <w:rFonts w:ascii="Arial" w:hAnsi="Arial" w:cs="Arial"/>
          <w:strike/>
          <w:sz w:val="24"/>
          <w:szCs w:val="24"/>
        </w:rPr>
      </w:pPr>
      <w:r w:rsidRPr="00A2634C">
        <w:rPr>
          <w:rFonts w:ascii="Arial" w:hAnsi="Arial" w:cs="Arial"/>
          <w:strike/>
          <w:sz w:val="24"/>
          <w:szCs w:val="24"/>
        </w:rPr>
        <w:t>Fairness</w:t>
      </w:r>
    </w:p>
    <w:p w14:paraId="3029D9CD" w14:textId="77777777" w:rsidR="00B268FC" w:rsidRPr="00A2634C" w:rsidRDefault="00B268FC" w:rsidP="00A2634C">
      <w:pPr>
        <w:pStyle w:val="ListParagraph"/>
        <w:numPr>
          <w:ilvl w:val="0"/>
          <w:numId w:val="1"/>
        </w:numPr>
        <w:spacing w:before="120" w:after="200" w:line="264" w:lineRule="auto"/>
        <w:ind w:left="-142" w:firstLine="426"/>
        <w:rPr>
          <w:rFonts w:ascii="Arial" w:hAnsi="Arial" w:cs="Arial"/>
          <w:strike/>
          <w:sz w:val="24"/>
          <w:szCs w:val="24"/>
        </w:rPr>
      </w:pPr>
      <w:r w:rsidRPr="00A2634C">
        <w:rPr>
          <w:rFonts w:ascii="Arial" w:hAnsi="Arial" w:cs="Arial"/>
          <w:strike/>
          <w:sz w:val="24"/>
          <w:szCs w:val="24"/>
        </w:rPr>
        <w:t>Flexibility</w:t>
      </w:r>
    </w:p>
    <w:p w14:paraId="50954E49" w14:textId="77777777" w:rsidR="00B268FC" w:rsidRPr="00A2634C" w:rsidRDefault="00B268FC" w:rsidP="00A2634C">
      <w:pPr>
        <w:pStyle w:val="ListParagraph"/>
        <w:numPr>
          <w:ilvl w:val="0"/>
          <w:numId w:val="1"/>
        </w:numPr>
        <w:spacing w:before="120" w:after="200" w:line="264" w:lineRule="auto"/>
        <w:ind w:left="-142" w:firstLine="426"/>
        <w:rPr>
          <w:rFonts w:ascii="Arial" w:hAnsi="Arial" w:cs="Arial"/>
          <w:strike/>
          <w:sz w:val="24"/>
          <w:szCs w:val="24"/>
        </w:rPr>
      </w:pPr>
      <w:r w:rsidRPr="00A2634C">
        <w:rPr>
          <w:rFonts w:ascii="Arial" w:hAnsi="Arial" w:cs="Arial"/>
          <w:strike/>
          <w:sz w:val="24"/>
          <w:szCs w:val="24"/>
        </w:rPr>
        <w:t>Transparency</w:t>
      </w:r>
    </w:p>
    <w:p w14:paraId="0AE924EF" w14:textId="3900EFCA" w:rsidR="00B268FC" w:rsidRPr="00A2634C" w:rsidRDefault="00B268FC" w:rsidP="00A2634C">
      <w:pPr>
        <w:ind w:left="-142"/>
        <w:rPr>
          <w:rFonts w:ascii="Arial" w:hAnsi="Arial" w:cs="Arial"/>
          <w:color w:val="EE0000"/>
          <w:sz w:val="24"/>
          <w:szCs w:val="24"/>
        </w:rPr>
      </w:pPr>
      <w:r w:rsidRPr="00A2634C">
        <w:rPr>
          <w:rFonts w:ascii="Arial" w:hAnsi="Arial" w:cs="Arial"/>
          <w:color w:val="EE0000"/>
          <w:sz w:val="24"/>
          <w:szCs w:val="24"/>
        </w:rPr>
        <w:t xml:space="preserve">According to Ghoshal and Bartlett (1995), the fundamental purpose of reward management is to add value to people within the organisation. This involves not only supporting high performance and aligning employee behaviours with business </w:t>
      </w:r>
      <w:r w:rsidRPr="00A2634C">
        <w:rPr>
          <w:rFonts w:ascii="Arial" w:hAnsi="Arial" w:cs="Arial"/>
          <w:color w:val="EE0000"/>
          <w:sz w:val="24"/>
          <w:szCs w:val="24"/>
        </w:rPr>
        <w:t>objectives but</w:t>
      </w:r>
      <w:r w:rsidRPr="00A2634C">
        <w:rPr>
          <w:rFonts w:ascii="Arial" w:hAnsi="Arial" w:cs="Arial"/>
          <w:color w:val="EE0000"/>
          <w:sz w:val="24"/>
          <w:szCs w:val="24"/>
        </w:rPr>
        <w:t xml:space="preserve"> also reinforcing the organisational culture and recognising contributions that reflect what the company values. For EcoInsulate UK, it is essential that any reward strategy adopted reflects these principles by promoting fairness, flexibility, and transparency. A </w:t>
      </w:r>
      <w:r w:rsidRPr="00A2634C">
        <w:rPr>
          <w:rFonts w:ascii="Arial" w:hAnsi="Arial" w:cs="Arial"/>
          <w:color w:val="EE0000"/>
          <w:sz w:val="24"/>
          <w:szCs w:val="24"/>
        </w:rPr>
        <w:t>well-designed</w:t>
      </w:r>
      <w:r w:rsidRPr="00A2634C">
        <w:rPr>
          <w:rFonts w:ascii="Arial" w:hAnsi="Arial" w:cs="Arial"/>
          <w:color w:val="EE0000"/>
          <w:sz w:val="24"/>
          <w:szCs w:val="24"/>
        </w:rPr>
        <w:t xml:space="preserve"> reward system should motivate employees by linking their efforts to meaningful outcomes, support talent attraction and retention, and foster engagement across all levels of the organisation. By aligning reward practices with both employee needs and strategic goals, EcoInsulate can create a high-performance environment that encourages continuous development and innovation.</w:t>
      </w:r>
    </w:p>
    <w:p w14:paraId="2D3A9335" w14:textId="77777777" w:rsidR="00B268FC" w:rsidRPr="00A2634C" w:rsidRDefault="00B268FC" w:rsidP="00A2634C">
      <w:pPr>
        <w:ind w:left="-142"/>
        <w:rPr>
          <w:rFonts w:ascii="Arial" w:hAnsi="Arial" w:cs="Arial"/>
          <w:b/>
          <w:bCs/>
          <w:sz w:val="24"/>
          <w:szCs w:val="24"/>
        </w:rPr>
      </w:pPr>
    </w:p>
    <w:p w14:paraId="3B2E1C70" w14:textId="77777777" w:rsidR="00B268FC" w:rsidRPr="00A2634C" w:rsidRDefault="00B268FC" w:rsidP="00A2634C">
      <w:pPr>
        <w:ind w:left="-142"/>
        <w:rPr>
          <w:rFonts w:ascii="Arial" w:hAnsi="Arial" w:cs="Arial"/>
          <w:b/>
          <w:bCs/>
          <w:sz w:val="24"/>
          <w:szCs w:val="24"/>
        </w:rPr>
      </w:pPr>
    </w:p>
    <w:p w14:paraId="7305D9C3" w14:textId="77777777" w:rsidR="00B268FC" w:rsidRPr="00A2634C" w:rsidRDefault="00B268FC" w:rsidP="00A2634C">
      <w:pPr>
        <w:ind w:left="-142"/>
        <w:rPr>
          <w:rFonts w:ascii="Arial" w:hAnsi="Arial" w:cs="Arial"/>
          <w:b/>
          <w:bCs/>
          <w:sz w:val="24"/>
          <w:szCs w:val="24"/>
        </w:rPr>
      </w:pPr>
      <w:r w:rsidRPr="00A2634C">
        <w:rPr>
          <w:rFonts w:ascii="Arial" w:hAnsi="Arial" w:cs="Arial"/>
          <w:b/>
          <w:bCs/>
          <w:sz w:val="24"/>
          <w:szCs w:val="24"/>
        </w:rPr>
        <w:t>Fairness</w:t>
      </w:r>
    </w:p>
    <w:p w14:paraId="42800F51"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 xml:space="preserve">Armstrong (2010) explains, A fair reward system is one that operates in alignment with the principles of distributive and procedural justice. Ceplenski (2013) explains that the idea of fairness within an organisation also determines if an employee will make an extra effort to reach organisational goals or even their own personal objectives. This further supports the point employees’ perception of fair treatment is a key driver of retention, engagement and performance. </w:t>
      </w:r>
    </w:p>
    <w:p w14:paraId="45D86B78"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 xml:space="preserve">While fairness is a fundamental principle in reward management, it does not necessarily mean that all employees should receive identical rewards. For example, it is generally accepted that managers may receive higher compensation than entry-level staff due to the greater scope and impact of their responsibilities on organisational outcomes. However, this assumes that employees will automatically understand and accept such distinctions, which may not always be the case. </w:t>
      </w:r>
    </w:p>
    <w:p w14:paraId="1A9FBAA8"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 xml:space="preserve">Furthermore, interpreting what constitutes ‘fairness’ can vary significantly from one individual to another. The subjective nature of fairness, when applied to reward strategies, may lead to employee dissatisfaction if personal expectations differ from organisational decisions. </w:t>
      </w:r>
      <w:r w:rsidRPr="00A2634C">
        <w:rPr>
          <w:rFonts w:ascii="Arial" w:hAnsi="Arial" w:cs="Arial"/>
          <w:color w:val="EE0000"/>
          <w:sz w:val="24"/>
          <w:szCs w:val="24"/>
        </w:rPr>
        <w:t>It is clear from the concerns in EcoInsulate UK the fairness of the current incentives only being available to senior management are leading to unsatisfaction and a reduction in morale and motivation.</w:t>
      </w:r>
      <w:r w:rsidRPr="00A2634C">
        <w:rPr>
          <w:rFonts w:ascii="Arial" w:hAnsi="Arial" w:cs="Arial"/>
          <w:sz w:val="24"/>
          <w:szCs w:val="24"/>
        </w:rPr>
        <w:t xml:space="preserve"> </w:t>
      </w:r>
      <w:r w:rsidRPr="00A2634C">
        <w:rPr>
          <w:rFonts w:ascii="Arial" w:hAnsi="Arial" w:cs="Arial"/>
          <w:strike/>
          <w:sz w:val="24"/>
          <w:szCs w:val="24"/>
        </w:rPr>
        <w:t>This also conforms to the ‘felt-fair’ principle formulated by Eliot Jaques (1961), which explains that pay systems will be fair if they are ‘felt’ to be fair.</w:t>
      </w:r>
    </w:p>
    <w:p w14:paraId="7CC86D42" w14:textId="77777777" w:rsidR="00B268FC" w:rsidRPr="00A2634C" w:rsidRDefault="00B268FC" w:rsidP="00A2634C">
      <w:pPr>
        <w:ind w:left="-142"/>
        <w:rPr>
          <w:rFonts w:ascii="Arial" w:hAnsi="Arial" w:cs="Arial"/>
          <w:b/>
          <w:bCs/>
          <w:sz w:val="24"/>
          <w:szCs w:val="24"/>
        </w:rPr>
      </w:pPr>
      <w:r w:rsidRPr="00A2634C">
        <w:rPr>
          <w:rFonts w:ascii="Arial" w:hAnsi="Arial" w:cs="Arial"/>
          <w:b/>
          <w:bCs/>
          <w:sz w:val="24"/>
          <w:szCs w:val="24"/>
        </w:rPr>
        <w:t>Flexibility</w:t>
      </w:r>
    </w:p>
    <w:p w14:paraId="30147FF4"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 xml:space="preserve">Reward systems should be adaptable to reflect the evolving needs and expectations of employees. As Pierce et al. (2003) emphasised, effective reward strategies are dynamic and continuously refined to maintain employee engagement. By aligning reward structures with current workforce trends and priorities, organisations demonstrate responsiveness and a commitment to employee well-being. </w:t>
      </w:r>
      <w:proofErr w:type="spellStart"/>
      <w:r w:rsidRPr="00A2634C">
        <w:rPr>
          <w:rFonts w:ascii="Arial" w:hAnsi="Arial" w:cs="Arial"/>
          <w:strike/>
          <w:sz w:val="24"/>
          <w:szCs w:val="24"/>
        </w:rPr>
        <w:t>Cavrenne</w:t>
      </w:r>
      <w:proofErr w:type="spellEnd"/>
      <w:r w:rsidRPr="00A2634C">
        <w:rPr>
          <w:rFonts w:ascii="Arial" w:hAnsi="Arial" w:cs="Arial"/>
          <w:strike/>
          <w:sz w:val="24"/>
          <w:szCs w:val="24"/>
        </w:rPr>
        <w:t xml:space="preserve"> (2022), highlights that actively listening to employees and translating their feedback into meaningful rewards fosters trust and reinforces a culture of recognition</w:t>
      </w:r>
      <w:r w:rsidRPr="00A2634C">
        <w:rPr>
          <w:rFonts w:ascii="Arial" w:hAnsi="Arial" w:cs="Arial"/>
          <w:sz w:val="24"/>
          <w:szCs w:val="24"/>
        </w:rPr>
        <w:t xml:space="preserve">. </w:t>
      </w:r>
      <w:r w:rsidRPr="00A2634C">
        <w:rPr>
          <w:rFonts w:ascii="Arial" w:hAnsi="Arial" w:cs="Arial"/>
          <w:color w:val="EE0000"/>
          <w:sz w:val="24"/>
          <w:szCs w:val="24"/>
        </w:rPr>
        <w:t xml:space="preserve">For EcoInsulate UK, adopting a flexible approach to rewards could be instrumental in addressing current challenges such as high turnover and limited engagement. By offering a mix of financial incentives, skill-based pay, and non-monetary recognition, the company can better accommodate individual preferences and career aspirations. </w:t>
      </w:r>
      <w:r w:rsidRPr="00A2634C">
        <w:rPr>
          <w:rFonts w:ascii="Arial" w:hAnsi="Arial" w:cs="Arial"/>
          <w:sz w:val="24"/>
          <w:szCs w:val="24"/>
        </w:rPr>
        <w:t>This approach encourages employees to align with organisational goals, as individuals are generally driven by personal needs that seek fulfilment (Ngwa et al., 2019). Consequently, a responsive reward system can enhance motivation, performance, and contribute to a more cohesive and positive working environment.</w:t>
      </w:r>
    </w:p>
    <w:p w14:paraId="1D7D7A9A" w14:textId="77777777" w:rsidR="00B268FC" w:rsidRPr="00A2634C" w:rsidRDefault="00B268FC" w:rsidP="00A2634C">
      <w:pPr>
        <w:ind w:left="-142"/>
        <w:rPr>
          <w:rFonts w:ascii="Arial" w:hAnsi="Arial" w:cs="Arial"/>
          <w:strike/>
          <w:color w:val="161412"/>
          <w:sz w:val="24"/>
          <w:szCs w:val="24"/>
          <w:shd w:val="clear" w:color="auto" w:fill="FFFFFF"/>
        </w:rPr>
      </w:pPr>
      <w:r w:rsidRPr="00A2634C">
        <w:rPr>
          <w:rFonts w:ascii="Arial" w:hAnsi="Arial" w:cs="Arial"/>
          <w:strike/>
          <w:color w:val="161412"/>
          <w:sz w:val="24"/>
          <w:szCs w:val="24"/>
          <w:shd w:val="clear" w:color="auto" w:fill="FFFFFF"/>
        </w:rPr>
        <w:t xml:space="preserve">However, implementing flexible reward systems can present significant challenges and may inadvertently undermine other core principles of reward management. Employees might perceive frequent changes to reward criteria as inconsistent or unfair, leading to disengagement and frustration. As Ceplenski (2013) suggests, fairness does not always equate to equality, but the rationale behind the changes </w:t>
      </w:r>
      <w:r w:rsidRPr="00A2634C">
        <w:rPr>
          <w:rFonts w:ascii="Arial" w:hAnsi="Arial" w:cs="Arial"/>
          <w:strike/>
          <w:color w:val="161412"/>
          <w:sz w:val="24"/>
          <w:szCs w:val="24"/>
          <w:shd w:val="clear" w:color="auto" w:fill="FFFFFF"/>
        </w:rPr>
        <w:lastRenderedPageBreak/>
        <w:t>must be clearly understood. Additionally, constantly redefining performance expectations complicates performance management processes and may result in increased administrative and financial costs.</w:t>
      </w:r>
    </w:p>
    <w:p w14:paraId="71D519F1" w14:textId="77777777" w:rsidR="00B268FC" w:rsidRPr="00A2634C" w:rsidRDefault="00B268FC" w:rsidP="00A2634C">
      <w:pPr>
        <w:ind w:left="-142"/>
        <w:rPr>
          <w:rFonts w:ascii="Arial" w:hAnsi="Arial" w:cs="Arial"/>
          <w:color w:val="161412"/>
          <w:sz w:val="24"/>
          <w:szCs w:val="24"/>
          <w:shd w:val="clear" w:color="auto" w:fill="FFFFFF"/>
        </w:rPr>
      </w:pPr>
    </w:p>
    <w:p w14:paraId="17513501" w14:textId="77777777" w:rsidR="00B268FC" w:rsidRPr="00A2634C" w:rsidRDefault="00B268FC" w:rsidP="00A2634C">
      <w:pPr>
        <w:ind w:left="-142"/>
        <w:rPr>
          <w:rFonts w:ascii="Arial" w:hAnsi="Arial" w:cs="Arial"/>
          <w:b/>
          <w:bCs/>
          <w:sz w:val="24"/>
          <w:szCs w:val="24"/>
        </w:rPr>
      </w:pPr>
      <w:r w:rsidRPr="00A2634C">
        <w:rPr>
          <w:rFonts w:ascii="Arial" w:hAnsi="Arial" w:cs="Arial"/>
          <w:b/>
          <w:bCs/>
          <w:sz w:val="24"/>
          <w:szCs w:val="24"/>
        </w:rPr>
        <w:t>Transparency</w:t>
      </w:r>
    </w:p>
    <w:p w14:paraId="216B23FC" w14:textId="36216353" w:rsidR="00B268FC" w:rsidRPr="00A2634C" w:rsidRDefault="00B268FC" w:rsidP="00A2634C">
      <w:pPr>
        <w:ind w:left="-142"/>
        <w:rPr>
          <w:rFonts w:ascii="Arial" w:hAnsi="Arial" w:cs="Arial"/>
          <w:color w:val="EE0000"/>
          <w:sz w:val="24"/>
          <w:szCs w:val="24"/>
        </w:rPr>
      </w:pPr>
      <w:r w:rsidRPr="00A2634C">
        <w:rPr>
          <w:rFonts w:ascii="Arial" w:hAnsi="Arial" w:cs="Arial"/>
          <w:sz w:val="24"/>
          <w:szCs w:val="24"/>
        </w:rPr>
        <w:t>Armstrong explains (2010) ‘transparency exists when people understand how reward process’s function and how they are affected by them’. O’Neil (2017) suggests that transparency in reward systems enhances employee engagement and trust, which in turn contributes to increased productivity and job satisfaction. A transparent workplace encourages open dialogue between managers and employees, fostering honest discussions around goals, expectations, and performance. This clarity helps reduce ambiguity and dispels perceptions of unfairness. Moreover, transparency is a straightforward principle to implement; organisations can reinforce it by consistently applying clear standards across the workforce, ensuring all employees are treated according to the same criteria.</w:t>
      </w:r>
      <w:r w:rsidRPr="00A2634C">
        <w:rPr>
          <w:rFonts w:ascii="Arial" w:hAnsi="Arial" w:cs="Arial"/>
          <w:color w:val="EE0000"/>
          <w:sz w:val="24"/>
          <w:szCs w:val="24"/>
        </w:rPr>
        <w:t xml:space="preserve"> At EcoInsulate UK, the absence of clearly defined reward policies makes it challenging for employees to understand how their performance is linked to potential incentives. This lack of transparency can undermine motivation and engagement, increasing the risk of losing valuable talent to competitors who offer more structured and predictable reward systems. Establishing clear and consistent reward frameworks is essential to fostering a performance-driven culture and retaining skilled employees</w:t>
      </w:r>
      <w:r w:rsidR="00A2634C" w:rsidRPr="00A2634C">
        <w:rPr>
          <w:rFonts w:ascii="Arial" w:hAnsi="Arial" w:cs="Arial"/>
          <w:color w:val="EE0000"/>
          <w:sz w:val="24"/>
          <w:szCs w:val="24"/>
        </w:rPr>
        <w:t>.</w:t>
      </w:r>
      <w:r w:rsidRPr="00A2634C">
        <w:rPr>
          <w:rFonts w:ascii="Arial" w:hAnsi="Arial" w:cs="Arial"/>
          <w:color w:val="EE0000"/>
          <w:sz w:val="24"/>
          <w:szCs w:val="24"/>
        </w:rPr>
        <w:t xml:space="preserve"> </w:t>
      </w:r>
      <w:r w:rsidRPr="00A2634C">
        <w:rPr>
          <w:rFonts w:ascii="Arial" w:hAnsi="Arial" w:cs="Arial"/>
          <w:sz w:val="24"/>
          <w:szCs w:val="24"/>
        </w:rPr>
        <w:t>This aligns with Rahman (2023) explaining that organisations with high transparency, report profit margins 21% higher than average and lower turnover.</w:t>
      </w:r>
    </w:p>
    <w:p w14:paraId="26502C00"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 xml:space="preserve">Despite its benefits, transparency can present challenges for organisations. Rewarding employees differently based on their roles, such as offering higher compensation to managers than to associates may be justified by the varying impact each role has on performance outcomes. However, without clear communication, such disparities can lead to misunderstandings and resentment among lower-level staff who may perceive the system as unfair. </w:t>
      </w:r>
      <w:r w:rsidRPr="00A2634C">
        <w:rPr>
          <w:rFonts w:ascii="Arial" w:hAnsi="Arial" w:cs="Arial"/>
          <w:strike/>
          <w:sz w:val="24"/>
          <w:szCs w:val="24"/>
        </w:rPr>
        <w:t>This misalignment can negatively affect morale, hinder performance, and disrupt the organisational culture. Moreover, inconsistent messaging around reward decisions may undermine trust and make it more difficult to manage expectations effectively.</w:t>
      </w:r>
    </w:p>
    <w:bookmarkEnd w:id="1"/>
    <w:p w14:paraId="6CB4D157" w14:textId="77777777" w:rsidR="00B268FC" w:rsidRPr="00A2634C" w:rsidRDefault="00B268FC" w:rsidP="00A2634C">
      <w:pPr>
        <w:ind w:left="-142"/>
        <w:rPr>
          <w:rFonts w:ascii="Arial" w:hAnsi="Arial" w:cs="Arial"/>
          <w:sz w:val="24"/>
          <w:szCs w:val="24"/>
          <w:u w:val="single"/>
        </w:rPr>
      </w:pPr>
    </w:p>
    <w:p w14:paraId="6FCFF289" w14:textId="77777777" w:rsidR="00B268FC" w:rsidRPr="00A2634C" w:rsidRDefault="00B268FC" w:rsidP="00A2634C">
      <w:pPr>
        <w:pStyle w:val="ContactInfo"/>
        <w:ind w:left="-142"/>
        <w:jc w:val="left"/>
        <w:rPr>
          <w:rFonts w:ascii="Arial" w:hAnsi="Arial" w:cs="Arial"/>
          <w:b/>
          <w:bCs/>
          <w:color w:val="auto"/>
          <w:sz w:val="24"/>
          <w:szCs w:val="24"/>
          <w:u w:val="single"/>
        </w:rPr>
      </w:pPr>
      <w:r w:rsidRPr="00A2634C">
        <w:rPr>
          <w:rFonts w:ascii="Arial" w:hAnsi="Arial" w:cs="Arial"/>
          <w:b/>
          <w:bCs/>
          <w:color w:val="auto"/>
          <w:sz w:val="24"/>
          <w:szCs w:val="24"/>
          <w:u w:val="single"/>
        </w:rPr>
        <w:t xml:space="preserve">1.2 Assessing the contribution of extrinsic and intrinsic rewards to improving employee contribution and sustained </w:t>
      </w:r>
      <w:proofErr w:type="spellStart"/>
      <w:r w:rsidRPr="00A2634C">
        <w:rPr>
          <w:rFonts w:ascii="Arial" w:hAnsi="Arial" w:cs="Arial"/>
          <w:b/>
          <w:bCs/>
          <w:color w:val="auto"/>
          <w:sz w:val="24"/>
          <w:szCs w:val="24"/>
          <w:u w:val="single"/>
        </w:rPr>
        <w:t>organisational</w:t>
      </w:r>
      <w:proofErr w:type="spellEnd"/>
      <w:r w:rsidRPr="00A2634C">
        <w:rPr>
          <w:rFonts w:ascii="Arial" w:hAnsi="Arial" w:cs="Arial"/>
          <w:b/>
          <w:bCs/>
          <w:color w:val="auto"/>
          <w:sz w:val="24"/>
          <w:szCs w:val="24"/>
          <w:u w:val="single"/>
        </w:rPr>
        <w:t xml:space="preserve"> performance 439</w:t>
      </w:r>
    </w:p>
    <w:p w14:paraId="17985C65" w14:textId="77777777" w:rsidR="00B268FC" w:rsidRPr="00A2634C" w:rsidRDefault="00B268FC" w:rsidP="00A2634C">
      <w:pPr>
        <w:pStyle w:val="ContactInfo"/>
        <w:ind w:left="-142"/>
        <w:jc w:val="left"/>
        <w:rPr>
          <w:rFonts w:ascii="Arial" w:hAnsi="Arial" w:cs="Arial"/>
          <w:b/>
          <w:bCs/>
          <w:color w:val="EE0000"/>
          <w:sz w:val="24"/>
          <w:szCs w:val="24"/>
        </w:rPr>
      </w:pPr>
    </w:p>
    <w:p w14:paraId="4B1D5473"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Extrinsic rewards are tangible, covering pay, bonuses and benefits. Intrinsic rewards are the psychological benefits each employee gains from making a meaningful contribution through their work. (Hajduk, 2017).</w:t>
      </w:r>
    </w:p>
    <w:p w14:paraId="3F3D9DBD" w14:textId="77777777" w:rsidR="00B268FC" w:rsidRPr="00A2634C" w:rsidRDefault="00B268FC" w:rsidP="00A2634C">
      <w:pPr>
        <w:ind w:left="-142"/>
        <w:rPr>
          <w:rFonts w:ascii="Arial" w:hAnsi="Arial" w:cs="Arial"/>
          <w:color w:val="EE0000"/>
          <w:sz w:val="24"/>
          <w:szCs w:val="24"/>
        </w:rPr>
      </w:pPr>
      <w:r w:rsidRPr="00A2634C">
        <w:rPr>
          <w:rFonts w:ascii="Arial" w:hAnsi="Arial" w:cs="Arial"/>
          <w:sz w:val="24"/>
          <w:szCs w:val="24"/>
        </w:rPr>
        <w:t xml:space="preserve">Shah and Kumar (2007) argue that as individuals' fundamental needs are fulfilled, they tend to progress up the motivational hierarchy, leading them to seek different types of rewards. In today’s workplace, employees are increasingly driven by more than just financial compensation. Bhattacharya and Mukherjee (2009) emphasise that </w:t>
      </w:r>
      <w:r w:rsidRPr="00A2634C">
        <w:rPr>
          <w:rFonts w:ascii="Arial" w:hAnsi="Arial" w:cs="Arial"/>
          <w:sz w:val="24"/>
          <w:szCs w:val="24"/>
        </w:rPr>
        <w:lastRenderedPageBreak/>
        <w:t xml:space="preserve">high salaries alone are no longer sufficient to retain top talent. </w:t>
      </w:r>
      <w:r w:rsidRPr="00A2634C">
        <w:rPr>
          <w:rFonts w:ascii="Arial" w:hAnsi="Arial" w:cs="Arial"/>
          <w:color w:val="EE0000"/>
          <w:sz w:val="24"/>
          <w:szCs w:val="24"/>
        </w:rPr>
        <w:t>Implementing structured career development programs at EcoInsulate UK could play a vital role in fostering a more positive and engaged work environment. By offering employees clear pathways for growth and progression, they can enhance motivation, job satisfaction, and long-term commitment. Career development initiatives not only support individual aspirations but also contribute to building a more skilled and adaptable workforce, which is essential in a rapidly evolving industry (CIPD, 2022). Furthermore, such programs can help reduce turnover by demonstrating the company’s investment in its people, positioning EcoInsulate UK as an employer of choice within its sector</w:t>
      </w:r>
      <w:r w:rsidRPr="00A2634C">
        <w:rPr>
          <w:rFonts w:ascii="Arial" w:hAnsi="Arial" w:cs="Arial"/>
          <w:sz w:val="24"/>
          <w:szCs w:val="24"/>
        </w:rPr>
        <w:t xml:space="preserve">. </w:t>
      </w:r>
      <w:r w:rsidRPr="00A2634C">
        <w:rPr>
          <w:rFonts w:ascii="Arial" w:hAnsi="Arial" w:cs="Arial"/>
          <w:strike/>
          <w:sz w:val="24"/>
          <w:szCs w:val="24"/>
        </w:rPr>
        <w:t>Supporting this view, Skaggs et al. (1991) recommend that organisations offer a combination of intrinsic and extrinsic rewards such as bonuses, recognition, and social benefits to enhance both employee and organisational performance.</w:t>
      </w:r>
    </w:p>
    <w:p w14:paraId="39D92CF5" w14:textId="1D4E8B74" w:rsidR="00B268FC" w:rsidRPr="00A2634C" w:rsidRDefault="00B268FC" w:rsidP="00A2634C">
      <w:pPr>
        <w:ind w:left="-142"/>
        <w:rPr>
          <w:rFonts w:ascii="Arial" w:hAnsi="Arial" w:cs="Arial"/>
          <w:sz w:val="24"/>
          <w:szCs w:val="24"/>
        </w:rPr>
      </w:pPr>
      <w:r w:rsidRPr="00A2634C">
        <w:rPr>
          <w:rFonts w:ascii="Arial" w:hAnsi="Arial" w:cs="Arial"/>
          <w:strike/>
          <w:sz w:val="24"/>
          <w:szCs w:val="24"/>
        </w:rPr>
        <w:t xml:space="preserve">Social Exchange Theory also supports the idea that rewards positively influence employee contribution and performance. This theory suggests that workplace relationships are built on a cost-benefit analysis, where mutual obligations arise through ongoing reciprocal interactions (Sake &amp; Rotman, 2006). It highlights that well-structured rewards benefit both the employee through increased satisfaction and the </w:t>
      </w:r>
      <w:r w:rsidRPr="00A2634C">
        <w:rPr>
          <w:rFonts w:ascii="Arial" w:hAnsi="Arial" w:cs="Arial"/>
          <w:strike/>
          <w:sz w:val="24"/>
          <w:szCs w:val="24"/>
        </w:rPr>
        <w:t>organisation.</w:t>
      </w:r>
      <w:r w:rsidRPr="00A2634C">
        <w:rPr>
          <w:rFonts w:ascii="Arial" w:hAnsi="Arial" w:cs="Arial"/>
          <w:sz w:val="24"/>
          <w:szCs w:val="24"/>
        </w:rPr>
        <w:br/>
      </w:r>
      <w:r w:rsidRPr="00A2634C">
        <w:rPr>
          <w:rFonts w:ascii="Arial" w:hAnsi="Arial" w:cs="Arial"/>
          <w:sz w:val="24"/>
          <w:szCs w:val="24"/>
        </w:rPr>
        <w:br/>
        <w:t xml:space="preserve">Maslow’s Hierarchy of Needs (1943) illustrates human motivation as a tiered pyramid, encompassing both intrinsic and extrinsic rewards. The model consists of five levels, beginning with physiological needs and culminating in self-actualisation. Maslow suggests that this framework can help organisations ensure they are addressing employees’ needs effectively, thereby fostering higher levels of performance. </w:t>
      </w:r>
      <w:r w:rsidRPr="00A2634C">
        <w:rPr>
          <w:rFonts w:ascii="Arial" w:hAnsi="Arial" w:cs="Arial"/>
          <w:strike/>
          <w:sz w:val="24"/>
          <w:szCs w:val="24"/>
        </w:rPr>
        <w:t xml:space="preserve">Simply put, when a company successfully meets employees’ basic needs, it lays the foundation for greater motivation and achievement. </w:t>
      </w:r>
      <w:r w:rsidRPr="00A2634C">
        <w:rPr>
          <w:rFonts w:ascii="Arial" w:hAnsi="Arial" w:cs="Arial"/>
          <w:color w:val="EE0000"/>
          <w:sz w:val="24"/>
          <w:szCs w:val="24"/>
        </w:rPr>
        <w:t>An extrinsic reward scheme suitable for Eco-Insulate UK could involve a quarterly performance and sustainability bonus program designed to incentivise both skilled and non-skilled employees. This scheme would offer financial bonuses based on measurable criteria such as productivity, quality of work, teamwork, and contributions to environmental initiatives. By linking tangible rewards to specific performance metrics and company values, such a program can enhance motivation, reinforce desired behaviours, and contribute to a more positive organisational culture.</w:t>
      </w:r>
    </w:p>
    <w:p w14:paraId="5B9E8FEA" w14:textId="77777777" w:rsidR="00B268FC" w:rsidRPr="00A2634C" w:rsidRDefault="00B268FC" w:rsidP="00A2634C">
      <w:pPr>
        <w:ind w:left="-142"/>
        <w:rPr>
          <w:rFonts w:ascii="Arial" w:hAnsi="Arial" w:cs="Arial"/>
          <w:sz w:val="24"/>
          <w:szCs w:val="24"/>
        </w:rPr>
      </w:pPr>
      <w:r w:rsidRPr="00A2634C">
        <w:rPr>
          <w:rFonts w:ascii="Arial" w:hAnsi="Arial" w:cs="Arial"/>
          <w:strike/>
          <w:sz w:val="24"/>
          <w:szCs w:val="24"/>
        </w:rPr>
        <w:t>Additionally, the Path-Goal Theory, first introduced by Evans in 1970, emphasises that focusing on employee motivation leads to improved performance and satisfaction for both parties. The model proposes that when employees perceive a clear and attainable path to achieving rewards, they are more likely to perform at a high level. This is supported by Latham and Locke (1979), who argue that motivation and performance are significantly boosted when goals are clearly defined and achievable.</w:t>
      </w:r>
      <w:r w:rsidRPr="00A2634C">
        <w:rPr>
          <w:rFonts w:ascii="Arial" w:hAnsi="Arial" w:cs="Arial"/>
          <w:sz w:val="24"/>
          <w:szCs w:val="24"/>
        </w:rPr>
        <w:t xml:space="preserve"> </w:t>
      </w:r>
      <w:r w:rsidRPr="00A2634C">
        <w:rPr>
          <w:rFonts w:ascii="Arial" w:hAnsi="Arial" w:cs="Arial"/>
          <w:color w:val="EE0000"/>
          <w:sz w:val="24"/>
          <w:szCs w:val="24"/>
        </w:rPr>
        <w:t xml:space="preserve">A balanced reward strategy that integrates both extrinsic and intrinsic elements is essential. By aligning rewards with employee values and organisational goals, EcoInsulate UK can create a high-performance environment that supports both individual growth and strategic success. Clear communication, fairness, and flexibility in reward practices will be key to ensuring their effectiveness. </w:t>
      </w:r>
      <w:r w:rsidRPr="00A2634C">
        <w:rPr>
          <w:rFonts w:ascii="Arial" w:hAnsi="Arial" w:cs="Arial"/>
          <w:sz w:val="24"/>
          <w:szCs w:val="24"/>
        </w:rPr>
        <w:t xml:space="preserve">Carraher et al. (2006) </w:t>
      </w:r>
      <w:r w:rsidRPr="00A2634C">
        <w:rPr>
          <w:rFonts w:ascii="Arial" w:hAnsi="Arial" w:cs="Arial"/>
          <w:sz w:val="24"/>
          <w:szCs w:val="24"/>
        </w:rPr>
        <w:lastRenderedPageBreak/>
        <w:t>further reinforce this by stating that linking rewards directly to productivity results in measurable performance improvements.</w:t>
      </w:r>
    </w:p>
    <w:p w14:paraId="6D03E6D6" w14:textId="77777777" w:rsidR="00B268FC" w:rsidRPr="00A2634C" w:rsidRDefault="00B268FC" w:rsidP="00A2634C">
      <w:pPr>
        <w:ind w:left="-142"/>
        <w:rPr>
          <w:rFonts w:ascii="Arial" w:hAnsi="Arial" w:cs="Arial"/>
          <w:b/>
          <w:bCs/>
          <w:sz w:val="24"/>
          <w:szCs w:val="24"/>
          <w:u w:val="single"/>
        </w:rPr>
      </w:pPr>
      <w:r w:rsidRPr="00A2634C">
        <w:rPr>
          <w:rFonts w:ascii="Arial" w:hAnsi="Arial" w:cs="Arial"/>
          <w:color w:val="EE0000"/>
          <w:sz w:val="24"/>
          <w:szCs w:val="24"/>
        </w:rPr>
        <w:br/>
      </w:r>
      <w:r w:rsidRPr="00A2634C">
        <w:rPr>
          <w:rFonts w:ascii="Arial" w:hAnsi="Arial" w:cs="Arial"/>
          <w:color w:val="EE0000"/>
          <w:sz w:val="24"/>
          <w:szCs w:val="24"/>
        </w:rPr>
        <w:br/>
      </w:r>
      <w:r w:rsidRPr="00A2634C">
        <w:rPr>
          <w:rFonts w:ascii="Arial" w:hAnsi="Arial" w:cs="Arial"/>
          <w:b/>
          <w:bCs/>
          <w:sz w:val="24"/>
          <w:szCs w:val="24"/>
          <w:u w:val="single"/>
        </w:rPr>
        <w:t xml:space="preserve">2.1 Explain the differences between types of </w:t>
      </w:r>
      <w:proofErr w:type="gramStart"/>
      <w:r w:rsidRPr="00A2634C">
        <w:rPr>
          <w:rFonts w:ascii="Arial" w:hAnsi="Arial" w:cs="Arial"/>
          <w:b/>
          <w:bCs/>
          <w:sz w:val="24"/>
          <w:szCs w:val="24"/>
          <w:u w:val="single"/>
        </w:rPr>
        <w:t>grade</w:t>
      </w:r>
      <w:proofErr w:type="gramEnd"/>
      <w:r w:rsidRPr="00A2634C">
        <w:rPr>
          <w:rFonts w:ascii="Arial" w:hAnsi="Arial" w:cs="Arial"/>
          <w:b/>
          <w:bCs/>
          <w:sz w:val="24"/>
          <w:szCs w:val="24"/>
          <w:u w:val="single"/>
        </w:rPr>
        <w:t xml:space="preserve"> and pay structures 453</w:t>
      </w:r>
    </w:p>
    <w:p w14:paraId="49BB8FFC"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A pay structure refers to a systematic arrangement of grades, levels, or bands that link related roles within an organisational hierarchy. It serves as a framework for implementing reward strategies and policies, aligning them with the organisation’s mission, vision, culture, and business objectives. Pay structures help promote desired behaviours and performance, provide clarity in managing salary progression and career development, and support fairness and legal compliance, particularly in avoiding pay discrimination. According to the CIPD’s 2019 Reward Management Survey, 67% of employers utilise a formal pay structure, with usage being most prevalent among large and public sector organisations (CIPD, 2024). Organisations may adopt various types of pay structures, with the most suitable approach depending on several factors, including the size and nature of the business, its strategic objectives, and the composition of its workforce (Morris, 2023).</w:t>
      </w:r>
    </w:p>
    <w:p w14:paraId="3B8F9448"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Pay structures are defined by two key characteristics, the number of bands included within the structure and the span or range of each band.</w:t>
      </w:r>
    </w:p>
    <w:p w14:paraId="0E3870EA"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 xml:space="preserve">Broad-banded pay structures, which typically consist of four or five bands, are designed to offer greater flexibility in salary progression compared to narrow-graded systems. These structures often lack defined limits for pay advancement within each band, allowing for more adaptable reward management. However, some organisations have reintroduced more structured elements to address concerns around equal pay and ensure compliance with fairness and transparency standards </w:t>
      </w:r>
      <w:r w:rsidRPr="00A2634C">
        <w:rPr>
          <w:rFonts w:ascii="Arial" w:hAnsi="Arial" w:cs="Arial"/>
          <w:color w:val="EE0000"/>
          <w:sz w:val="24"/>
          <w:szCs w:val="24"/>
        </w:rPr>
        <w:t>(</w:t>
      </w:r>
      <w:proofErr w:type="spellStart"/>
      <w:r w:rsidRPr="00A2634C">
        <w:rPr>
          <w:rFonts w:ascii="Arial" w:hAnsi="Arial" w:cs="Arial"/>
          <w:color w:val="EE0000"/>
          <w:sz w:val="24"/>
          <w:szCs w:val="24"/>
        </w:rPr>
        <w:t>Verasai</w:t>
      </w:r>
      <w:proofErr w:type="spellEnd"/>
      <w:r w:rsidRPr="00A2634C">
        <w:rPr>
          <w:rFonts w:ascii="Arial" w:hAnsi="Arial" w:cs="Arial"/>
          <w:color w:val="EE0000"/>
          <w:sz w:val="24"/>
          <w:szCs w:val="24"/>
        </w:rPr>
        <w:t>, 2022).</w:t>
      </w:r>
    </w:p>
    <w:p w14:paraId="265083EC"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Flexibility is a key differentiating factor in pay structures. Broad-banded systems offer greater flexibility in salary determination, allowing employees within the same band to receive varying pay levels based on factors such as experience and performance. In contrast, individual rate structures are more rigid, offering limited flexibility and resulting in smaller pay differentials between roles. This rigidity can increase consistency but may restrict the organisation’s ability to tailor rewards to individual contributions.</w:t>
      </w:r>
    </w:p>
    <w:p w14:paraId="79E1B013" w14:textId="77777777" w:rsidR="00B268FC" w:rsidRPr="00A2634C" w:rsidRDefault="00B268FC" w:rsidP="00A2634C">
      <w:pPr>
        <w:pStyle w:val="ContactInfo"/>
        <w:ind w:left="-142"/>
        <w:jc w:val="left"/>
        <w:rPr>
          <w:rFonts w:ascii="Arial" w:hAnsi="Arial" w:cs="Arial"/>
          <w:color w:val="auto"/>
          <w:sz w:val="24"/>
          <w:szCs w:val="24"/>
          <w:lang w:val="en-GB"/>
        </w:rPr>
      </w:pPr>
      <w:r w:rsidRPr="00A2634C">
        <w:rPr>
          <w:rFonts w:ascii="Arial" w:hAnsi="Arial" w:cs="Arial"/>
          <w:color w:val="auto"/>
          <w:sz w:val="24"/>
          <w:szCs w:val="24"/>
          <w:lang w:val="en-GB"/>
        </w:rPr>
        <w:t>Another key distinction between pay structures lies in the rate of progression. Broad-banded systems typically offer fewer opportunities for formal promotion due to the limited number of bands, with progression occurring primarily through salary increases within the same band. In contrast, individual pay rate structures tend to support more frequent promotions, as employees move between clearly defined grades. This is often facilitated by structured career pathways, which provide greater transparency and help employees understand the steps required for advancement (CIPD, 2025).</w:t>
      </w:r>
    </w:p>
    <w:p w14:paraId="13B1C24B" w14:textId="25776F72" w:rsidR="00A2634C" w:rsidRDefault="00B268FC" w:rsidP="00A2634C">
      <w:pPr>
        <w:pStyle w:val="ContactInfo"/>
        <w:ind w:left="-142"/>
        <w:jc w:val="left"/>
        <w:rPr>
          <w:rFonts w:ascii="Arial" w:hAnsi="Arial" w:cs="Arial"/>
          <w:strike/>
          <w:color w:val="auto"/>
          <w:sz w:val="24"/>
          <w:szCs w:val="24"/>
          <w:lang w:val="en-GB"/>
        </w:rPr>
      </w:pPr>
      <w:r w:rsidRPr="00A2634C">
        <w:rPr>
          <w:rFonts w:ascii="Arial" w:hAnsi="Arial" w:cs="Arial"/>
          <w:color w:val="EE0000"/>
          <w:sz w:val="24"/>
          <w:szCs w:val="24"/>
          <w:lang w:val="en-GB"/>
        </w:rPr>
        <w:br/>
      </w:r>
      <w:r w:rsidRPr="00A2634C">
        <w:rPr>
          <w:rFonts w:ascii="Arial" w:hAnsi="Arial" w:cs="Arial"/>
          <w:strike/>
          <w:color w:val="auto"/>
          <w:sz w:val="24"/>
          <w:szCs w:val="24"/>
          <w:lang w:val="en-GB"/>
        </w:rPr>
        <w:t xml:space="preserve">The choice between broad-graded pay structures and broad banding depends on an organisation’s strategic priorities. Broad-graded structures support internal equity and </w:t>
      </w:r>
      <w:r w:rsidRPr="00A2634C">
        <w:rPr>
          <w:rFonts w:ascii="Arial" w:hAnsi="Arial" w:cs="Arial"/>
          <w:strike/>
          <w:color w:val="auto"/>
          <w:sz w:val="24"/>
          <w:szCs w:val="24"/>
          <w:lang w:val="en-GB"/>
        </w:rPr>
        <w:lastRenderedPageBreak/>
        <w:t>clearer career progression, while broad banding offers greater simplicity and flexibility in salary management. Each approach has distinct advantages, and organisations should select a structure that aligns with their specific goals, workforce composition, and operational needs.</w:t>
      </w:r>
    </w:p>
    <w:p w14:paraId="6A5CEBDD" w14:textId="119184B6" w:rsidR="00B268FC" w:rsidRPr="00A2634C" w:rsidRDefault="00B268FC" w:rsidP="00A2634C">
      <w:pPr>
        <w:pStyle w:val="ContactInfo"/>
        <w:ind w:left="-142"/>
        <w:jc w:val="left"/>
        <w:rPr>
          <w:rFonts w:ascii="Arial" w:hAnsi="Arial" w:cs="Arial"/>
          <w:strike/>
          <w:color w:val="auto"/>
          <w:sz w:val="24"/>
          <w:szCs w:val="24"/>
          <w:lang w:val="en-GB"/>
        </w:rPr>
      </w:pPr>
      <w:r w:rsidRPr="00A2634C">
        <w:rPr>
          <w:rFonts w:ascii="Arial" w:hAnsi="Arial" w:cs="Arial"/>
          <w:color w:val="EE0000"/>
          <w:sz w:val="24"/>
          <w:szCs w:val="24"/>
          <w:lang w:val="en-GB"/>
        </w:rPr>
        <w:t>When considering EcoInsulate Uk’s goals of improving retention, fostering innovation, and encouraging skill development, a hybrid approach may be most effective. Implementing broadband pay for roles where flexibility and growth are key, while maintaining individual-based pay for any highly specialised or performance critical positions could offer the best of both structures. Whichever model is chosen, clear communication, regular review, and alignment with organisational values will be essential to ensure fairness, motivation, and</w:t>
      </w:r>
      <w:r w:rsidRPr="00A2634C">
        <w:rPr>
          <w:rFonts w:ascii="Arial" w:hAnsi="Arial" w:cs="Arial"/>
          <w:color w:val="EE0000"/>
          <w:sz w:val="24"/>
          <w:szCs w:val="24"/>
          <w:lang w:val="en-GB"/>
        </w:rPr>
        <w:t xml:space="preserve"> </w:t>
      </w:r>
      <w:r w:rsidRPr="00A2634C">
        <w:rPr>
          <w:rFonts w:ascii="Arial" w:hAnsi="Arial" w:cs="Arial"/>
          <w:color w:val="EE0000"/>
          <w:sz w:val="24"/>
          <w:szCs w:val="24"/>
          <w:lang w:val="en-GB"/>
        </w:rPr>
        <w:t>long-term success.</w:t>
      </w:r>
      <w:r w:rsidRPr="00A2634C">
        <w:rPr>
          <w:rFonts w:ascii="Arial" w:hAnsi="Arial" w:cs="Arial"/>
          <w:color w:val="EE0000"/>
          <w:sz w:val="24"/>
          <w:szCs w:val="24"/>
          <w:lang w:val="en-GB"/>
        </w:rPr>
        <w:br/>
      </w:r>
    </w:p>
    <w:p w14:paraId="09D179D2" w14:textId="77777777" w:rsidR="00B268FC" w:rsidRPr="00A2634C" w:rsidRDefault="00B268FC" w:rsidP="00A2634C">
      <w:pPr>
        <w:ind w:left="-142"/>
        <w:rPr>
          <w:rFonts w:ascii="Arial" w:hAnsi="Arial" w:cs="Arial"/>
          <w:b/>
          <w:bCs/>
          <w:sz w:val="24"/>
          <w:szCs w:val="24"/>
          <w:u w:val="single"/>
        </w:rPr>
      </w:pPr>
      <w:r w:rsidRPr="00A2634C">
        <w:rPr>
          <w:rFonts w:ascii="Arial" w:hAnsi="Arial" w:cs="Arial"/>
          <w:b/>
          <w:bCs/>
          <w:sz w:val="24"/>
          <w:szCs w:val="24"/>
          <w:u w:val="single"/>
        </w:rPr>
        <w:t>2.2 Explain how contingent rewards can impact individual, team and organisational performance.512</w:t>
      </w:r>
    </w:p>
    <w:p w14:paraId="2ABE1861" w14:textId="71FB24BB" w:rsidR="00B268FC" w:rsidRPr="00A2634C" w:rsidRDefault="00B268FC" w:rsidP="00A2634C">
      <w:pPr>
        <w:ind w:left="-142"/>
        <w:rPr>
          <w:rFonts w:ascii="Arial" w:hAnsi="Arial" w:cs="Arial"/>
          <w:strike/>
          <w:sz w:val="24"/>
          <w:szCs w:val="24"/>
        </w:rPr>
      </w:pPr>
      <w:bookmarkStart w:id="3" w:name="_Hlk174959545"/>
      <w:r w:rsidRPr="00A2634C">
        <w:rPr>
          <w:rFonts w:ascii="Arial" w:hAnsi="Arial" w:cs="Arial"/>
          <w:strike/>
          <w:sz w:val="24"/>
          <w:szCs w:val="24"/>
        </w:rPr>
        <w:t>There are three main reasons that are generally given as to the importance of giving employee rewards, which are to motivate, secure and retain. (Perkins, S.J. and White, G, 2020)</w:t>
      </w:r>
    </w:p>
    <w:p w14:paraId="59B9FD1B" w14:textId="77777777" w:rsidR="00B268FC" w:rsidRPr="00A2634C" w:rsidRDefault="00B268FC" w:rsidP="00A2634C">
      <w:pPr>
        <w:ind w:left="-142"/>
        <w:rPr>
          <w:rFonts w:ascii="Arial" w:hAnsi="Arial" w:cs="Arial"/>
          <w:color w:val="EE0000"/>
          <w:sz w:val="24"/>
          <w:szCs w:val="24"/>
        </w:rPr>
      </w:pPr>
      <w:r w:rsidRPr="00A2634C">
        <w:rPr>
          <w:rFonts w:ascii="Arial" w:hAnsi="Arial" w:cs="Arial"/>
          <w:color w:val="EE0000"/>
          <w:sz w:val="24"/>
          <w:szCs w:val="24"/>
        </w:rPr>
        <w:t>EcoInsulate UK is currently experiencing organisational challenges, including restricted access to reward schemes and elevated levels of employee turnover, the implementation of a contingent reward system may contribute to the development of a more positive workplace culture and lead to improvements in overall employee performance and engagement.</w:t>
      </w:r>
    </w:p>
    <w:p w14:paraId="4F2FD3AB" w14:textId="77777777" w:rsidR="00B268FC" w:rsidRPr="00A2634C" w:rsidRDefault="00B268FC" w:rsidP="00A2634C">
      <w:pPr>
        <w:ind w:left="-142"/>
        <w:rPr>
          <w:rFonts w:ascii="Arial" w:hAnsi="Arial" w:cs="Arial"/>
          <w:color w:val="EE0000"/>
          <w:sz w:val="24"/>
          <w:szCs w:val="24"/>
        </w:rPr>
      </w:pPr>
      <w:r w:rsidRPr="00A2634C">
        <w:rPr>
          <w:rFonts w:ascii="Arial" w:hAnsi="Arial" w:cs="Arial"/>
          <w:color w:val="EE0000"/>
          <w:sz w:val="24"/>
          <w:szCs w:val="24"/>
        </w:rPr>
        <w:t>The contingent reward system is a motivation-driven approach that recognises and rewards employees who achieve their defined goals. It reinforces positive behaviour by acknowledging strong performance, encouraging individuals to complete their tasks efficiently and professionally. Unlike traditional annual performance reviews, this system offers more frequent evaluations and provides timely rewards when performance criteria are met, aligning closely with company policies and expectations (Smith, 2025).</w:t>
      </w:r>
    </w:p>
    <w:p w14:paraId="78D81F4F" w14:textId="77777777" w:rsidR="00B268FC" w:rsidRPr="00A2634C" w:rsidRDefault="00B268FC" w:rsidP="00A2634C">
      <w:pPr>
        <w:ind w:left="-142"/>
        <w:rPr>
          <w:rFonts w:ascii="Arial" w:hAnsi="Arial" w:cs="Arial"/>
          <w:color w:val="EE0000"/>
          <w:sz w:val="24"/>
          <w:szCs w:val="24"/>
        </w:rPr>
      </w:pPr>
      <w:r w:rsidRPr="00A2634C">
        <w:rPr>
          <w:rFonts w:ascii="Arial" w:hAnsi="Arial" w:cs="Arial"/>
          <w:color w:val="EE0000"/>
          <w:sz w:val="24"/>
          <w:szCs w:val="24"/>
        </w:rPr>
        <w:t>An example of a contingent reward could be a bonus , which are a widely used form of performance-related compensation, directly tied to an employee’s achievements. They may be issued as a one-off payment or distributed periodically, depending on specific performance criteria being met. Bonuses can significantly influence individual employee performance by directly linking rewards to measurable outcomes, this in turn creates a clear incentive for employees to either meet or exceed expectations. The direct alignment between effort and reward fosters a sense of accountability and motivation, encouraging individuals to focus on organisational goals (CIPD, 2024).</w:t>
      </w:r>
    </w:p>
    <w:p w14:paraId="163611E3" w14:textId="77777777" w:rsidR="00B268FC" w:rsidRPr="00A2634C" w:rsidRDefault="00B268FC" w:rsidP="00A2634C">
      <w:pPr>
        <w:ind w:left="-142"/>
        <w:rPr>
          <w:rFonts w:ascii="Arial" w:hAnsi="Arial" w:cs="Arial"/>
          <w:color w:val="EE0000"/>
          <w:sz w:val="24"/>
          <w:szCs w:val="24"/>
        </w:rPr>
      </w:pPr>
      <w:r w:rsidRPr="00A2634C">
        <w:rPr>
          <w:rFonts w:ascii="Arial" w:hAnsi="Arial" w:cs="Arial"/>
          <w:color w:val="EE0000"/>
          <w:sz w:val="24"/>
          <w:szCs w:val="24"/>
        </w:rPr>
        <w:t>On a broader organisational level, performance-based bonuses have the potential to align individual employee objectives with the strategic goals of the company. For EcoInsulate UK, this alignment could lead to enhanced operational efficiency and increased output. Furthermore, by recognising and rewarding employee contributions, such systems may reduce staff turnover and strengthen the company’s reputation as an attractive and competitive employer within the industry.</w:t>
      </w:r>
    </w:p>
    <w:p w14:paraId="3358F26E" w14:textId="77777777" w:rsidR="00B268FC" w:rsidRPr="00A2634C" w:rsidRDefault="00B268FC" w:rsidP="00A2634C">
      <w:pPr>
        <w:ind w:left="-142"/>
        <w:rPr>
          <w:rFonts w:ascii="Arial" w:hAnsi="Arial" w:cs="Arial"/>
          <w:color w:val="EE0000"/>
          <w:sz w:val="24"/>
          <w:szCs w:val="24"/>
        </w:rPr>
      </w:pPr>
      <w:r w:rsidRPr="00A2634C">
        <w:rPr>
          <w:rFonts w:ascii="Arial" w:hAnsi="Arial" w:cs="Arial"/>
          <w:color w:val="EE0000"/>
          <w:sz w:val="24"/>
          <w:szCs w:val="24"/>
        </w:rPr>
        <w:lastRenderedPageBreak/>
        <w:t>Another example would be Skill-based pay (SBP) is a reward strategy that compensates employees based on the acquisition and application of specific competencies, qualifications, or technical skills, rather than traditional factors such as job title or tenure. This approach incentivises continuous professional development and encourages employees to expand their expertise (HRM Handbook, 2024). At EcoInsulate UK, employees would be eligible for salary progression upon mastering new skills relevant to their roles. This approach supports continuous professional development, which is particularly valuable in a rapidly evolving industry landscape.</w:t>
      </w:r>
    </w:p>
    <w:p w14:paraId="76592BF1" w14:textId="77777777" w:rsidR="00B268FC" w:rsidRPr="00A2634C" w:rsidRDefault="00B268FC" w:rsidP="00A2634C">
      <w:pPr>
        <w:ind w:left="-142"/>
        <w:rPr>
          <w:rFonts w:ascii="Arial" w:hAnsi="Arial" w:cs="Arial"/>
          <w:color w:val="EE0000"/>
          <w:sz w:val="24"/>
          <w:szCs w:val="24"/>
        </w:rPr>
      </w:pPr>
      <w:r w:rsidRPr="00A2634C">
        <w:rPr>
          <w:rFonts w:ascii="Arial" w:hAnsi="Arial" w:cs="Arial"/>
          <w:color w:val="EE0000"/>
          <w:sz w:val="24"/>
          <w:szCs w:val="24"/>
        </w:rPr>
        <w:t>By investing in employee skill development, EcoInsulate UK stands to benefit from a more capable and innovative workforce. This strategic approach can lead to increased operational efficiency, foster a culture of innovation, and help sustain the company’s competitive advantage within its sector. Additionally, by prioritising skills development, a skill-based pay system can contribute to cultivating a workplace culture that values continuous learning, innovation, and personal advancement. This emphasis not only supports individual growth but also promotes a high-performance for the whole team.</w:t>
      </w:r>
    </w:p>
    <w:p w14:paraId="55F7AF6A" w14:textId="77777777" w:rsidR="00B268FC" w:rsidRPr="00A2634C" w:rsidRDefault="00B268FC" w:rsidP="00A2634C">
      <w:pPr>
        <w:ind w:left="-142"/>
        <w:rPr>
          <w:rFonts w:ascii="Arial" w:hAnsi="Arial" w:cs="Arial"/>
          <w:color w:val="EE0000"/>
          <w:sz w:val="24"/>
          <w:szCs w:val="24"/>
        </w:rPr>
      </w:pPr>
      <w:r w:rsidRPr="00A2634C">
        <w:rPr>
          <w:rFonts w:ascii="Arial" w:hAnsi="Arial" w:cs="Arial"/>
          <w:color w:val="EE0000"/>
          <w:sz w:val="24"/>
          <w:szCs w:val="24"/>
        </w:rPr>
        <w:t>Both performance-based bonuses and skill-based pay have a significant impact on individual, team, and organisational performance. Bonuses offer direct financial incentives that reward achievement, while skill-based pay promotes continuous learning and the development of relevant competencies. For EcoInsulate UK, adopting both contingent reward strategies could enhance employee morale and reduce turnover. However, successful implementation is critical, if poorly executed, such systems may lead to a negative workplace culture and leave employees feeling undervalued.</w:t>
      </w:r>
    </w:p>
    <w:p w14:paraId="1A1160E2" w14:textId="77777777" w:rsidR="00B268FC" w:rsidRPr="00A2634C" w:rsidRDefault="00B268FC" w:rsidP="00A2634C">
      <w:pPr>
        <w:ind w:left="-142"/>
        <w:rPr>
          <w:rFonts w:ascii="Arial" w:hAnsi="Arial" w:cs="Arial"/>
          <w:color w:val="EE0000"/>
          <w:sz w:val="24"/>
          <w:szCs w:val="24"/>
        </w:rPr>
      </w:pPr>
    </w:p>
    <w:p w14:paraId="27BE7CBE"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There are three main reasons that are generally given as to the importance of giving employee rewards, which are to motivate, secure and retain. (Perkins, S.J. and White, G, 2020)</w:t>
      </w:r>
    </w:p>
    <w:p w14:paraId="51C4592B" w14:textId="77777777" w:rsidR="00B268FC" w:rsidRPr="00A2634C" w:rsidRDefault="00B268FC" w:rsidP="00A2634C">
      <w:pPr>
        <w:ind w:left="-142"/>
        <w:rPr>
          <w:rFonts w:ascii="Arial" w:hAnsi="Arial" w:cs="Arial"/>
          <w:strike/>
          <w:color w:val="EE0000"/>
          <w:sz w:val="24"/>
          <w:szCs w:val="24"/>
        </w:rPr>
      </w:pPr>
      <w:r w:rsidRPr="00A2634C">
        <w:rPr>
          <w:rFonts w:ascii="Arial" w:hAnsi="Arial" w:cs="Arial"/>
          <w:strike/>
          <w:sz w:val="24"/>
          <w:szCs w:val="24"/>
        </w:rPr>
        <w:t>Smith (2000) conducted an analysis of the organisational impact of employee benefits by categorising them into three dimensions: their contribution to the human resource management (HRM) function, their influence on organisational performance, and their role as motivational tools. Perkins (1998), however, contends that such benefits will only enhance organisational performance if they are perceived as valuable by employees. To determine what an organisation can offer its employees, it is essential to evaluate team effectiveness through performance management. This process underpins the reward system by aligning recognition with employees’ contributions toward organisational objectives. Enhancing performance requires active management, including coaching, regular feedback, and ongoing support. Such managerial practices help align individual goals with those of the organisation, thereby fostering the achievement of strategic objectives (Capri et al., 2017).</w:t>
      </w:r>
    </w:p>
    <w:p w14:paraId="749D9FC8"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 xml:space="preserve">However, individuals are attracted to different types of rewards, which significantly influences how organisations structure their reward strategies. As Rajkumar (2014) highlights, employee preferences for rewards vary based on factors such as age, role, and motivational orientation. This diversity means that a one-size-fits-all approach to </w:t>
      </w:r>
      <w:r w:rsidRPr="00A2634C">
        <w:rPr>
          <w:rFonts w:ascii="Arial" w:hAnsi="Arial" w:cs="Arial"/>
          <w:strike/>
          <w:sz w:val="24"/>
          <w:szCs w:val="24"/>
        </w:rPr>
        <w:lastRenderedPageBreak/>
        <w:t>rewards is often ineffective. Instead, organisations must adopt flexible and inclusive reward systems that reflect the varied values and expectations of their workforce. By doing so, they can enhance employee satisfaction and engagement, ultimately supporting improved performance and retention.</w:t>
      </w:r>
    </w:p>
    <w:p w14:paraId="5E07C1B4"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It is also crucial to consider the organisation’s overall performance when evaluating reward approaches. Organisations that successfully meet their strategic objectives are typically better positioned to offer more substantial and diverse rewards. Conversely, underperformance may mean cost-cutting measures are necessary, including reductions in reward investments. This dynamic was particularly evident during and after the Covid-19 pandemic in 2020, when many organisations faced significant operational and financial challenges, prompting a reassessment of their reward policies to align with constrained resources and shifting priorities.</w:t>
      </w:r>
    </w:p>
    <w:p w14:paraId="6A9EEE94" w14:textId="77777777" w:rsidR="00B268FC" w:rsidRPr="00A2634C" w:rsidRDefault="00B268FC" w:rsidP="00A2634C">
      <w:pPr>
        <w:ind w:left="-142"/>
        <w:rPr>
          <w:rFonts w:ascii="Arial" w:hAnsi="Arial" w:cs="Arial"/>
          <w:strike/>
          <w:sz w:val="24"/>
          <w:szCs w:val="24"/>
        </w:rPr>
      </w:pPr>
      <w:r w:rsidRPr="00A2634C">
        <w:rPr>
          <w:rFonts w:ascii="Arial" w:hAnsi="Arial" w:cs="Arial"/>
          <w:strike/>
          <w:sz w:val="24"/>
          <w:szCs w:val="24"/>
        </w:rPr>
        <w:t>Moreover, Armstrong (2010) emphasises that reward systems are closely tied to business strategy, which itself is shaped by external environmental factors, including competitive pressures. Organisations must remain aware of what competitors are offering in terms of rewards to ensure their own strategies remain attractive and effective. This alignment helps maintain competitiveness in attracting and retaining talent.</w:t>
      </w:r>
    </w:p>
    <w:bookmarkEnd w:id="3"/>
    <w:p w14:paraId="6E339BF3" w14:textId="77777777" w:rsidR="00B268FC" w:rsidRPr="00A2634C" w:rsidRDefault="00B268FC" w:rsidP="00A2634C">
      <w:pPr>
        <w:pStyle w:val="ContactInfo"/>
        <w:ind w:left="-142"/>
        <w:jc w:val="left"/>
        <w:rPr>
          <w:rFonts w:ascii="Arial" w:hAnsi="Arial" w:cs="Arial"/>
          <w:strike/>
          <w:color w:val="auto"/>
          <w:sz w:val="24"/>
          <w:szCs w:val="24"/>
          <w:lang w:val="en-GB"/>
        </w:rPr>
      </w:pPr>
      <w:r w:rsidRPr="00A2634C">
        <w:rPr>
          <w:rFonts w:ascii="Arial" w:hAnsi="Arial" w:cs="Arial"/>
          <w:strike/>
          <w:color w:val="auto"/>
          <w:sz w:val="24"/>
          <w:szCs w:val="24"/>
          <w:lang w:val="en-GB"/>
        </w:rPr>
        <w:t>Finally, internal factors such as working hours and historical organisational practices can significantly influence how reward strategies are developed and implemented. In terms of working hours, employers must ensure that teams are allocated sufficient time to meet performance expectations, while also avoiding excessive workloads that could lead to burnout and reduced efficiency. Additionally, historical expectations, such as previously offered rewards and past organisational performance must be considered. If current circumstances mean a more conservative approach to rewards is required, it is essential that this is communicated to employees with honesty and transparency, ensuring trust and understanding are maintained.</w:t>
      </w:r>
    </w:p>
    <w:p w14:paraId="4CF2A09A" w14:textId="77777777" w:rsidR="00B268FC" w:rsidRPr="00A2634C" w:rsidRDefault="00B268FC" w:rsidP="00A2634C">
      <w:pPr>
        <w:pStyle w:val="ContactInfo"/>
        <w:ind w:left="-142"/>
        <w:jc w:val="left"/>
        <w:rPr>
          <w:rFonts w:ascii="Arial" w:hAnsi="Arial" w:cs="Arial"/>
          <w:color w:val="EE0000"/>
          <w:sz w:val="24"/>
          <w:szCs w:val="24"/>
        </w:rPr>
      </w:pPr>
    </w:p>
    <w:p w14:paraId="1308205F" w14:textId="77777777" w:rsidR="00B268FC" w:rsidRPr="00A2634C" w:rsidRDefault="00B268FC" w:rsidP="00A2634C">
      <w:pPr>
        <w:ind w:left="-142"/>
        <w:rPr>
          <w:rFonts w:ascii="Arial" w:hAnsi="Arial" w:cs="Arial"/>
          <w:b/>
          <w:bCs/>
          <w:sz w:val="24"/>
          <w:szCs w:val="24"/>
          <w:u w:val="single"/>
        </w:rPr>
      </w:pPr>
      <w:bookmarkStart w:id="4" w:name="_Hlk175747827"/>
      <w:r w:rsidRPr="00A2634C">
        <w:rPr>
          <w:rFonts w:ascii="Arial" w:hAnsi="Arial" w:cs="Arial"/>
          <w:b/>
          <w:bCs/>
          <w:sz w:val="24"/>
          <w:szCs w:val="24"/>
          <w:u w:val="single"/>
        </w:rPr>
        <w:t>2.3 Compare different types of benefits offered by organisations and the merits of each. 442</w:t>
      </w:r>
    </w:p>
    <w:p w14:paraId="39CE899F" w14:textId="77777777" w:rsidR="00B268FC" w:rsidRPr="00A2634C" w:rsidRDefault="00B268FC" w:rsidP="00A2634C">
      <w:pPr>
        <w:ind w:left="-142"/>
        <w:rPr>
          <w:rFonts w:ascii="Arial" w:hAnsi="Arial" w:cs="Arial"/>
          <w:spacing w:val="7"/>
          <w:sz w:val="24"/>
          <w:szCs w:val="24"/>
          <w:shd w:val="clear" w:color="auto" w:fill="FFFFFF"/>
        </w:rPr>
      </w:pPr>
      <w:r w:rsidRPr="00A2634C">
        <w:rPr>
          <w:rFonts w:ascii="Arial" w:hAnsi="Arial" w:cs="Arial"/>
          <w:spacing w:val="7"/>
          <w:sz w:val="24"/>
          <w:szCs w:val="24"/>
          <w:shd w:val="clear" w:color="auto" w:fill="FFFFFF"/>
        </w:rPr>
        <w:t>Recent data from the CIPD, (2025) Good Work Index, indicates that 54% of UK employees can manage their financial obligations without difficulty, reflecting a modest improvement from 50% the previous year. This increase in financial stability is closely associated with enhanced job performance, improved mental health, and a reduced intention to leave the organisation. The report highlights the continued importance of pay and formal benefits, such as pensions and healthcare, as central components of job satisfaction and employee wellbeing.</w:t>
      </w:r>
    </w:p>
    <w:p w14:paraId="43825993" w14:textId="77777777" w:rsidR="00B268FC" w:rsidRPr="00A2634C" w:rsidRDefault="00B268FC" w:rsidP="00A2634C">
      <w:pPr>
        <w:ind w:left="-142"/>
        <w:rPr>
          <w:rFonts w:ascii="Arial" w:hAnsi="Arial" w:cs="Arial"/>
          <w:color w:val="EE0000"/>
          <w:spacing w:val="7"/>
          <w:sz w:val="24"/>
          <w:szCs w:val="24"/>
          <w:shd w:val="clear" w:color="auto" w:fill="FFFFFF"/>
        </w:rPr>
      </w:pPr>
      <w:r w:rsidRPr="00A2634C">
        <w:rPr>
          <w:rFonts w:ascii="Arial" w:hAnsi="Arial" w:cs="Arial"/>
          <w:spacing w:val="7"/>
          <w:sz w:val="24"/>
          <w:szCs w:val="24"/>
          <w:shd w:val="clear" w:color="auto" w:fill="FFFFFF"/>
        </w:rPr>
        <w:t xml:space="preserve">Formal benefits are a foundational element of organisational reward systems, designed to provide structured and consistent support to employees. These typically include offerings such as health insurance, retirement plans, paid leave, and other contractual entitlements. Gabriel, Amah, and Okocha (2021) emphasise that such benefits are not only instrumental in enhancing individual performance and organisational efficiency but also serve as strategic tools for talent retention and competitive positioning. When aligned with employee </w:t>
      </w:r>
      <w:r w:rsidRPr="00A2634C">
        <w:rPr>
          <w:rFonts w:ascii="Arial" w:hAnsi="Arial" w:cs="Arial"/>
          <w:spacing w:val="7"/>
          <w:sz w:val="24"/>
          <w:szCs w:val="24"/>
          <w:shd w:val="clear" w:color="auto" w:fill="FFFFFF"/>
        </w:rPr>
        <w:lastRenderedPageBreak/>
        <w:t>expectations and embedded well, formal benefits contribute to a stable and motivating work environment, reinforcing both loyalty and productivity</w:t>
      </w:r>
      <w:r w:rsidRPr="00A2634C">
        <w:rPr>
          <w:rFonts w:ascii="Arial" w:hAnsi="Arial" w:cs="Arial"/>
          <w:color w:val="EE0000"/>
          <w:spacing w:val="7"/>
          <w:sz w:val="24"/>
          <w:szCs w:val="24"/>
          <w:shd w:val="clear" w:color="auto" w:fill="FFFFFF"/>
        </w:rPr>
        <w:t>.</w:t>
      </w:r>
    </w:p>
    <w:p w14:paraId="7AB33ACF" w14:textId="77777777" w:rsidR="00B268FC" w:rsidRPr="00A2634C" w:rsidRDefault="00B268FC" w:rsidP="00A2634C">
      <w:pPr>
        <w:ind w:left="-142"/>
        <w:rPr>
          <w:rFonts w:ascii="Arial" w:hAnsi="Arial" w:cs="Arial"/>
          <w:spacing w:val="7"/>
          <w:sz w:val="24"/>
          <w:szCs w:val="24"/>
          <w:shd w:val="clear" w:color="auto" w:fill="FFFFFF"/>
        </w:rPr>
      </w:pPr>
      <w:r w:rsidRPr="00A2634C">
        <w:rPr>
          <w:rFonts w:ascii="Arial" w:hAnsi="Arial" w:cs="Arial"/>
          <w:spacing w:val="7"/>
          <w:sz w:val="24"/>
          <w:szCs w:val="24"/>
          <w:shd w:val="clear" w:color="auto" w:fill="FFFFFF"/>
        </w:rPr>
        <w:t>Alongside formal reward systems, informal incentives serve as a vital component in fostering employee motivation and shaping workplace culture. These non-monetary forms of recognition, such as verbal commendation, peer recognition, and public acknowledgment, can significantly boost motivation and strengthen employees’ sense of belonging. According to Cotton, Gifford, and Young (2022), informal incentives are often more immediate and personally meaningful, making them particularly effective in reinforcing positive behaviours and enhancing engagement. When thoughtfully integrated with formal reward mechanisms, informal incentives contribute to a more comprehensive and adaptive approach to performance management.</w:t>
      </w:r>
    </w:p>
    <w:p w14:paraId="48E4124E" w14:textId="77777777" w:rsidR="00B268FC" w:rsidRPr="00A2634C" w:rsidRDefault="00B268FC" w:rsidP="00A2634C">
      <w:pPr>
        <w:ind w:left="-142"/>
        <w:rPr>
          <w:rFonts w:ascii="Arial" w:hAnsi="Arial" w:cs="Arial"/>
          <w:strike/>
          <w:sz w:val="24"/>
          <w:szCs w:val="24"/>
          <w:shd w:val="clear" w:color="auto" w:fill="FFFFFF"/>
        </w:rPr>
      </w:pPr>
      <w:r w:rsidRPr="00A2634C">
        <w:rPr>
          <w:rFonts w:ascii="Arial" w:hAnsi="Arial" w:cs="Arial"/>
          <w:strike/>
          <w:sz w:val="24"/>
          <w:szCs w:val="24"/>
          <w:shd w:val="clear" w:color="auto" w:fill="FFFFFF"/>
        </w:rPr>
        <w:t>The comparison between different types of benefits offered by an organisation is largely influenced by individual preferences. To develop an attractive and comprehensive rewards strategy, organisations must strike a balance between formal and informal benefits. This approach enables them to address the diverse needs and expectations of their workforce, thereby enhancing employee satisfaction and engagement.</w:t>
      </w:r>
    </w:p>
    <w:p w14:paraId="709F24F5" w14:textId="77777777" w:rsidR="00B268FC" w:rsidRPr="00A2634C" w:rsidRDefault="00B268FC" w:rsidP="00A2634C">
      <w:pPr>
        <w:ind w:left="-142"/>
        <w:rPr>
          <w:rFonts w:ascii="Arial" w:hAnsi="Arial" w:cs="Arial"/>
          <w:color w:val="EE0000"/>
          <w:sz w:val="24"/>
          <w:szCs w:val="24"/>
          <w:shd w:val="clear" w:color="auto" w:fill="FFFFFF"/>
        </w:rPr>
      </w:pPr>
      <w:r w:rsidRPr="00A2634C">
        <w:rPr>
          <w:rFonts w:ascii="Arial" w:hAnsi="Arial" w:cs="Arial"/>
          <w:color w:val="EE0000"/>
          <w:sz w:val="24"/>
          <w:szCs w:val="24"/>
          <w:shd w:val="clear" w:color="auto" w:fill="FFFFFF"/>
        </w:rPr>
        <w:t>To enhance employee engagement and retention, Eco-Insulate UK should consider implementing health insurance, performance bonuses, and flexible working arrangements. Health insurance provides employees with access to private medical care, reducing stress and absenteeism while demonstrating the company’s commitment to wellbeing and them as a person not just an employee.</w:t>
      </w:r>
    </w:p>
    <w:p w14:paraId="2459B70D" w14:textId="77777777" w:rsidR="00B268FC" w:rsidRPr="00A2634C" w:rsidRDefault="00B268FC" w:rsidP="00A2634C">
      <w:pPr>
        <w:ind w:left="-142"/>
        <w:rPr>
          <w:rFonts w:ascii="Arial" w:hAnsi="Arial" w:cs="Arial"/>
          <w:color w:val="EE0000"/>
          <w:sz w:val="24"/>
          <w:szCs w:val="24"/>
          <w:shd w:val="clear" w:color="auto" w:fill="FFFFFF"/>
        </w:rPr>
      </w:pPr>
      <w:r w:rsidRPr="00A2634C">
        <w:rPr>
          <w:rFonts w:ascii="Arial" w:hAnsi="Arial" w:cs="Arial"/>
          <w:color w:val="EE0000"/>
          <w:sz w:val="24"/>
          <w:szCs w:val="24"/>
          <w:shd w:val="clear" w:color="auto" w:fill="FFFFFF"/>
        </w:rPr>
        <w:t>Performance bonuses offer financial incentives tied to individual or team achievements, encouraging productivity and aligning employee efforts with organisational goals.</w:t>
      </w:r>
    </w:p>
    <w:p w14:paraId="20D044DE" w14:textId="77777777" w:rsidR="00B268FC" w:rsidRPr="00A2634C" w:rsidRDefault="00B268FC" w:rsidP="00A2634C">
      <w:pPr>
        <w:ind w:left="-142"/>
        <w:rPr>
          <w:rFonts w:ascii="Arial" w:hAnsi="Arial" w:cs="Arial"/>
          <w:color w:val="EE0000"/>
          <w:sz w:val="24"/>
          <w:szCs w:val="24"/>
          <w:shd w:val="clear" w:color="auto" w:fill="FFFFFF"/>
        </w:rPr>
      </w:pPr>
      <w:r w:rsidRPr="00A2634C">
        <w:rPr>
          <w:rFonts w:ascii="Arial" w:hAnsi="Arial" w:cs="Arial"/>
          <w:color w:val="EE0000"/>
          <w:sz w:val="24"/>
          <w:szCs w:val="24"/>
          <w:shd w:val="clear" w:color="auto" w:fill="FFFFFF"/>
        </w:rPr>
        <w:t>Flexible working arrangements, such as remote work or adjustable hours, support work-life balance and accommodate diverse employee needs, which can lead to increased job satisfaction and loyalty. Together, these benefits would significantly improve the company’s reward offering beyond its current provisions and help foster a more positive and supportive workplace culture which would help address the concern surrounding turnover.</w:t>
      </w:r>
    </w:p>
    <w:p w14:paraId="70EEB5A3" w14:textId="77777777" w:rsidR="00B268FC" w:rsidRPr="00A2634C" w:rsidRDefault="00B268FC" w:rsidP="00A2634C">
      <w:pPr>
        <w:ind w:left="-142"/>
        <w:rPr>
          <w:rFonts w:ascii="Arial" w:hAnsi="Arial" w:cs="Arial"/>
          <w:sz w:val="24"/>
          <w:szCs w:val="24"/>
          <w:shd w:val="clear" w:color="auto" w:fill="FFFFFF"/>
        </w:rPr>
      </w:pPr>
    </w:p>
    <w:p w14:paraId="10BB28E0" w14:textId="77777777" w:rsidR="00B268FC" w:rsidRPr="00A2634C" w:rsidRDefault="00B268FC" w:rsidP="00A2634C">
      <w:pPr>
        <w:ind w:left="-142"/>
        <w:rPr>
          <w:rFonts w:ascii="Arial" w:hAnsi="Arial" w:cs="Arial"/>
          <w:b/>
          <w:bCs/>
          <w:sz w:val="24"/>
          <w:szCs w:val="24"/>
          <w:u w:val="single"/>
        </w:rPr>
      </w:pPr>
      <w:r w:rsidRPr="00A2634C">
        <w:rPr>
          <w:rFonts w:ascii="Arial" w:hAnsi="Arial" w:cs="Arial"/>
          <w:b/>
          <w:bCs/>
          <w:sz w:val="24"/>
          <w:szCs w:val="24"/>
          <w:u w:val="single"/>
        </w:rPr>
        <w:t>2.4 Explain the merits of different types of recognition offered by organisations</w:t>
      </w:r>
    </w:p>
    <w:p w14:paraId="771BDA2F"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Employee recognition is a vital component in cultivating a positive organisational culture and encouraging high levels of performance. Informal recognition, which is typically spontaneous and unstructured, enhances the authenticity of appreciation and strengthens interpersonal relationships within teams (</w:t>
      </w:r>
      <w:proofErr w:type="spellStart"/>
      <w:r w:rsidRPr="00A2634C">
        <w:rPr>
          <w:rFonts w:ascii="Arial" w:hAnsi="Arial" w:cs="Arial"/>
          <w:sz w:val="24"/>
          <w:szCs w:val="24"/>
        </w:rPr>
        <w:t>Johnivan</w:t>
      </w:r>
      <w:proofErr w:type="spellEnd"/>
      <w:r w:rsidRPr="00A2634C">
        <w:rPr>
          <w:rFonts w:ascii="Arial" w:hAnsi="Arial" w:cs="Arial"/>
          <w:sz w:val="24"/>
          <w:szCs w:val="24"/>
        </w:rPr>
        <w:t xml:space="preserve">, 2024). Its versatility allows it to take many forms, including day-to-day verbal praise, acknowledgment of milestones such as work anniversaries and birthdays, and casual expressions of gratitude. These gestures create a direct and immediate link between employee actions and organisational appreciation, reinforcing desired behaviours and validating </w:t>
      </w:r>
      <w:r w:rsidRPr="00A2634C">
        <w:rPr>
          <w:rFonts w:ascii="Arial" w:hAnsi="Arial" w:cs="Arial"/>
          <w:sz w:val="24"/>
          <w:szCs w:val="24"/>
        </w:rPr>
        <w:lastRenderedPageBreak/>
        <w:t>individual contributions. Moreover, informal recognition is generally low-cost yet high impact, making it an attractive and practical tool for employers like Eco-Insulate seeking to boost morale and motivation without significant financial investment.</w:t>
      </w:r>
      <w:r w:rsidRPr="00A2634C">
        <w:rPr>
          <w:rFonts w:ascii="Arial" w:hAnsi="Arial" w:cs="Arial"/>
          <w:color w:val="424242"/>
          <w:sz w:val="24"/>
          <w:szCs w:val="24"/>
          <w:shd w:val="clear" w:color="auto" w:fill="FAFAFA"/>
        </w:rPr>
        <w:t xml:space="preserve"> </w:t>
      </w:r>
    </w:p>
    <w:p w14:paraId="028E41DA"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Recognising high-performing employees through structured initiatives, such as an "Employee of the Month" programme, can have several benefits for organisations like Eco-Insulate. Macro-recognition not only reinforces desired behaviours but also contributes to a culture of performance and appreciation. Yang, Jiang, and Cheng (2022) argue that publicly acknowledging individuals who demonstrate excellence and align with organisational values serves as a form of internal promotion, enhancing their visibility and status within the company. For Eco-Insulate, implementing formal recognition schemes can be a strategic tool to retain talent, foster engagement, and strengthen alignment between individual contributions and business objectives.</w:t>
      </w:r>
    </w:p>
    <w:p w14:paraId="2680F694" w14:textId="77777777" w:rsidR="00B268FC" w:rsidRPr="00A2634C" w:rsidRDefault="00B268FC" w:rsidP="00A2634C">
      <w:pPr>
        <w:ind w:left="-142"/>
        <w:rPr>
          <w:rFonts w:ascii="Arial" w:hAnsi="Arial" w:cs="Arial"/>
          <w:sz w:val="24"/>
          <w:szCs w:val="24"/>
        </w:rPr>
      </w:pPr>
      <w:r w:rsidRPr="00A2634C">
        <w:rPr>
          <w:rFonts w:ascii="Arial" w:hAnsi="Arial" w:cs="Arial"/>
          <w:sz w:val="24"/>
          <w:szCs w:val="24"/>
        </w:rPr>
        <w:t>Non-monetary recognition, including flexible work arrangements and professional development opportunities, supports employee well-being and long-term engagement by aligning rewards with personal values and goals (Figueiredo et al., 2025)</w:t>
      </w:r>
    </w:p>
    <w:p w14:paraId="3C804FF4" w14:textId="77777777" w:rsidR="00B268FC" w:rsidRPr="00A2634C" w:rsidRDefault="00B268FC" w:rsidP="00A2634C">
      <w:pPr>
        <w:ind w:left="-142"/>
        <w:rPr>
          <w:rFonts w:ascii="Arial" w:hAnsi="Arial" w:cs="Arial"/>
          <w:color w:val="EE0000"/>
          <w:sz w:val="24"/>
          <w:szCs w:val="24"/>
        </w:rPr>
      </w:pPr>
    </w:p>
    <w:p w14:paraId="2188195C" w14:textId="77777777" w:rsidR="00B268FC" w:rsidRPr="00A2634C" w:rsidRDefault="00B268FC" w:rsidP="00A2634C">
      <w:pPr>
        <w:tabs>
          <w:tab w:val="left" w:pos="0"/>
          <w:tab w:val="num" w:pos="426"/>
        </w:tabs>
        <w:spacing w:after="75" w:line="240" w:lineRule="auto"/>
        <w:ind w:left="-142"/>
        <w:rPr>
          <w:rFonts w:ascii="Arial" w:hAnsi="Arial" w:cs="Arial"/>
          <w:b/>
          <w:bCs/>
          <w:sz w:val="24"/>
          <w:szCs w:val="24"/>
          <w:u w:val="single"/>
        </w:rPr>
      </w:pPr>
      <w:bookmarkStart w:id="5" w:name="_Hlk175747953"/>
      <w:bookmarkEnd w:id="4"/>
      <w:r w:rsidRPr="00A2634C">
        <w:rPr>
          <w:rFonts w:ascii="Arial" w:hAnsi="Arial" w:cs="Arial"/>
          <w:b/>
          <w:bCs/>
          <w:sz w:val="24"/>
          <w:szCs w:val="24"/>
          <w:u w:val="single"/>
        </w:rPr>
        <w:t>3.1 Assess the business context of the reward environment.321</w:t>
      </w:r>
    </w:p>
    <w:p w14:paraId="7D41B077" w14:textId="77777777" w:rsidR="00B268FC" w:rsidRPr="00A2634C" w:rsidRDefault="00B268FC" w:rsidP="00A2634C">
      <w:pPr>
        <w:tabs>
          <w:tab w:val="left" w:pos="0"/>
          <w:tab w:val="num" w:pos="284"/>
        </w:tabs>
        <w:spacing w:after="75" w:line="240" w:lineRule="auto"/>
        <w:ind w:left="-142" w:hanging="153"/>
        <w:rPr>
          <w:rFonts w:ascii="Arial" w:hAnsi="Arial" w:cs="Arial"/>
          <w:sz w:val="24"/>
          <w:szCs w:val="24"/>
        </w:rPr>
      </w:pPr>
      <w:r w:rsidRPr="00A2634C">
        <w:rPr>
          <w:rFonts w:ascii="Arial" w:hAnsi="Arial" w:cs="Arial"/>
          <w:color w:val="EE0000"/>
          <w:sz w:val="24"/>
          <w:szCs w:val="24"/>
        </w:rPr>
        <w:t xml:space="preserve">  </w:t>
      </w:r>
      <w:r w:rsidRPr="00A2634C">
        <w:rPr>
          <w:rFonts w:ascii="Arial" w:hAnsi="Arial" w:cs="Arial"/>
          <w:sz w:val="24"/>
          <w:szCs w:val="24"/>
        </w:rPr>
        <w:t>Effective reward management requires consideration of the external business environment, as its relevance and impact may evolve over time. A PESTLE analysis helps identify key macro-environmental factors, political, economic, social, technological, legal, and environmental, that can influence organisational reward decisions (CIPD, 2023). For Eco-Insulate, three components of the PESTLE framework are particularly influential: legal regulations, economic conditions, and social expectations, all of which shape how rewards are structured and delivered.</w:t>
      </w:r>
    </w:p>
    <w:p w14:paraId="5C1BC176" w14:textId="77777777" w:rsidR="00B268FC" w:rsidRPr="00A2634C" w:rsidRDefault="00B268FC" w:rsidP="00A2634C">
      <w:pPr>
        <w:tabs>
          <w:tab w:val="left" w:pos="0"/>
          <w:tab w:val="num" w:pos="284"/>
        </w:tabs>
        <w:spacing w:after="75" w:line="240" w:lineRule="auto"/>
        <w:ind w:left="-142" w:hanging="153"/>
        <w:rPr>
          <w:rFonts w:ascii="Arial" w:hAnsi="Arial" w:cs="Arial"/>
          <w:color w:val="EE0000"/>
          <w:sz w:val="24"/>
          <w:szCs w:val="24"/>
        </w:rPr>
      </w:pPr>
    </w:p>
    <w:p w14:paraId="2FD9AC00"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Legal considerations, such as those outlined in the UK Equality Act 2010, require organisations to ensure equitable pay practices across gender, ethnicity, and disability. This legal framework obliges employers to conduct regular audits of their compensation structures to maintain compliance, thereby shaping the design and implementation of remuneration policies (CIPD, 2023).</w:t>
      </w:r>
      <w:r w:rsidRPr="00A2634C">
        <w:rPr>
          <w:rFonts w:ascii="Arial" w:hAnsi="Arial" w:cs="Arial"/>
          <w:color w:val="424242"/>
          <w:sz w:val="24"/>
          <w:szCs w:val="24"/>
          <w:shd w:val="clear" w:color="auto" w:fill="FAFAFA"/>
        </w:rPr>
        <w:t xml:space="preserve"> </w:t>
      </w:r>
      <w:r w:rsidRPr="00A2634C">
        <w:rPr>
          <w:rFonts w:ascii="Arial" w:hAnsi="Arial" w:cs="Arial"/>
          <w:sz w:val="24"/>
          <w:szCs w:val="24"/>
        </w:rPr>
        <w:t>While organisations may comply with legislative requirements, such regulations they often only establish the minimum standards, and working conditions may still fall short of employee expectations. In this context, trade unions play a critical role that help ensure fair and consistent treatment of employees.</w:t>
      </w:r>
    </w:p>
    <w:p w14:paraId="4CA85790"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p>
    <w:p w14:paraId="713407CD"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Social dynamics, particularly the evolving employee expectations around wellbeing and work-life balance, play a significant role in shaping organisational reward strategies. There has been an increase in this especially those from younger and more diverse demographics who place a high value on benefits such as flexible working arrangements, extended parental leave, and meaningful recognition initiatives (Hammer &amp; Palmgren, 2019).</w:t>
      </w:r>
    </w:p>
    <w:p w14:paraId="741C312A"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p>
    <w:p w14:paraId="78971576" w14:textId="77777777" w:rsidR="00B268FC" w:rsidRPr="00A2634C" w:rsidRDefault="00B268FC" w:rsidP="00A2634C">
      <w:pPr>
        <w:tabs>
          <w:tab w:val="left" w:pos="0"/>
          <w:tab w:val="num" w:pos="284"/>
        </w:tabs>
        <w:spacing w:after="75" w:line="240" w:lineRule="auto"/>
        <w:ind w:left="-142"/>
        <w:rPr>
          <w:rFonts w:ascii="Arial" w:hAnsi="Arial" w:cs="Arial"/>
          <w:sz w:val="24"/>
          <w:szCs w:val="24"/>
          <w:shd w:val="clear" w:color="auto" w:fill="FFFFFF"/>
        </w:rPr>
      </w:pPr>
      <w:r w:rsidRPr="00A2634C">
        <w:rPr>
          <w:rFonts w:ascii="Arial" w:hAnsi="Arial" w:cs="Arial"/>
          <w:sz w:val="24"/>
          <w:szCs w:val="24"/>
          <w:shd w:val="clear" w:color="auto" w:fill="FFFFFF"/>
        </w:rPr>
        <w:t xml:space="preserve">Finally, economic conditions are a critical external factor when influencing how an organisation will structure and adapt their reward systems. During periods of economic uncertainty or market volatility, businesses may be compelled to revise their </w:t>
      </w:r>
      <w:r w:rsidRPr="00A2634C">
        <w:rPr>
          <w:rFonts w:ascii="Arial" w:hAnsi="Arial" w:cs="Arial"/>
          <w:sz w:val="24"/>
          <w:szCs w:val="24"/>
          <w:shd w:val="clear" w:color="auto" w:fill="FFFFFF"/>
        </w:rPr>
        <w:lastRenderedPageBreak/>
        <w:t>compensation strategies to maintain financial viability. This could involve implementing variable pay schemes, freezing salary increases, or reducing working hours. Such adjustments are often necessary to balance cost management with the need to retain and motivate talent. A responsive reward strategy that accounts for economic fluctuations not only supports organisational sustainability but also helps preserve employee engagement and morale during challenging times.</w:t>
      </w:r>
    </w:p>
    <w:p w14:paraId="571F3DC9"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p>
    <w:p w14:paraId="649233D7" w14:textId="77777777" w:rsidR="00B268FC" w:rsidRPr="00A2634C" w:rsidRDefault="00B268FC" w:rsidP="00A2634C">
      <w:pPr>
        <w:tabs>
          <w:tab w:val="left" w:pos="0"/>
          <w:tab w:val="num" w:pos="284"/>
        </w:tabs>
        <w:spacing w:after="75" w:line="240" w:lineRule="auto"/>
        <w:ind w:left="-142"/>
        <w:rPr>
          <w:rFonts w:ascii="Arial" w:hAnsi="Arial" w:cs="Arial"/>
          <w:sz w:val="24"/>
          <w:szCs w:val="24"/>
          <w:u w:val="single"/>
        </w:rPr>
      </w:pPr>
      <w:bookmarkStart w:id="6" w:name="_Hlk175747998"/>
      <w:bookmarkEnd w:id="5"/>
      <w:r w:rsidRPr="00A2634C">
        <w:rPr>
          <w:rFonts w:ascii="Arial" w:hAnsi="Arial" w:cs="Arial"/>
          <w:b/>
          <w:bCs/>
          <w:sz w:val="24"/>
          <w:szCs w:val="24"/>
          <w:u w:val="single"/>
        </w:rPr>
        <w:t>3.2 Evaluate the most appropriate ways in which benchmarking data can be gathered and measured to develop insight</w:t>
      </w:r>
      <w:r w:rsidRPr="00A2634C">
        <w:rPr>
          <w:rFonts w:ascii="Arial" w:hAnsi="Arial" w:cs="Arial"/>
          <w:sz w:val="24"/>
          <w:szCs w:val="24"/>
          <w:u w:val="single"/>
        </w:rPr>
        <w:t xml:space="preserve"> 400</w:t>
      </w:r>
    </w:p>
    <w:bookmarkEnd w:id="6"/>
    <w:p w14:paraId="57DBA78E"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Fallon (2022) defines benchmarking as the process of evaluating a company’s quality, performance, and growth by comparing its practices with those of other organisations. This comparative analysis can inspire innovation and improvements in internal processes.</w:t>
      </w:r>
    </w:p>
    <w:p w14:paraId="20B7D45F"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Competitive benchmarking involves setting performance goals based on the activities and standards of competitors. By understanding what others in the industry are offering, organisations can aim to match or surpass those benchmarks. One method of competitive benchmarking is through public surveys, which may provide insights into base salaries, employee turnover, and hiring trends. However, the reliability of such data can be questionable. Competitors may choose not to disclose strategic details or may misrepresent aspects of their operations, leading to inaccurate or misleading information that offers limited strategic value.</w:t>
      </w:r>
    </w:p>
    <w:p w14:paraId="475AF590"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Another common tool is salary surveys, which assess how competitive an organisation’s pay structure is within the broader market. These surveys are typically conducted annually, but in fast-moving industries, a 12-month gap can render the data outdated and less reflective of current trends. Additionally, salary surveys often fail to account for variations in skills and experience across similar roles. For example, one company may offer higher pay due to unique competencies within its workforce, making direct comparisons less meaningful.</w:t>
      </w:r>
    </w:p>
    <w:p w14:paraId="078B5FDF"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An example of a benchmarking method is the use of platforms like Glassdoor or LinkedIn Salary Insights, where organisations can access aggregated salary data based on employee-reported information. These tools allow companies to compare compensation packages across roles, industries, and locations, helping them align their reward strategies with market expectations. However, as with other sources, the accuracy of self-reported data can vary, and should be used alongside other validated sources.</w:t>
      </w:r>
    </w:p>
    <w:p w14:paraId="08E9973A" w14:textId="77777777" w:rsidR="00B268FC" w:rsidRPr="00A2634C" w:rsidRDefault="00B268FC" w:rsidP="00A2634C">
      <w:pPr>
        <w:tabs>
          <w:tab w:val="left" w:pos="0"/>
          <w:tab w:val="num" w:pos="284"/>
        </w:tabs>
        <w:spacing w:after="75" w:line="240" w:lineRule="auto"/>
        <w:ind w:left="-142"/>
        <w:rPr>
          <w:rFonts w:ascii="Arial" w:hAnsi="Arial" w:cs="Arial"/>
          <w:strike/>
          <w:sz w:val="24"/>
          <w:szCs w:val="24"/>
        </w:rPr>
      </w:pPr>
      <w:r w:rsidRPr="00A2634C">
        <w:rPr>
          <w:rFonts w:ascii="Arial" w:hAnsi="Arial" w:cs="Arial"/>
          <w:strike/>
          <w:sz w:val="24"/>
          <w:szCs w:val="24"/>
        </w:rPr>
        <w:t>Overall, while benchmarking can be a valuable tool in shaping reward strategies, organisations must critically assess the validity and relevance of the data they use.</w:t>
      </w:r>
    </w:p>
    <w:p w14:paraId="045B3BCE"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r w:rsidRPr="00A2634C">
        <w:rPr>
          <w:rFonts w:ascii="Arial" w:hAnsi="Arial" w:cs="Arial"/>
          <w:color w:val="EE0000"/>
          <w:sz w:val="24"/>
          <w:szCs w:val="24"/>
        </w:rPr>
        <w:t xml:space="preserve">To develop meaningful insight for </w:t>
      </w:r>
      <w:proofErr w:type="gramStart"/>
      <w:r w:rsidRPr="00A2634C">
        <w:rPr>
          <w:rFonts w:ascii="Arial" w:hAnsi="Arial" w:cs="Arial"/>
          <w:color w:val="EE0000"/>
          <w:sz w:val="24"/>
          <w:szCs w:val="24"/>
        </w:rPr>
        <w:t>Eco-</w:t>
      </w:r>
      <w:proofErr w:type="gramEnd"/>
      <w:r w:rsidRPr="00A2634C">
        <w:rPr>
          <w:rFonts w:ascii="Arial" w:hAnsi="Arial" w:cs="Arial"/>
          <w:color w:val="EE0000"/>
          <w:sz w:val="24"/>
          <w:szCs w:val="24"/>
        </w:rPr>
        <w:t>Insulate UK, benchmarking data should be gathered and measured using a combination of both internal and external methods. Externally, the company can use industry salary surveys, job boards, and professional bodies to compare pay and benefits against similar organisations in their sector. Additionally, by participating in industry networks or benchmarking partnerships can offer access to anonymised data and emerging trends, helping the company stay competitive and responsive to employee needs.</w:t>
      </w:r>
    </w:p>
    <w:p w14:paraId="3B11F600"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r w:rsidRPr="00A2634C">
        <w:rPr>
          <w:rFonts w:ascii="Arial" w:hAnsi="Arial" w:cs="Arial"/>
          <w:color w:val="EE0000"/>
          <w:sz w:val="24"/>
          <w:szCs w:val="24"/>
        </w:rPr>
        <w:t xml:space="preserve">However internal methods are also an important tool, collecting qualitative data through employee surveys and exit interviews provides valuable feedback on how current reward practices are perceived. Tracking key performance indicators such as </w:t>
      </w:r>
      <w:r w:rsidRPr="00A2634C">
        <w:rPr>
          <w:rFonts w:ascii="Arial" w:hAnsi="Arial" w:cs="Arial"/>
          <w:color w:val="EE0000"/>
          <w:sz w:val="24"/>
          <w:szCs w:val="24"/>
        </w:rPr>
        <w:lastRenderedPageBreak/>
        <w:t xml:space="preserve">turnover rates, time to fill vacancies, and employee engagement scores allows Eco-Insulate to measure the effectiveness of its reward strategy. </w:t>
      </w:r>
    </w:p>
    <w:p w14:paraId="3B171F43"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p>
    <w:p w14:paraId="01172F33"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p>
    <w:p w14:paraId="717A738B" w14:textId="77777777" w:rsidR="00B268FC" w:rsidRPr="00A2634C" w:rsidRDefault="00B268FC" w:rsidP="00A2634C">
      <w:pPr>
        <w:tabs>
          <w:tab w:val="left" w:pos="0"/>
          <w:tab w:val="num" w:pos="284"/>
        </w:tabs>
        <w:spacing w:after="75" w:line="240" w:lineRule="auto"/>
        <w:ind w:left="-142"/>
        <w:rPr>
          <w:rFonts w:ascii="Arial" w:hAnsi="Arial" w:cs="Arial"/>
          <w:b/>
          <w:bCs/>
          <w:color w:val="EE0000"/>
          <w:sz w:val="24"/>
          <w:szCs w:val="24"/>
          <w:u w:val="single"/>
        </w:rPr>
      </w:pPr>
      <w:r w:rsidRPr="00A2634C">
        <w:rPr>
          <w:rFonts w:ascii="Arial" w:hAnsi="Arial" w:cs="Arial"/>
          <w:b/>
          <w:bCs/>
          <w:sz w:val="24"/>
          <w:szCs w:val="24"/>
          <w:u w:val="single"/>
        </w:rPr>
        <w:t>3.3 Explain approaches to job evaluation 532</w:t>
      </w:r>
    </w:p>
    <w:p w14:paraId="01AF884C"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ACAS, (2014) defines job evaluation as a method of determining on a systematic basis the relative importance of several different jobs. This is particularly valuable because job titles can often be vague or lack specificity. In large organisations, it’s also unrealistic to expect people professionals to have detailed knowledge of every individual role.</w:t>
      </w:r>
    </w:p>
    <w:p w14:paraId="460C80BC"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Formal job evaluation is a highly structured and systematic process, typically involving detailed criteria and ranking mechanisms supported by official documentation. This approach is often used to justify pay structures and ensure transparency. In contrast, informal job evaluation methods are less standardised and rely more on the observations and professional judgement of senior management and HR practitioners. Decisions in informal evaluations are often guided by intuition and experience rather than formal metrics.</w:t>
      </w:r>
    </w:p>
    <w:p w14:paraId="68B37DD2"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CIPD (2025) explains there are two main approaches to job evaluation, analytical schemes, where jobs are broken down into their core components, and non-analytical schemes, where whole jobs are viewed.</w:t>
      </w:r>
    </w:p>
    <w:p w14:paraId="48EEC3BF"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p>
    <w:p w14:paraId="0AD843CB"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Analytical job evaluation schemes offer a more objective approach by systematically breaking down roles into measurable components. Common methods include points rating and factor comparison. In the points rating method, jobs are assessed against predefined factors such as knowledge, responsibility, physical effort, communication skills, and initiative, with each factor assigned a weighted score based on its demands. The total score reflects the job’s relative value within the organisation. Similarly factor comparison also evaluates roles based on similar criteria, however, is does not assign numerical values, making it less commonly used. These methods provide a structured framework for evaluating roles, supporting consistency and fairness in job grading and reward decisions. CIPD (2025) suggest that employers are more likely to use an analytical scheme. This is because such schemes help provide a defence against equal pay claims.</w:t>
      </w:r>
    </w:p>
    <w:p w14:paraId="25AD6836"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p>
    <w:p w14:paraId="0883B291"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Although these methods are generally less objective than analytical job evaluation schemes, they are often preferred for their simplicity, cost-effectiveness, and speed of implementation. Common approaches used by employers include job ranking, paired comparisons, and job classification. Job ranking involves ordering roles based on their perceived importance, complexity, or value to the organisation. Paired comparisons take a more detailed approach by evaluating each job against others individually, which can be more time-consuming. Job classification, on the other hand, assigns roles to a set number of predefined grades, based on criteria such as tasks performed, required skills and competencies. This method ensures clear distinctions between grades and facilitates consistent job placement across the organisation (CIPD, 2025).</w:t>
      </w:r>
    </w:p>
    <w:p w14:paraId="3F661B13"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r w:rsidRPr="00A2634C">
        <w:rPr>
          <w:rFonts w:ascii="Arial" w:hAnsi="Arial" w:cs="Arial"/>
          <w:color w:val="EE0000"/>
          <w:sz w:val="24"/>
          <w:szCs w:val="24"/>
        </w:rPr>
        <w:t xml:space="preserve">For Eco-Insulate UK, implementing job evaluation would help establish a fair and transparent pay structure, which is currently lacking and contributing to employee </w:t>
      </w:r>
      <w:r w:rsidRPr="00A2634C">
        <w:rPr>
          <w:rFonts w:ascii="Arial" w:hAnsi="Arial" w:cs="Arial"/>
          <w:color w:val="EE0000"/>
          <w:sz w:val="24"/>
          <w:szCs w:val="24"/>
        </w:rPr>
        <w:lastRenderedPageBreak/>
        <w:t>dissatisfaction and turnover. By evaluating jobs based on factors such as skill level, responsibilities, working conditions, and impact on business outcomes, the company can ensure that pay levels are equitable and aligned with the skill and contribution needed for each role. This process supports internal fairness, helps avoid bias or favouritism, and provides a foundation for performance-related pay and career progression. Additionally, job evaluation can aid in benchmarking roles against market rates, ensuring that Eco-Insulate remains competitive in attracting and retaining talent. Overall, it is a critical tool for improving transparency, boosting morale, and aligning reward practices with both legal standards and strategic goals.</w:t>
      </w:r>
    </w:p>
    <w:p w14:paraId="4B297CCC"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r w:rsidRPr="00A2634C">
        <w:rPr>
          <w:rFonts w:ascii="Arial" w:hAnsi="Arial" w:cs="Arial"/>
          <w:color w:val="EE0000"/>
          <w:sz w:val="24"/>
          <w:szCs w:val="24"/>
        </w:rPr>
        <w:t xml:space="preserve">   </w:t>
      </w:r>
    </w:p>
    <w:p w14:paraId="11A5703C" w14:textId="77777777" w:rsidR="00B268FC" w:rsidRPr="00A2634C" w:rsidRDefault="00B268FC" w:rsidP="00A2634C">
      <w:pPr>
        <w:tabs>
          <w:tab w:val="left" w:pos="0"/>
          <w:tab w:val="num" w:pos="284"/>
        </w:tabs>
        <w:spacing w:after="75" w:line="240" w:lineRule="auto"/>
        <w:ind w:left="-142"/>
        <w:rPr>
          <w:rFonts w:ascii="Arial" w:hAnsi="Arial" w:cs="Arial"/>
          <w:b/>
          <w:bCs/>
          <w:sz w:val="24"/>
          <w:szCs w:val="24"/>
          <w:u w:val="single"/>
        </w:rPr>
      </w:pPr>
      <w:bookmarkStart w:id="7" w:name="_Hlk175748078"/>
      <w:r w:rsidRPr="00A2634C">
        <w:rPr>
          <w:rFonts w:ascii="Arial" w:hAnsi="Arial" w:cs="Arial"/>
          <w:b/>
          <w:bCs/>
          <w:sz w:val="24"/>
          <w:szCs w:val="24"/>
          <w:u w:val="single"/>
        </w:rPr>
        <w:t>3.4 Explain the legislative requirements that impact reward practice. 335</w:t>
      </w:r>
    </w:p>
    <w:p w14:paraId="12CF6446" w14:textId="77777777" w:rsidR="00B268FC" w:rsidRPr="00A2634C" w:rsidRDefault="00B268FC" w:rsidP="00A2634C">
      <w:pPr>
        <w:tabs>
          <w:tab w:val="left" w:pos="0"/>
          <w:tab w:val="num" w:pos="284"/>
        </w:tabs>
        <w:spacing w:after="75" w:line="240" w:lineRule="auto"/>
        <w:rPr>
          <w:rFonts w:ascii="Arial" w:hAnsi="Arial" w:cs="Arial"/>
          <w:color w:val="EE0000"/>
          <w:sz w:val="24"/>
          <w:szCs w:val="24"/>
        </w:rPr>
      </w:pPr>
    </w:p>
    <w:p w14:paraId="394686EE"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Reward practices in the UK are significantly shaped by employment legislation, particularly those governing pay, equality, and employee entitlements. The National Minimum Wage Act 1998 mandates that all employees receive at least the statutory minimum wage, which is reviewed annually.</w:t>
      </w:r>
      <w:r w:rsidRPr="00A2634C">
        <w:rPr>
          <w:rFonts w:ascii="Arial" w:hAnsi="Arial" w:cs="Arial"/>
          <w:color w:val="EE0000"/>
          <w:sz w:val="24"/>
          <w:szCs w:val="24"/>
        </w:rPr>
        <w:t xml:space="preserve"> The current national minimum wage is £12.21 for over 21’s, £10.00 for </w:t>
      </w:r>
      <w:proofErr w:type="gramStart"/>
      <w:r w:rsidRPr="00A2634C">
        <w:rPr>
          <w:rFonts w:ascii="Arial" w:hAnsi="Arial" w:cs="Arial"/>
          <w:color w:val="EE0000"/>
          <w:sz w:val="24"/>
          <w:szCs w:val="24"/>
        </w:rPr>
        <w:t>18-20 year olds</w:t>
      </w:r>
      <w:proofErr w:type="gramEnd"/>
      <w:r w:rsidRPr="00A2634C">
        <w:rPr>
          <w:rFonts w:ascii="Arial" w:hAnsi="Arial" w:cs="Arial"/>
          <w:color w:val="EE0000"/>
          <w:sz w:val="24"/>
          <w:szCs w:val="24"/>
        </w:rPr>
        <w:t xml:space="preserve">, and £7.55 for U18’s or an apprentice (Gov, 2025). </w:t>
      </w:r>
      <w:r w:rsidRPr="00A2634C">
        <w:rPr>
          <w:rFonts w:ascii="Arial" w:hAnsi="Arial" w:cs="Arial"/>
          <w:sz w:val="24"/>
          <w:szCs w:val="24"/>
        </w:rPr>
        <w:t xml:space="preserve"> Employers must ensure that any bonuses or deductions do not reduce an employee’s pay below this threshold.</w:t>
      </w:r>
    </w:p>
    <w:p w14:paraId="61B32676"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p>
    <w:p w14:paraId="30D75A14"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r w:rsidRPr="00A2634C">
        <w:rPr>
          <w:rFonts w:ascii="Arial" w:hAnsi="Arial" w:cs="Arial"/>
          <w:sz w:val="24"/>
          <w:szCs w:val="24"/>
        </w:rPr>
        <w:t>The Equality Act 2010 requires that men and women receive equal pay for equal work. This includes not only base salary but also bonuses, benefits, and other contractual terms. Reward schemes must therefore be designed to avoid any form of discrimination and to ensure fairness across all protected characteristics. Annual leave entitlements are governed by the Working Time Regulations 1998, which stipulate a minimum of 5.6 weeks of paid holiday per year for all workers, regardless of contract type. This legal minimum must be factored into any reward strategy, particularly when offering time-off as a benefit. Additionally, the Pensions Act 2008 obliges employers to contribute a minimum of 3% of an employee’s qualifying earnings into a workplace pension scheme. This statutory requirement directly influences the structure of total reward packages offered by organisations.</w:t>
      </w:r>
    </w:p>
    <w:p w14:paraId="50A7899B" w14:textId="77777777" w:rsidR="00B268FC" w:rsidRPr="00A2634C" w:rsidRDefault="00B268FC" w:rsidP="00A2634C">
      <w:pPr>
        <w:tabs>
          <w:tab w:val="left" w:pos="0"/>
          <w:tab w:val="num" w:pos="284"/>
        </w:tabs>
        <w:spacing w:after="75" w:line="240" w:lineRule="auto"/>
        <w:ind w:left="-142"/>
        <w:rPr>
          <w:rFonts w:ascii="Arial" w:hAnsi="Arial" w:cs="Arial"/>
          <w:sz w:val="24"/>
          <w:szCs w:val="24"/>
        </w:rPr>
      </w:pPr>
    </w:p>
    <w:p w14:paraId="4656DF11" w14:textId="77777777" w:rsidR="00B268FC" w:rsidRPr="00A2634C" w:rsidRDefault="00B268FC" w:rsidP="00A2634C">
      <w:pPr>
        <w:tabs>
          <w:tab w:val="left" w:pos="0"/>
          <w:tab w:val="num" w:pos="284"/>
        </w:tabs>
        <w:spacing w:after="75" w:line="240" w:lineRule="auto"/>
        <w:ind w:left="-142"/>
        <w:rPr>
          <w:rFonts w:ascii="Arial" w:hAnsi="Arial" w:cs="Arial"/>
          <w:strike/>
          <w:sz w:val="24"/>
          <w:szCs w:val="24"/>
        </w:rPr>
      </w:pPr>
      <w:r w:rsidRPr="00A2634C">
        <w:rPr>
          <w:rFonts w:ascii="Arial" w:hAnsi="Arial" w:cs="Arial"/>
          <w:strike/>
          <w:sz w:val="24"/>
          <w:szCs w:val="24"/>
        </w:rPr>
        <w:t>Together, these laws establish a legal baseline that all reward practices must meet or exceed, ensuring fairness, compliance, and protection for employees.</w:t>
      </w:r>
      <w:bookmarkEnd w:id="7"/>
    </w:p>
    <w:p w14:paraId="0DB86E43" w14:textId="77777777" w:rsidR="00B268FC" w:rsidRPr="00A2634C" w:rsidRDefault="00B268FC" w:rsidP="00A2634C">
      <w:pPr>
        <w:tabs>
          <w:tab w:val="left" w:pos="0"/>
          <w:tab w:val="num" w:pos="284"/>
        </w:tabs>
        <w:spacing w:after="75" w:line="240" w:lineRule="auto"/>
        <w:ind w:left="-142"/>
        <w:rPr>
          <w:rFonts w:ascii="Arial" w:hAnsi="Arial" w:cs="Arial"/>
          <w:color w:val="EE0000"/>
          <w:sz w:val="24"/>
          <w:szCs w:val="24"/>
        </w:rPr>
      </w:pPr>
      <w:r w:rsidRPr="00A2634C">
        <w:rPr>
          <w:rFonts w:ascii="Arial" w:hAnsi="Arial" w:cs="Arial"/>
          <w:color w:val="EE0000"/>
          <w:sz w:val="24"/>
          <w:szCs w:val="24"/>
        </w:rPr>
        <w:t>Additionally keeping legislative requirements in mind can significantly assist Eco-Insulate UK in strengthening its market position. Compliance with employment law not only protects the company from legal risks such as fines, tribunal claims, and reputational damage, but also helps build a fair, inclusive, and attractive workplace to aid recruitment. By aligning reward and benefits strategies with current legislation, for example offering flexible working from day one, ensuring pay transparency, and updating family-friendly policies, this will contribute to a more motivated and productive workforce, which in turn boosts operational efficiency and customer satisfaction. Moreover, being seen as a responsible and compliant employer helps attract top talent in a competitive market, reinforces the company’s brand reputation, and supports long-term sustainability and reduced turnover.</w:t>
      </w:r>
    </w:p>
    <w:p w14:paraId="52EB1E5B" w14:textId="77777777" w:rsidR="00B268FC" w:rsidRDefault="00B268FC" w:rsidP="00A2634C">
      <w:pPr>
        <w:jc w:val="both"/>
      </w:pPr>
    </w:p>
    <w:p w14:paraId="5663E95C" w14:textId="77777777" w:rsidR="00B268FC" w:rsidRDefault="00B268FC" w:rsidP="00A2634C">
      <w:pPr>
        <w:jc w:val="both"/>
        <w:rPr>
          <w:rFonts w:ascii="Arial" w:hAnsi="Arial" w:cs="Arial"/>
          <w:b/>
          <w:bCs/>
          <w:sz w:val="24"/>
          <w:szCs w:val="24"/>
          <w:u w:val="single"/>
        </w:rPr>
      </w:pPr>
    </w:p>
    <w:p w14:paraId="51FC56F2" w14:textId="77777777" w:rsidR="00B268FC" w:rsidRDefault="00B268FC" w:rsidP="00E97068">
      <w:pPr>
        <w:rPr>
          <w:rFonts w:ascii="Arial" w:hAnsi="Arial" w:cs="Arial"/>
          <w:b/>
          <w:bCs/>
          <w:sz w:val="24"/>
          <w:szCs w:val="24"/>
          <w:u w:val="single"/>
        </w:rPr>
      </w:pPr>
      <w:r w:rsidRPr="009B5D66">
        <w:rPr>
          <w:rFonts w:ascii="Arial" w:hAnsi="Arial" w:cs="Arial"/>
          <w:b/>
          <w:bCs/>
          <w:sz w:val="24"/>
          <w:szCs w:val="24"/>
          <w:u w:val="single"/>
        </w:rPr>
        <w:lastRenderedPageBreak/>
        <w:t>References</w:t>
      </w:r>
    </w:p>
    <w:p w14:paraId="58A06AAA" w14:textId="77777777" w:rsidR="00B268FC" w:rsidRPr="00CD623F" w:rsidRDefault="00B268FC" w:rsidP="00E97068">
      <w:pPr>
        <w:rPr>
          <w:rFonts w:ascii="Arial" w:hAnsi="Arial" w:cs="Arial"/>
          <w:sz w:val="24"/>
          <w:szCs w:val="24"/>
        </w:rPr>
      </w:pPr>
      <w:proofErr w:type="spellStart"/>
      <w:r w:rsidRPr="00CD623F">
        <w:rPr>
          <w:rFonts w:ascii="Arial" w:hAnsi="Arial" w:cs="Arial"/>
          <w:sz w:val="24"/>
          <w:szCs w:val="24"/>
        </w:rPr>
        <w:t>Acas</w:t>
      </w:r>
      <w:proofErr w:type="spellEnd"/>
      <w:r w:rsidRPr="00CD623F">
        <w:rPr>
          <w:rFonts w:ascii="Arial" w:hAnsi="Arial" w:cs="Arial"/>
          <w:sz w:val="24"/>
          <w:szCs w:val="24"/>
        </w:rPr>
        <w:t>. (2014). </w:t>
      </w:r>
      <w:r w:rsidRPr="00CD623F">
        <w:rPr>
          <w:rFonts w:ascii="Arial" w:hAnsi="Arial" w:cs="Arial"/>
          <w:i/>
          <w:iCs/>
          <w:sz w:val="24"/>
          <w:szCs w:val="24"/>
        </w:rPr>
        <w:t>Job evaluation: Considerations and risks advice booklet</w:t>
      </w:r>
      <w:r w:rsidRPr="00CD623F">
        <w:rPr>
          <w:rFonts w:ascii="Arial" w:hAnsi="Arial" w:cs="Arial"/>
          <w:sz w:val="24"/>
          <w:szCs w:val="24"/>
        </w:rPr>
        <w:t>. </w:t>
      </w:r>
      <w:r w:rsidRPr="009D1D9C">
        <w:rPr>
          <w:rFonts w:ascii="Arial" w:hAnsi="Arial" w:cs="Arial"/>
          <w:sz w:val="24"/>
          <w:szCs w:val="24"/>
        </w:rPr>
        <w:t>https://www.acas.org.uk/job-evaluation-considerations-and-risks-advice-booklet</w:t>
      </w:r>
    </w:p>
    <w:p w14:paraId="1D28D30D" w14:textId="77777777" w:rsidR="00B268FC" w:rsidRPr="00CD623F" w:rsidRDefault="00B268FC" w:rsidP="00E97068">
      <w:pPr>
        <w:pStyle w:val="Heading1"/>
        <w:shd w:val="clear" w:color="auto" w:fill="FFFFFF"/>
        <w:spacing w:before="0" w:after="315" w:line="360" w:lineRule="auto"/>
        <w:rPr>
          <w:rFonts w:ascii="Arial" w:hAnsi="Arial" w:cs="Arial"/>
          <w:color w:val="auto"/>
          <w:sz w:val="24"/>
          <w:szCs w:val="24"/>
          <w:shd w:val="clear" w:color="auto" w:fill="FFFFFF"/>
        </w:rPr>
      </w:pPr>
      <w:r w:rsidRPr="00CD623F">
        <w:rPr>
          <w:rFonts w:ascii="Arial" w:hAnsi="Arial" w:cs="Arial"/>
          <w:color w:val="auto"/>
          <w:sz w:val="24"/>
          <w:szCs w:val="24"/>
          <w:shd w:val="clear" w:color="auto" w:fill="FFFFFF"/>
        </w:rPr>
        <w:t>Afful-Broni, A. (2012) Relationship between Motivation and Job Performance at the University of Mines and Technology, Tarkwa, Ghana: Leadership Lessons. </w:t>
      </w:r>
      <w:r w:rsidRPr="00CD623F">
        <w:rPr>
          <w:rFonts w:ascii="Arial" w:hAnsi="Arial" w:cs="Arial"/>
          <w:i/>
          <w:iCs/>
          <w:color w:val="auto"/>
          <w:sz w:val="24"/>
          <w:szCs w:val="24"/>
          <w:shd w:val="clear" w:color="auto" w:fill="FFFFFF"/>
        </w:rPr>
        <w:t xml:space="preserve">Creative Education. </w:t>
      </w:r>
      <w:r w:rsidRPr="00CD623F">
        <w:rPr>
          <w:rFonts w:ascii="Arial" w:hAnsi="Arial" w:cs="Arial"/>
          <w:color w:val="auto"/>
          <w:sz w:val="24"/>
          <w:szCs w:val="24"/>
          <w:shd w:val="clear" w:color="auto" w:fill="FFFFFF"/>
        </w:rPr>
        <w:t>3, 309-314.</w:t>
      </w:r>
    </w:p>
    <w:p w14:paraId="423564A7" w14:textId="77777777" w:rsidR="00B268FC" w:rsidRPr="00CD623F" w:rsidRDefault="00B268FC" w:rsidP="00E97068">
      <w:pPr>
        <w:pStyle w:val="Heading1"/>
        <w:shd w:val="clear" w:color="auto" w:fill="FFFFFF"/>
        <w:spacing w:before="0" w:after="315" w:line="360" w:lineRule="auto"/>
        <w:rPr>
          <w:rFonts w:ascii="Arial" w:eastAsia="Times New Roman" w:hAnsi="Arial" w:cs="Arial"/>
          <w:color w:val="auto"/>
          <w:kern w:val="36"/>
          <w:sz w:val="24"/>
          <w:szCs w:val="24"/>
          <w:lang w:eastAsia="en-GB"/>
        </w:rPr>
      </w:pPr>
      <w:r w:rsidRPr="00CD623F">
        <w:rPr>
          <w:rFonts w:ascii="Arial" w:hAnsi="Arial" w:cs="Arial"/>
          <w:color w:val="auto"/>
          <w:sz w:val="24"/>
          <w:szCs w:val="24"/>
        </w:rPr>
        <w:t>Armstrong, M</w:t>
      </w:r>
      <w:r w:rsidRPr="00CD623F">
        <w:rPr>
          <w:rFonts w:ascii="Arial" w:hAnsi="Arial" w:cs="Arial"/>
          <w:i/>
          <w:iCs/>
          <w:color w:val="auto"/>
          <w:sz w:val="24"/>
          <w:szCs w:val="24"/>
        </w:rPr>
        <w:t xml:space="preserve">. (2010) </w:t>
      </w:r>
      <w:r w:rsidRPr="00CD623F">
        <w:rPr>
          <w:rFonts w:ascii="Arial" w:eastAsia="Times New Roman" w:hAnsi="Arial" w:cs="Arial"/>
          <w:i/>
          <w:iCs/>
          <w:color w:val="auto"/>
          <w:kern w:val="36"/>
          <w:sz w:val="24"/>
          <w:szCs w:val="24"/>
          <w:lang w:eastAsia="en-GB"/>
        </w:rPr>
        <w:t>A Handbook of Employee Reward Management and Practice</w:t>
      </w:r>
      <w:r w:rsidRPr="00CD623F">
        <w:rPr>
          <w:rFonts w:ascii="Arial" w:eastAsia="Times New Roman" w:hAnsi="Arial" w:cs="Arial"/>
          <w:color w:val="auto"/>
          <w:kern w:val="36"/>
          <w:sz w:val="24"/>
          <w:szCs w:val="24"/>
          <w:lang w:eastAsia="en-GB"/>
        </w:rPr>
        <w:t>. 2nd Edition. London: Kogan Page.</w:t>
      </w:r>
    </w:p>
    <w:p w14:paraId="156326B9" w14:textId="77777777" w:rsidR="00B268FC" w:rsidRPr="00CD623F" w:rsidRDefault="00B268FC" w:rsidP="00E97068">
      <w:pPr>
        <w:pStyle w:val="Heading1"/>
        <w:shd w:val="clear" w:color="auto" w:fill="FFFFFF"/>
        <w:spacing w:before="0" w:after="315" w:line="360" w:lineRule="auto"/>
        <w:rPr>
          <w:rFonts w:ascii="Arial" w:eastAsia="Times New Roman" w:hAnsi="Arial" w:cs="Arial"/>
          <w:color w:val="auto"/>
          <w:kern w:val="36"/>
          <w:sz w:val="24"/>
          <w:szCs w:val="24"/>
          <w:lang w:eastAsia="en-GB"/>
        </w:rPr>
      </w:pPr>
      <w:r w:rsidRPr="00CD623F">
        <w:rPr>
          <w:rFonts w:ascii="Arial" w:hAnsi="Arial" w:cs="Arial"/>
          <w:color w:val="auto"/>
          <w:sz w:val="24"/>
          <w:szCs w:val="24"/>
        </w:rPr>
        <w:t>Armstrong, M. (2006). </w:t>
      </w:r>
      <w:r w:rsidRPr="00CD623F">
        <w:rPr>
          <w:rFonts w:ascii="Arial" w:hAnsi="Arial" w:cs="Arial"/>
          <w:i/>
          <w:iCs/>
          <w:color w:val="auto"/>
          <w:sz w:val="24"/>
          <w:szCs w:val="24"/>
        </w:rPr>
        <w:t>Performance Management: Key Strategies and Practical Guidelines</w:t>
      </w:r>
      <w:r w:rsidRPr="00CD623F">
        <w:rPr>
          <w:rFonts w:ascii="Arial" w:hAnsi="Arial" w:cs="Arial"/>
          <w:color w:val="auto"/>
          <w:sz w:val="24"/>
          <w:szCs w:val="24"/>
        </w:rPr>
        <w:t>. 3rd ed. London: Kogan Page.</w:t>
      </w:r>
    </w:p>
    <w:p w14:paraId="17D148B2" w14:textId="77777777" w:rsidR="00B268FC" w:rsidRPr="00CD623F" w:rsidRDefault="00B268FC" w:rsidP="00E97068">
      <w:pPr>
        <w:pStyle w:val="Heading1"/>
        <w:shd w:val="clear" w:color="auto" w:fill="FFFFFF"/>
        <w:spacing w:before="0" w:after="315" w:line="360" w:lineRule="auto"/>
        <w:rPr>
          <w:rFonts w:ascii="Arial" w:hAnsi="Arial" w:cs="Arial"/>
          <w:color w:val="auto"/>
          <w:sz w:val="24"/>
          <w:szCs w:val="24"/>
        </w:rPr>
      </w:pPr>
      <w:r w:rsidRPr="00CD623F">
        <w:rPr>
          <w:rFonts w:ascii="Arial" w:hAnsi="Arial" w:cs="Arial"/>
          <w:color w:val="auto"/>
          <w:sz w:val="24"/>
          <w:szCs w:val="24"/>
        </w:rPr>
        <w:t xml:space="preserve">Arnold, J. (2005) </w:t>
      </w:r>
      <w:r w:rsidRPr="00CD623F">
        <w:rPr>
          <w:rFonts w:ascii="Arial" w:hAnsi="Arial" w:cs="Arial"/>
          <w:i/>
          <w:iCs/>
          <w:color w:val="auto"/>
          <w:sz w:val="24"/>
          <w:szCs w:val="24"/>
        </w:rPr>
        <w:t>Work Psychology: Understanding Human Behaviour in the Workplace.</w:t>
      </w:r>
      <w:r w:rsidRPr="00CD623F">
        <w:rPr>
          <w:rFonts w:ascii="Arial" w:hAnsi="Arial" w:cs="Arial"/>
          <w:color w:val="auto"/>
          <w:sz w:val="24"/>
          <w:szCs w:val="24"/>
        </w:rPr>
        <w:t xml:space="preserve"> 4th Edition. London: Prentice Hall Financial Times.</w:t>
      </w:r>
    </w:p>
    <w:p w14:paraId="52DEA510" w14:textId="77777777" w:rsidR="00B268FC" w:rsidRPr="00CD623F" w:rsidRDefault="00B268FC" w:rsidP="00E97068">
      <w:pPr>
        <w:pStyle w:val="Heading1"/>
        <w:shd w:val="clear" w:color="auto" w:fill="FFFFFF"/>
        <w:spacing w:before="0" w:after="0" w:line="264" w:lineRule="atLeast"/>
        <w:rPr>
          <w:rStyle w:val="jnlarticle"/>
          <w:rFonts w:ascii="Arial" w:hAnsi="Arial" w:cs="Arial"/>
          <w:color w:val="auto"/>
          <w:sz w:val="24"/>
          <w:szCs w:val="24"/>
          <w:shd w:val="clear" w:color="auto" w:fill="FFFFFF"/>
        </w:rPr>
      </w:pPr>
      <w:hyperlink r:id="rId6" w:tooltip="Click to search for more items by this author" w:history="1">
        <w:r w:rsidRPr="00CD623F">
          <w:rPr>
            <w:rStyle w:val="Hyperlink"/>
            <w:rFonts w:ascii="Arial" w:hAnsi="Arial" w:cs="Arial"/>
            <w:color w:val="auto"/>
            <w:sz w:val="24"/>
            <w:szCs w:val="24"/>
          </w:rPr>
          <w:t>Bhattacharya, S</w:t>
        </w:r>
      </w:hyperlink>
      <w:r w:rsidRPr="00CD623F">
        <w:rPr>
          <w:rStyle w:val="truncatedauthor"/>
          <w:rFonts w:ascii="Arial" w:hAnsi="Arial" w:cs="Arial"/>
          <w:color w:val="auto"/>
          <w:sz w:val="24"/>
          <w:szCs w:val="24"/>
          <w:shd w:val="clear" w:color="auto" w:fill="FFFFFF"/>
        </w:rPr>
        <w:t>. &amp; </w:t>
      </w:r>
      <w:hyperlink r:id="rId7" w:tooltip="Click to search for more items by this author" w:history="1">
        <w:r w:rsidRPr="00CD623F">
          <w:rPr>
            <w:rStyle w:val="Hyperlink"/>
            <w:rFonts w:ascii="Arial" w:hAnsi="Arial" w:cs="Arial"/>
            <w:color w:val="auto"/>
            <w:sz w:val="24"/>
            <w:szCs w:val="24"/>
          </w:rPr>
          <w:t>Preetha</w:t>
        </w:r>
      </w:hyperlink>
      <w:r w:rsidRPr="00CD623F">
        <w:rPr>
          <w:rStyle w:val="truncatedauthor"/>
          <w:rFonts w:ascii="Arial" w:hAnsi="Arial" w:cs="Arial"/>
          <w:color w:val="auto"/>
          <w:sz w:val="24"/>
          <w:szCs w:val="24"/>
          <w:shd w:val="clear" w:color="auto" w:fill="FFFFFF"/>
        </w:rPr>
        <w:t xml:space="preserve">, M. (2009) </w:t>
      </w:r>
      <w:r w:rsidRPr="00CD623F">
        <w:rPr>
          <w:rFonts w:ascii="Arial" w:eastAsia="Times New Roman" w:hAnsi="Arial" w:cs="Arial"/>
          <w:color w:val="auto"/>
          <w:kern w:val="36"/>
          <w:sz w:val="24"/>
          <w:szCs w:val="24"/>
          <w:lang w:eastAsia="en-GB"/>
        </w:rPr>
        <w:t xml:space="preserve">Rewards as a Key to Employee Engagement : A Comparative Study on I.T. Professionals. </w:t>
      </w:r>
      <w:hyperlink r:id="rId8" w:tooltip="Click to search for more items from this journal" w:history="1">
        <w:r w:rsidRPr="00CD623F">
          <w:rPr>
            <w:rStyle w:val="Strong"/>
            <w:rFonts w:ascii="Arial" w:hAnsi="Arial" w:cs="Arial"/>
            <w:i/>
            <w:iCs/>
            <w:color w:val="auto"/>
            <w:sz w:val="24"/>
            <w:szCs w:val="24"/>
          </w:rPr>
          <w:t>ASBM Journal of Management</w:t>
        </w:r>
      </w:hyperlink>
      <w:r w:rsidRPr="00CD623F">
        <w:rPr>
          <w:rStyle w:val="Strong"/>
          <w:rFonts w:ascii="Arial" w:hAnsi="Arial" w:cs="Arial"/>
          <w:i/>
          <w:iCs/>
          <w:color w:val="auto"/>
          <w:sz w:val="24"/>
          <w:szCs w:val="24"/>
          <w:shd w:val="clear" w:color="auto" w:fill="FFFFFF"/>
        </w:rPr>
        <w:t>.</w:t>
      </w:r>
      <w:r w:rsidRPr="00CD623F">
        <w:rPr>
          <w:rStyle w:val="Strong"/>
          <w:rFonts w:ascii="Arial" w:hAnsi="Arial" w:cs="Arial"/>
          <w:color w:val="auto"/>
          <w:sz w:val="24"/>
          <w:szCs w:val="24"/>
          <w:shd w:val="clear" w:color="auto" w:fill="FFFFFF"/>
        </w:rPr>
        <w:t xml:space="preserve"> </w:t>
      </w:r>
      <w:r w:rsidRPr="00CD623F">
        <w:rPr>
          <w:rStyle w:val="jnlarticle"/>
          <w:rFonts w:ascii="Arial" w:hAnsi="Arial" w:cs="Arial"/>
          <w:color w:val="auto"/>
          <w:sz w:val="24"/>
          <w:szCs w:val="24"/>
          <w:shd w:val="clear" w:color="auto" w:fill="FFFFFF"/>
        </w:rPr>
        <w:t>2(1) 160-175.</w:t>
      </w:r>
    </w:p>
    <w:p w14:paraId="426F2CD5" w14:textId="77777777" w:rsidR="00B268FC" w:rsidRDefault="00B268FC" w:rsidP="00E97068">
      <w:pPr>
        <w:rPr>
          <w:rFonts w:ascii="Arial" w:hAnsi="Arial" w:cs="Arial"/>
          <w:sz w:val="24"/>
          <w:szCs w:val="24"/>
          <w:shd w:val="clear" w:color="auto" w:fill="FFFFFF"/>
        </w:rPr>
      </w:pPr>
    </w:p>
    <w:p w14:paraId="3E17AEF0" w14:textId="77777777" w:rsidR="00B268FC" w:rsidRPr="00CD623F" w:rsidRDefault="00B268FC" w:rsidP="00E97068">
      <w:pPr>
        <w:rPr>
          <w:rFonts w:ascii="Arial" w:hAnsi="Arial" w:cs="Arial"/>
          <w:sz w:val="24"/>
          <w:szCs w:val="24"/>
          <w:lang w:val="en-US" w:eastAsia="en-GB"/>
        </w:rPr>
      </w:pPr>
      <w:r w:rsidRPr="00CD623F">
        <w:rPr>
          <w:rFonts w:ascii="Arial" w:hAnsi="Arial" w:cs="Arial"/>
          <w:sz w:val="24"/>
          <w:szCs w:val="24"/>
          <w:lang w:val="en-US" w:eastAsia="en-GB"/>
        </w:rPr>
        <w:t xml:space="preserve">Carraher, D., Schliemann, A., Brizuela, B., &amp; Earnest, D. (2006) Arithmetic and algebra in early mathematics education. </w:t>
      </w:r>
      <w:r w:rsidRPr="00CD623F">
        <w:rPr>
          <w:rFonts w:ascii="Arial" w:hAnsi="Arial" w:cs="Arial"/>
          <w:i/>
          <w:iCs/>
          <w:sz w:val="24"/>
          <w:szCs w:val="24"/>
          <w:lang w:val="en-US" w:eastAsia="en-GB"/>
        </w:rPr>
        <w:t>Journal for Research in Mathematics Education</w:t>
      </w:r>
      <w:r w:rsidRPr="00CD623F">
        <w:rPr>
          <w:rFonts w:ascii="Arial" w:hAnsi="Arial" w:cs="Arial"/>
          <w:sz w:val="24"/>
          <w:szCs w:val="24"/>
          <w:lang w:val="en-US" w:eastAsia="en-GB"/>
        </w:rPr>
        <w:t xml:space="preserve">. 37. 87-115. </w:t>
      </w:r>
    </w:p>
    <w:p w14:paraId="2D9EF293" w14:textId="77777777" w:rsidR="00B268FC" w:rsidRPr="00CD623F" w:rsidRDefault="00B268FC" w:rsidP="00E97068">
      <w:pPr>
        <w:spacing w:line="360" w:lineRule="auto"/>
        <w:rPr>
          <w:rFonts w:ascii="Arial" w:hAnsi="Arial" w:cs="Arial"/>
          <w:sz w:val="24"/>
          <w:szCs w:val="24"/>
        </w:rPr>
      </w:pPr>
      <w:proofErr w:type="spellStart"/>
      <w:r w:rsidRPr="00CD623F">
        <w:rPr>
          <w:rFonts w:ascii="Arial" w:hAnsi="Arial" w:cs="Arial"/>
          <w:sz w:val="24"/>
          <w:szCs w:val="24"/>
        </w:rPr>
        <w:t>Cavrenne</w:t>
      </w:r>
      <w:proofErr w:type="spellEnd"/>
      <w:r w:rsidRPr="00CD623F">
        <w:rPr>
          <w:rFonts w:ascii="Arial" w:hAnsi="Arial" w:cs="Arial"/>
          <w:sz w:val="24"/>
          <w:szCs w:val="24"/>
        </w:rPr>
        <w:t xml:space="preserve">, P. (2022) </w:t>
      </w:r>
      <w:r w:rsidRPr="00CD623F">
        <w:rPr>
          <w:rFonts w:ascii="Arial" w:hAnsi="Arial" w:cs="Arial"/>
          <w:i/>
          <w:iCs/>
          <w:sz w:val="24"/>
          <w:szCs w:val="24"/>
        </w:rPr>
        <w:t xml:space="preserve">How flexible rewards are playing a key role in employee engagement. </w:t>
      </w:r>
      <w:r w:rsidRPr="00CD623F">
        <w:rPr>
          <w:rFonts w:ascii="Arial" w:hAnsi="Arial" w:cs="Arial"/>
          <w:sz w:val="24"/>
          <w:szCs w:val="24"/>
        </w:rPr>
        <w:t xml:space="preserve">Available at: https://www.ey.com/en_be/workforce/how-flexible-rewards-are-playing-a-key-role-in-employee-engagement  (Accessed </w:t>
      </w:r>
      <w:r>
        <w:rPr>
          <w:rFonts w:ascii="Arial" w:hAnsi="Arial" w:cs="Arial"/>
          <w:sz w:val="24"/>
          <w:szCs w:val="24"/>
        </w:rPr>
        <w:t xml:space="preserve">August </w:t>
      </w:r>
      <w:r w:rsidRPr="00CD623F">
        <w:rPr>
          <w:rFonts w:ascii="Arial" w:hAnsi="Arial" w:cs="Arial"/>
          <w:sz w:val="24"/>
          <w:szCs w:val="24"/>
        </w:rPr>
        <w:t>14th</w:t>
      </w:r>
      <w:proofErr w:type="gramStart"/>
      <w:r w:rsidRPr="00CD623F">
        <w:rPr>
          <w:rFonts w:ascii="Arial" w:hAnsi="Arial" w:cs="Arial"/>
          <w:sz w:val="24"/>
          <w:szCs w:val="24"/>
        </w:rPr>
        <w:t xml:space="preserve"> 202</w:t>
      </w:r>
      <w:r>
        <w:rPr>
          <w:rFonts w:ascii="Arial" w:hAnsi="Arial" w:cs="Arial"/>
          <w:sz w:val="24"/>
          <w:szCs w:val="24"/>
        </w:rPr>
        <w:t>5</w:t>
      </w:r>
      <w:proofErr w:type="gramEnd"/>
      <w:r w:rsidRPr="00CD623F">
        <w:rPr>
          <w:rFonts w:ascii="Arial" w:hAnsi="Arial" w:cs="Arial"/>
          <w:sz w:val="24"/>
          <w:szCs w:val="24"/>
        </w:rPr>
        <w:t xml:space="preserve">). </w:t>
      </w:r>
    </w:p>
    <w:p w14:paraId="45CCAC85" w14:textId="77777777" w:rsidR="00B268FC" w:rsidRPr="00CD623F" w:rsidRDefault="00B268FC" w:rsidP="00E97068">
      <w:pPr>
        <w:spacing w:line="360" w:lineRule="auto"/>
        <w:rPr>
          <w:rFonts w:ascii="Arial" w:hAnsi="Arial" w:cs="Arial"/>
          <w:sz w:val="24"/>
          <w:szCs w:val="24"/>
        </w:rPr>
      </w:pPr>
      <w:r w:rsidRPr="004D398D">
        <w:rPr>
          <w:rFonts w:ascii="Arial" w:hAnsi="Arial" w:cs="Arial"/>
          <w:sz w:val="24"/>
          <w:szCs w:val="24"/>
        </w:rPr>
        <w:t>CIPD. (2025). </w:t>
      </w:r>
      <w:r w:rsidRPr="004D398D">
        <w:rPr>
          <w:rFonts w:ascii="Arial" w:hAnsi="Arial" w:cs="Arial"/>
          <w:i/>
          <w:iCs/>
          <w:sz w:val="24"/>
          <w:szCs w:val="24"/>
        </w:rPr>
        <w:t>Job Evaluation &amp; Market Pricing Factsheet</w:t>
      </w:r>
      <w:r w:rsidRPr="004D398D">
        <w:rPr>
          <w:rFonts w:ascii="Arial" w:hAnsi="Arial" w:cs="Arial"/>
          <w:sz w:val="24"/>
          <w:szCs w:val="24"/>
        </w:rPr>
        <w:t>. Available at: </w:t>
      </w:r>
      <w:hyperlink r:id="rId9" w:history="1">
        <w:r w:rsidRPr="008814C9">
          <w:rPr>
            <w:rStyle w:val="Hyperlink"/>
            <w:rFonts w:ascii="Arial" w:hAnsi="Arial" w:cs="Arial"/>
            <w:sz w:val="24"/>
            <w:szCs w:val="24"/>
          </w:rPr>
          <w:t>https://www.cipd.org/uk/knowledge/factsheets/market-pricing-factsheet/</w:t>
        </w:r>
      </w:hyperlink>
      <w:r>
        <w:rPr>
          <w:rFonts w:ascii="Arial" w:hAnsi="Arial" w:cs="Arial"/>
          <w:sz w:val="24"/>
          <w:szCs w:val="24"/>
        </w:rPr>
        <w:t xml:space="preserve"> (</w:t>
      </w:r>
      <w:r w:rsidRPr="004D398D">
        <w:rPr>
          <w:rFonts w:ascii="Arial" w:hAnsi="Arial" w:cs="Arial"/>
          <w:sz w:val="24"/>
          <w:szCs w:val="24"/>
        </w:rPr>
        <w:t>Accessed 1 Sep. 2025</w:t>
      </w:r>
      <w:r>
        <w:rPr>
          <w:rFonts w:ascii="Arial" w:hAnsi="Arial" w:cs="Arial"/>
          <w:sz w:val="24"/>
          <w:szCs w:val="24"/>
        </w:rPr>
        <w:t>)</w:t>
      </w:r>
    </w:p>
    <w:p w14:paraId="58035038" w14:textId="77777777" w:rsidR="00B268FC" w:rsidRPr="00CD623F" w:rsidRDefault="00B268FC" w:rsidP="00E97068">
      <w:pPr>
        <w:pStyle w:val="Heading1"/>
        <w:shd w:val="clear" w:color="auto" w:fill="FFFFFF"/>
        <w:spacing w:before="0" w:after="0" w:line="360" w:lineRule="auto"/>
        <w:rPr>
          <w:rFonts w:ascii="Arial" w:hAnsi="Arial" w:cs="Arial"/>
          <w:color w:val="auto"/>
          <w:sz w:val="24"/>
          <w:szCs w:val="24"/>
        </w:rPr>
      </w:pPr>
      <w:r w:rsidRPr="00CD623F">
        <w:rPr>
          <w:rFonts w:ascii="Arial" w:hAnsi="Arial" w:cs="Arial"/>
          <w:color w:val="auto"/>
          <w:sz w:val="24"/>
          <w:szCs w:val="24"/>
        </w:rPr>
        <w:lastRenderedPageBreak/>
        <w:t xml:space="preserve">Ceplenski, C. (2013) </w:t>
      </w:r>
      <w:r w:rsidRPr="00CD623F">
        <w:rPr>
          <w:rFonts w:ascii="Arial" w:hAnsi="Arial" w:cs="Arial"/>
          <w:i/>
          <w:iCs/>
          <w:color w:val="auto"/>
          <w:sz w:val="24"/>
          <w:szCs w:val="24"/>
        </w:rPr>
        <w:t xml:space="preserve">Employee Rewards: The Importance of Perceived Fairness. </w:t>
      </w:r>
      <w:r w:rsidRPr="00CD623F">
        <w:rPr>
          <w:rFonts w:ascii="Arial" w:hAnsi="Arial" w:cs="Arial"/>
          <w:color w:val="auto"/>
          <w:sz w:val="24"/>
          <w:szCs w:val="24"/>
        </w:rPr>
        <w:t xml:space="preserve">Available at: https://hrdailyadvisor.blr.com/2013/06/29/employee-rewards-the-importance-of-perceived-fairness/ (Accessed </w:t>
      </w:r>
      <w:r>
        <w:rPr>
          <w:rFonts w:ascii="Arial" w:hAnsi="Arial" w:cs="Arial"/>
          <w:color w:val="auto"/>
          <w:sz w:val="24"/>
          <w:szCs w:val="24"/>
        </w:rPr>
        <w:t>August</w:t>
      </w:r>
      <w:r w:rsidRPr="00CD623F">
        <w:rPr>
          <w:rFonts w:ascii="Arial" w:hAnsi="Arial" w:cs="Arial"/>
          <w:color w:val="auto"/>
          <w:sz w:val="24"/>
          <w:szCs w:val="24"/>
        </w:rPr>
        <w:t xml:space="preserve"> 1</w:t>
      </w:r>
      <w:r>
        <w:rPr>
          <w:rFonts w:ascii="Arial" w:hAnsi="Arial" w:cs="Arial"/>
          <w:color w:val="auto"/>
          <w:sz w:val="24"/>
          <w:szCs w:val="24"/>
        </w:rPr>
        <w:t>1</w:t>
      </w:r>
      <w:r w:rsidRPr="00CD623F">
        <w:rPr>
          <w:rFonts w:ascii="Arial" w:hAnsi="Arial" w:cs="Arial"/>
          <w:color w:val="auto"/>
          <w:sz w:val="24"/>
          <w:szCs w:val="24"/>
          <w:vertAlign w:val="superscript"/>
        </w:rPr>
        <w:t>th</w:t>
      </w:r>
      <w:proofErr w:type="gramStart"/>
      <w:r w:rsidRPr="00CD623F">
        <w:rPr>
          <w:rFonts w:ascii="Arial" w:hAnsi="Arial" w:cs="Arial"/>
          <w:color w:val="auto"/>
          <w:sz w:val="24"/>
          <w:szCs w:val="24"/>
        </w:rPr>
        <w:t xml:space="preserve"> 202</w:t>
      </w:r>
      <w:r>
        <w:rPr>
          <w:rFonts w:ascii="Arial" w:hAnsi="Arial" w:cs="Arial"/>
          <w:color w:val="auto"/>
          <w:sz w:val="24"/>
          <w:szCs w:val="24"/>
        </w:rPr>
        <w:t>5</w:t>
      </w:r>
      <w:proofErr w:type="gramEnd"/>
      <w:r w:rsidRPr="00CD623F">
        <w:rPr>
          <w:rFonts w:ascii="Arial" w:hAnsi="Arial" w:cs="Arial"/>
          <w:color w:val="auto"/>
          <w:sz w:val="24"/>
          <w:szCs w:val="24"/>
        </w:rPr>
        <w:t>).</w:t>
      </w:r>
    </w:p>
    <w:p w14:paraId="12294F62" w14:textId="77777777" w:rsidR="00B268FC" w:rsidRDefault="00B268FC" w:rsidP="00E97068">
      <w:pPr>
        <w:rPr>
          <w:rFonts w:ascii="Arial" w:hAnsi="Arial" w:cs="Arial"/>
          <w:sz w:val="24"/>
          <w:szCs w:val="24"/>
        </w:rPr>
      </w:pPr>
      <w:r w:rsidRPr="00CD623F">
        <w:rPr>
          <w:rFonts w:ascii="Arial" w:hAnsi="Arial" w:cs="Arial"/>
          <w:sz w:val="24"/>
          <w:szCs w:val="24"/>
        </w:rPr>
        <w:t>CIPD (2025) </w:t>
      </w:r>
      <w:r w:rsidRPr="00CD623F">
        <w:rPr>
          <w:rFonts w:ascii="Arial" w:hAnsi="Arial" w:cs="Arial"/>
          <w:i/>
          <w:iCs/>
          <w:sz w:val="24"/>
          <w:szCs w:val="24"/>
        </w:rPr>
        <w:t>Good Work Index 2025: UK Working Lives</w:t>
      </w:r>
      <w:r w:rsidRPr="00CD623F">
        <w:rPr>
          <w:rFonts w:ascii="Arial" w:hAnsi="Arial" w:cs="Arial"/>
          <w:sz w:val="24"/>
          <w:szCs w:val="24"/>
        </w:rPr>
        <w:t>. London: Chartered Institute of Personnel and Development. Available at: https://www.cipd.org (Accessed: 15 August 2025).</w:t>
      </w:r>
    </w:p>
    <w:p w14:paraId="55D730AD" w14:textId="77777777" w:rsidR="00B268FC" w:rsidRDefault="00B268FC" w:rsidP="00E97068">
      <w:pPr>
        <w:rPr>
          <w:rFonts w:ascii="Arial" w:hAnsi="Arial" w:cs="Arial"/>
          <w:color w:val="EE0000"/>
          <w:sz w:val="24"/>
          <w:szCs w:val="24"/>
        </w:rPr>
      </w:pPr>
      <w:r w:rsidRPr="00CD4C6C">
        <w:rPr>
          <w:rFonts w:ascii="Arial" w:hAnsi="Arial" w:cs="Arial"/>
          <w:color w:val="EE0000"/>
          <w:sz w:val="24"/>
          <w:szCs w:val="24"/>
        </w:rPr>
        <w:t>CIPD (2024) </w:t>
      </w:r>
      <w:r w:rsidRPr="00CD4C6C">
        <w:rPr>
          <w:rFonts w:ascii="Arial" w:hAnsi="Arial" w:cs="Arial"/>
          <w:i/>
          <w:iCs/>
          <w:color w:val="EE0000"/>
          <w:sz w:val="24"/>
          <w:szCs w:val="24"/>
        </w:rPr>
        <w:t>Bonuses and incentives factsheet</w:t>
      </w:r>
      <w:r w:rsidRPr="00CD4C6C">
        <w:rPr>
          <w:rFonts w:ascii="Arial" w:hAnsi="Arial" w:cs="Arial"/>
          <w:color w:val="EE0000"/>
          <w:sz w:val="24"/>
          <w:szCs w:val="24"/>
        </w:rPr>
        <w:t>. Chartered Institute of Personnel and Development. Available at: https://www.cipd.org/uk/knowledge/factsheets/bonuses-factsheet/ (Accessed: 2 September 2025).</w:t>
      </w:r>
    </w:p>
    <w:p w14:paraId="3B734107" w14:textId="77777777" w:rsidR="00B268FC" w:rsidRPr="00CD4C6C" w:rsidRDefault="00B268FC" w:rsidP="00E97068">
      <w:pPr>
        <w:rPr>
          <w:rFonts w:ascii="Arial" w:hAnsi="Arial" w:cs="Arial"/>
          <w:color w:val="EE0000"/>
          <w:sz w:val="24"/>
          <w:szCs w:val="24"/>
          <w:lang w:val="en-US"/>
        </w:rPr>
      </w:pPr>
      <w:r w:rsidRPr="00CA1174">
        <w:rPr>
          <w:rFonts w:ascii="Arial" w:hAnsi="Arial" w:cs="Arial"/>
          <w:b/>
          <w:bCs/>
          <w:color w:val="EE0000"/>
          <w:sz w:val="24"/>
          <w:szCs w:val="24"/>
        </w:rPr>
        <w:t>CIPD</w:t>
      </w:r>
      <w:r w:rsidRPr="00CA1174">
        <w:rPr>
          <w:rFonts w:ascii="Arial" w:hAnsi="Arial" w:cs="Arial"/>
          <w:color w:val="EE0000"/>
          <w:sz w:val="24"/>
          <w:szCs w:val="24"/>
        </w:rPr>
        <w:t> (</w:t>
      </w:r>
      <w:r>
        <w:rPr>
          <w:rFonts w:ascii="Arial" w:hAnsi="Arial" w:cs="Arial"/>
          <w:color w:val="EE0000"/>
          <w:sz w:val="24"/>
          <w:szCs w:val="24"/>
        </w:rPr>
        <w:t>2022</w:t>
      </w:r>
      <w:r w:rsidRPr="00CA1174">
        <w:rPr>
          <w:rFonts w:ascii="Arial" w:hAnsi="Arial" w:cs="Arial"/>
          <w:color w:val="EE0000"/>
          <w:sz w:val="24"/>
          <w:szCs w:val="24"/>
        </w:rPr>
        <w:t>) </w:t>
      </w:r>
      <w:r w:rsidRPr="00CA1174">
        <w:rPr>
          <w:rFonts w:ascii="Arial" w:hAnsi="Arial" w:cs="Arial"/>
          <w:i/>
          <w:iCs/>
          <w:color w:val="EE0000"/>
          <w:sz w:val="24"/>
          <w:szCs w:val="24"/>
        </w:rPr>
        <w:t>Incentives and recognition: An evidence review – Practice summary</w:t>
      </w:r>
      <w:r w:rsidRPr="00CA1174">
        <w:rPr>
          <w:rFonts w:ascii="Arial" w:hAnsi="Arial" w:cs="Arial"/>
          <w:color w:val="EE0000"/>
          <w:sz w:val="24"/>
          <w:szCs w:val="24"/>
        </w:rPr>
        <w:t>. Chartered Institute of Personnel and Development. Available at: https://www.cipd.org/globalassets/media/knowledge/knowledge-hub/evidence-reviews/incentives-recognition-practice-summary_tcm18-105466.pdf (Accessed: 2 September 2025).</w:t>
      </w:r>
    </w:p>
    <w:p w14:paraId="4F927DC3" w14:textId="77777777" w:rsidR="00B268FC" w:rsidRPr="00CD623F" w:rsidRDefault="00B268FC" w:rsidP="00E97068">
      <w:pPr>
        <w:rPr>
          <w:rFonts w:ascii="Arial" w:hAnsi="Arial" w:cs="Arial"/>
          <w:sz w:val="24"/>
          <w:szCs w:val="24"/>
        </w:rPr>
      </w:pPr>
      <w:r w:rsidRPr="00CD623F">
        <w:rPr>
          <w:rFonts w:ascii="Arial" w:hAnsi="Arial" w:cs="Arial"/>
          <w:sz w:val="24"/>
          <w:szCs w:val="24"/>
          <w:lang w:val="en-US"/>
        </w:rPr>
        <w:t>CIPD (2022</w:t>
      </w:r>
      <w:r>
        <w:rPr>
          <w:rFonts w:ascii="Arial" w:hAnsi="Arial" w:cs="Arial"/>
          <w:sz w:val="24"/>
          <w:szCs w:val="24"/>
          <w:lang w:val="en-US"/>
        </w:rPr>
        <w:t>a</w:t>
      </w:r>
      <w:r w:rsidRPr="00CD623F">
        <w:rPr>
          <w:rFonts w:ascii="Arial" w:hAnsi="Arial" w:cs="Arial"/>
          <w:sz w:val="24"/>
          <w:szCs w:val="24"/>
          <w:lang w:val="en-US"/>
        </w:rPr>
        <w:t xml:space="preserve">) </w:t>
      </w:r>
      <w:r w:rsidRPr="00CD623F">
        <w:rPr>
          <w:rFonts w:ascii="Arial" w:hAnsi="Arial" w:cs="Arial"/>
          <w:i/>
          <w:iCs/>
          <w:sz w:val="24"/>
          <w:szCs w:val="24"/>
          <w:lang w:val="en-US"/>
        </w:rPr>
        <w:t>Pay structures and pay progression | Factsheets</w:t>
      </w:r>
      <w:r w:rsidRPr="00CD623F">
        <w:rPr>
          <w:rFonts w:ascii="Arial" w:hAnsi="Arial" w:cs="Arial"/>
          <w:sz w:val="24"/>
          <w:szCs w:val="24"/>
          <w:lang w:val="en-US"/>
        </w:rPr>
        <w:t xml:space="preserve">. [online] Available at: </w:t>
      </w:r>
      <w:r w:rsidRPr="00CD623F">
        <w:rPr>
          <w:rFonts w:ascii="Arial" w:hAnsi="Arial" w:cs="Arial"/>
          <w:sz w:val="24"/>
          <w:szCs w:val="24"/>
        </w:rPr>
        <w:t xml:space="preserve">https://www.cipd.co.uk/knowledge/fundamentals/people/pay/structures-factsheet#gref. (Accessed </w:t>
      </w:r>
      <w:r>
        <w:rPr>
          <w:rFonts w:ascii="Arial" w:hAnsi="Arial" w:cs="Arial"/>
          <w:sz w:val="24"/>
          <w:szCs w:val="24"/>
        </w:rPr>
        <w:t>August</w:t>
      </w:r>
      <w:r w:rsidRPr="00CD623F">
        <w:rPr>
          <w:rFonts w:ascii="Arial" w:hAnsi="Arial" w:cs="Arial"/>
          <w:sz w:val="24"/>
          <w:szCs w:val="24"/>
        </w:rPr>
        <w:t>1</w:t>
      </w:r>
      <w:r>
        <w:rPr>
          <w:rFonts w:ascii="Arial" w:hAnsi="Arial" w:cs="Arial"/>
          <w:sz w:val="24"/>
          <w:szCs w:val="24"/>
        </w:rPr>
        <w:t>0</w:t>
      </w:r>
      <w:r w:rsidRPr="00CD623F">
        <w:rPr>
          <w:rFonts w:ascii="Arial" w:hAnsi="Arial" w:cs="Arial"/>
          <w:sz w:val="24"/>
          <w:szCs w:val="24"/>
          <w:vertAlign w:val="superscript"/>
        </w:rPr>
        <w:t>th</w:t>
      </w:r>
      <w:r w:rsidRPr="00CD623F">
        <w:rPr>
          <w:rFonts w:ascii="Arial" w:hAnsi="Arial" w:cs="Arial"/>
          <w:sz w:val="24"/>
          <w:szCs w:val="24"/>
        </w:rPr>
        <w:t xml:space="preserve"> 202</w:t>
      </w:r>
      <w:r>
        <w:rPr>
          <w:rFonts w:ascii="Arial" w:hAnsi="Arial" w:cs="Arial"/>
          <w:sz w:val="24"/>
          <w:szCs w:val="24"/>
        </w:rPr>
        <w:t>5</w:t>
      </w:r>
      <w:r w:rsidRPr="00CD623F">
        <w:rPr>
          <w:rFonts w:ascii="Arial" w:hAnsi="Arial" w:cs="Arial"/>
          <w:sz w:val="24"/>
          <w:szCs w:val="24"/>
        </w:rPr>
        <w:t>).</w:t>
      </w:r>
    </w:p>
    <w:p w14:paraId="41EF81F9" w14:textId="77777777" w:rsidR="00B268FC" w:rsidRPr="00CD623F" w:rsidRDefault="00B268FC" w:rsidP="00E97068">
      <w:pPr>
        <w:rPr>
          <w:rFonts w:ascii="Arial" w:hAnsi="Arial" w:cs="Arial"/>
          <w:sz w:val="24"/>
          <w:szCs w:val="24"/>
          <w:lang w:val="en-US"/>
        </w:rPr>
      </w:pPr>
      <w:r w:rsidRPr="00CD623F">
        <w:rPr>
          <w:rFonts w:ascii="Arial" w:hAnsi="Arial" w:cs="Arial"/>
          <w:sz w:val="24"/>
          <w:szCs w:val="24"/>
          <w:shd w:val="clear" w:color="auto" w:fill="FFFFFF"/>
        </w:rPr>
        <w:t>CIPD (2021) </w:t>
      </w:r>
      <w:r w:rsidRPr="00CD623F">
        <w:rPr>
          <w:rStyle w:val="Emphasis"/>
          <w:rFonts w:ascii="Arial" w:hAnsi="Arial" w:cs="Arial"/>
          <w:sz w:val="24"/>
          <w:szCs w:val="24"/>
          <w:shd w:val="clear" w:color="auto" w:fill="FFFFFF"/>
        </w:rPr>
        <w:t>Job Evaluation &amp; Market Pricing | Factsheets</w:t>
      </w:r>
      <w:r w:rsidRPr="00CD623F">
        <w:rPr>
          <w:rFonts w:ascii="Arial" w:hAnsi="Arial" w:cs="Arial"/>
          <w:sz w:val="24"/>
          <w:szCs w:val="24"/>
          <w:shd w:val="clear" w:color="auto" w:fill="FFFFFF"/>
        </w:rPr>
        <w:t xml:space="preserve">. [online] CIPD. Available at: https://www.cipd.co.uk/knowledge/strategy/reward/market-pricing-factsheet#gref (Accessed </w:t>
      </w:r>
      <w:r>
        <w:rPr>
          <w:rFonts w:ascii="Arial" w:hAnsi="Arial" w:cs="Arial"/>
          <w:sz w:val="24"/>
          <w:szCs w:val="24"/>
          <w:shd w:val="clear" w:color="auto" w:fill="FFFFFF"/>
        </w:rPr>
        <w:t xml:space="preserve">August </w:t>
      </w:r>
      <w:r w:rsidRPr="00CD623F">
        <w:rPr>
          <w:rFonts w:ascii="Arial" w:hAnsi="Arial" w:cs="Arial"/>
          <w:sz w:val="24"/>
          <w:szCs w:val="24"/>
          <w:shd w:val="clear" w:color="auto" w:fill="FFFFFF"/>
        </w:rPr>
        <w:t>1</w:t>
      </w:r>
      <w:r>
        <w:rPr>
          <w:rFonts w:ascii="Arial" w:hAnsi="Arial" w:cs="Arial"/>
          <w:sz w:val="24"/>
          <w:szCs w:val="24"/>
          <w:shd w:val="clear" w:color="auto" w:fill="FFFFFF"/>
        </w:rPr>
        <w:t>0</w:t>
      </w:r>
      <w:r w:rsidRPr="00CD623F">
        <w:rPr>
          <w:rFonts w:ascii="Arial" w:hAnsi="Arial" w:cs="Arial"/>
          <w:sz w:val="24"/>
          <w:szCs w:val="24"/>
          <w:shd w:val="clear" w:color="auto" w:fill="FFFFFF"/>
          <w:vertAlign w:val="superscript"/>
        </w:rPr>
        <w:t>th</w:t>
      </w:r>
      <w:proofErr w:type="gramStart"/>
      <w:r w:rsidRPr="00CD623F">
        <w:rPr>
          <w:rFonts w:ascii="Arial" w:hAnsi="Arial" w:cs="Arial"/>
          <w:sz w:val="24"/>
          <w:szCs w:val="24"/>
          <w:shd w:val="clear" w:color="auto" w:fill="FFFFFF"/>
        </w:rPr>
        <w:t xml:space="preserve"> 202</w:t>
      </w:r>
      <w:r>
        <w:rPr>
          <w:rFonts w:ascii="Arial" w:hAnsi="Arial" w:cs="Arial"/>
          <w:sz w:val="24"/>
          <w:szCs w:val="24"/>
          <w:shd w:val="clear" w:color="auto" w:fill="FFFFFF"/>
        </w:rPr>
        <w:t>5</w:t>
      </w:r>
      <w:proofErr w:type="gramEnd"/>
      <w:r w:rsidRPr="00CD623F">
        <w:rPr>
          <w:rFonts w:ascii="Arial" w:hAnsi="Arial" w:cs="Arial"/>
          <w:sz w:val="24"/>
          <w:szCs w:val="24"/>
          <w:shd w:val="clear" w:color="auto" w:fill="FFFFFF"/>
        </w:rPr>
        <w:t>).</w:t>
      </w:r>
    </w:p>
    <w:p w14:paraId="1C5A0906" w14:textId="77777777" w:rsidR="00B268FC" w:rsidRPr="00CD623F" w:rsidRDefault="00B268FC" w:rsidP="00E97068">
      <w:pPr>
        <w:rPr>
          <w:rFonts w:ascii="Arial" w:hAnsi="Arial" w:cs="Arial"/>
          <w:sz w:val="24"/>
          <w:szCs w:val="24"/>
        </w:rPr>
      </w:pPr>
      <w:r w:rsidRPr="00CD623F">
        <w:rPr>
          <w:rFonts w:ascii="Arial" w:hAnsi="Arial" w:cs="Arial"/>
          <w:sz w:val="24"/>
          <w:szCs w:val="24"/>
          <w:lang w:val="en-US"/>
        </w:rPr>
        <w:t xml:space="preserve">Delgado, M. (2019) </w:t>
      </w:r>
      <w:r w:rsidRPr="00CD623F">
        <w:rPr>
          <w:rFonts w:ascii="Arial" w:hAnsi="Arial" w:cs="Arial"/>
          <w:i/>
          <w:iCs/>
          <w:sz w:val="24"/>
          <w:szCs w:val="24"/>
          <w:lang w:val="en-US"/>
        </w:rPr>
        <w:t>The path to prosperity. Why the future of work is human</w:t>
      </w:r>
      <w:r w:rsidRPr="00CD623F">
        <w:rPr>
          <w:rFonts w:ascii="Arial" w:hAnsi="Arial" w:cs="Arial"/>
          <w:sz w:val="24"/>
          <w:szCs w:val="24"/>
          <w:lang w:val="en-US"/>
        </w:rPr>
        <w:t xml:space="preserve">. Available at: </w:t>
      </w:r>
      <w:r w:rsidRPr="00CD623F">
        <w:rPr>
          <w:rFonts w:ascii="Arial" w:hAnsi="Arial" w:cs="Arial"/>
          <w:sz w:val="24"/>
          <w:szCs w:val="24"/>
        </w:rPr>
        <w:t>https://www2.deloitte.com/au/en/blog/diversity-inclusion-blog/2019/path-to-prosperity-why-future-of-work-is-human.html (Accessed on July16</w:t>
      </w:r>
      <w:r w:rsidRPr="00CD623F">
        <w:rPr>
          <w:rFonts w:ascii="Arial" w:hAnsi="Arial" w:cs="Arial"/>
          <w:sz w:val="24"/>
          <w:szCs w:val="24"/>
          <w:vertAlign w:val="superscript"/>
        </w:rPr>
        <w:t>th</w:t>
      </w:r>
      <w:r w:rsidRPr="00CD623F">
        <w:rPr>
          <w:rFonts w:ascii="Arial" w:hAnsi="Arial" w:cs="Arial"/>
          <w:sz w:val="24"/>
          <w:szCs w:val="24"/>
        </w:rPr>
        <w:t xml:space="preserve"> 202</w:t>
      </w:r>
      <w:r>
        <w:rPr>
          <w:rFonts w:ascii="Arial" w:hAnsi="Arial" w:cs="Arial"/>
          <w:sz w:val="24"/>
          <w:szCs w:val="24"/>
        </w:rPr>
        <w:t>5</w:t>
      </w:r>
      <w:r w:rsidRPr="00CD623F">
        <w:rPr>
          <w:rFonts w:ascii="Arial" w:hAnsi="Arial" w:cs="Arial"/>
          <w:sz w:val="24"/>
          <w:szCs w:val="24"/>
        </w:rPr>
        <w:t>).</w:t>
      </w:r>
    </w:p>
    <w:p w14:paraId="4518DD4F" w14:textId="77777777" w:rsidR="00B268FC" w:rsidRPr="00CD623F" w:rsidRDefault="00B268FC" w:rsidP="00E97068">
      <w:pPr>
        <w:rPr>
          <w:rFonts w:ascii="Arial" w:hAnsi="Arial" w:cs="Arial"/>
          <w:sz w:val="24"/>
          <w:szCs w:val="24"/>
        </w:rPr>
      </w:pPr>
      <w:r w:rsidRPr="00CD623F">
        <w:rPr>
          <w:rFonts w:ascii="Arial" w:hAnsi="Arial" w:cs="Arial"/>
          <w:sz w:val="24"/>
          <w:szCs w:val="24"/>
        </w:rPr>
        <w:t>Edgar Schein (1992), Schein, E. H. (1992). Organizational culture and Leadership. Jossey-Bass.</w:t>
      </w:r>
    </w:p>
    <w:p w14:paraId="65EEE707" w14:textId="77777777" w:rsidR="00B268FC" w:rsidRPr="00CD623F" w:rsidRDefault="00B268FC" w:rsidP="00E97068">
      <w:pPr>
        <w:rPr>
          <w:rFonts w:ascii="Arial" w:hAnsi="Arial" w:cs="Arial"/>
          <w:sz w:val="24"/>
          <w:szCs w:val="24"/>
        </w:rPr>
      </w:pPr>
      <w:r w:rsidRPr="00CD623F">
        <w:rPr>
          <w:rFonts w:ascii="Arial" w:hAnsi="Arial" w:cs="Arial"/>
          <w:sz w:val="24"/>
          <w:szCs w:val="24"/>
          <w:lang w:val="en-US"/>
        </w:rPr>
        <w:t xml:space="preserve">Fallon, N. (2022) </w:t>
      </w:r>
      <w:r w:rsidRPr="00CD623F">
        <w:rPr>
          <w:rFonts w:ascii="Arial" w:hAnsi="Arial" w:cs="Arial"/>
          <w:i/>
          <w:iCs/>
          <w:sz w:val="24"/>
          <w:szCs w:val="24"/>
          <w:lang w:val="en-US"/>
        </w:rPr>
        <w:t>The benefits of benchmarking in Business Operations</w:t>
      </w:r>
      <w:r w:rsidRPr="00CD623F">
        <w:rPr>
          <w:rFonts w:ascii="Arial" w:hAnsi="Arial" w:cs="Arial"/>
          <w:sz w:val="24"/>
          <w:szCs w:val="24"/>
          <w:lang w:val="en-US"/>
        </w:rPr>
        <w:t xml:space="preserve">. Available at: </w:t>
      </w:r>
      <w:r w:rsidRPr="00CD623F">
        <w:rPr>
          <w:rFonts w:ascii="Arial" w:hAnsi="Arial" w:cs="Arial"/>
          <w:sz w:val="24"/>
          <w:szCs w:val="24"/>
        </w:rPr>
        <w:t>https://www.businessnewsdaily.com/15960-benchmarking-benefits-small-business.html (Accessed 15th August 2025).</w:t>
      </w:r>
    </w:p>
    <w:p w14:paraId="1921F4C0" w14:textId="77777777" w:rsidR="00B268FC" w:rsidRPr="00CD623F" w:rsidRDefault="00B268FC" w:rsidP="00E97068">
      <w:pPr>
        <w:rPr>
          <w:rFonts w:ascii="Arial" w:hAnsi="Arial" w:cs="Arial"/>
          <w:i/>
          <w:iCs/>
          <w:sz w:val="24"/>
          <w:szCs w:val="24"/>
          <w:lang w:val="en-US"/>
        </w:rPr>
      </w:pPr>
      <w:r w:rsidRPr="00CD623F">
        <w:rPr>
          <w:rFonts w:ascii="Arial" w:hAnsi="Arial" w:cs="Arial"/>
          <w:sz w:val="24"/>
          <w:szCs w:val="24"/>
          <w:lang w:val="en-US"/>
        </w:rPr>
        <w:t>Figueiredo, M., Ferreira, J.J., &amp; Fernandes, C.I., (2025)</w:t>
      </w:r>
      <w:r w:rsidRPr="00CD623F">
        <w:rPr>
          <w:rFonts w:ascii="Arial" w:hAnsi="Arial" w:cs="Arial"/>
          <w:i/>
          <w:iCs/>
          <w:sz w:val="24"/>
          <w:szCs w:val="24"/>
          <w:lang w:val="en-US"/>
        </w:rPr>
        <w:t xml:space="preserve">. Reward systems and intellectual capital: A systematic literature review. Journal of the Knowledge Economy. </w:t>
      </w:r>
      <w:r w:rsidRPr="00CD623F">
        <w:rPr>
          <w:rFonts w:ascii="Arial" w:hAnsi="Arial" w:cs="Arial"/>
          <w:sz w:val="24"/>
          <w:szCs w:val="24"/>
          <w:lang w:val="en-US"/>
        </w:rPr>
        <w:t>Available at: https://link.springer.com/article/10.1007/s13132-024-02492-w (Accessed 15 Aug. 2025).</w:t>
      </w:r>
    </w:p>
    <w:p w14:paraId="46B7313B" w14:textId="77777777" w:rsidR="00B268FC" w:rsidRPr="00CD623F" w:rsidRDefault="00B268FC" w:rsidP="00E97068">
      <w:pPr>
        <w:rPr>
          <w:rFonts w:ascii="Arial" w:hAnsi="Arial" w:cs="Arial"/>
          <w:sz w:val="24"/>
          <w:szCs w:val="24"/>
        </w:rPr>
      </w:pPr>
      <w:r w:rsidRPr="00CD623F">
        <w:rPr>
          <w:rFonts w:ascii="Arial" w:hAnsi="Arial" w:cs="Arial"/>
          <w:sz w:val="24"/>
          <w:szCs w:val="24"/>
        </w:rPr>
        <w:t>G</w:t>
      </w:r>
      <w:r w:rsidRPr="00CD623F">
        <w:rPr>
          <w:rFonts w:ascii="Arial" w:eastAsia="Times New Roman" w:hAnsi="Arial" w:cs="Arial"/>
          <w:sz w:val="24"/>
          <w:szCs w:val="24"/>
          <w:lang w:eastAsia="en-GB"/>
        </w:rPr>
        <w:t xml:space="preserve">alford, R. &amp; Drapeau, A. (2003) </w:t>
      </w:r>
      <w:r w:rsidRPr="00CD623F">
        <w:rPr>
          <w:rFonts w:ascii="Arial" w:eastAsia="Times New Roman" w:hAnsi="Arial" w:cs="Arial"/>
          <w:i/>
          <w:iCs/>
          <w:sz w:val="24"/>
          <w:szCs w:val="24"/>
          <w:lang w:eastAsia="en-GB"/>
        </w:rPr>
        <w:t>The enemies of trust.</w:t>
      </w:r>
      <w:r w:rsidRPr="00CD623F">
        <w:rPr>
          <w:rFonts w:ascii="Arial" w:eastAsia="Times New Roman" w:hAnsi="Arial" w:cs="Arial"/>
          <w:sz w:val="24"/>
          <w:szCs w:val="24"/>
          <w:lang w:eastAsia="en-GB"/>
        </w:rPr>
        <w:t xml:space="preserve"> Available at: </w:t>
      </w:r>
      <w:r w:rsidRPr="00CD623F">
        <w:rPr>
          <w:rFonts w:ascii="Arial" w:hAnsi="Arial" w:cs="Arial"/>
          <w:sz w:val="24"/>
          <w:szCs w:val="24"/>
        </w:rPr>
        <w:t>https://hbr.org/2003/02/the-enemies-of-trust (Accessed August 15th</w:t>
      </w:r>
      <w:proofErr w:type="gramStart"/>
      <w:r w:rsidRPr="00CD623F">
        <w:rPr>
          <w:rFonts w:ascii="Arial" w:hAnsi="Arial" w:cs="Arial"/>
          <w:sz w:val="24"/>
          <w:szCs w:val="24"/>
        </w:rPr>
        <w:t xml:space="preserve"> 2025</w:t>
      </w:r>
      <w:proofErr w:type="gramEnd"/>
      <w:r w:rsidRPr="00CD623F">
        <w:rPr>
          <w:rFonts w:ascii="Arial" w:hAnsi="Arial" w:cs="Arial"/>
          <w:sz w:val="24"/>
          <w:szCs w:val="24"/>
        </w:rPr>
        <w:t>).</w:t>
      </w:r>
    </w:p>
    <w:p w14:paraId="7CE88935" w14:textId="77777777" w:rsidR="00B268FC" w:rsidRPr="00CD623F" w:rsidRDefault="00B268FC" w:rsidP="00E97068">
      <w:pPr>
        <w:rPr>
          <w:rFonts w:ascii="Arial" w:hAnsi="Arial" w:cs="Arial"/>
          <w:sz w:val="24"/>
          <w:szCs w:val="24"/>
        </w:rPr>
      </w:pPr>
      <w:r w:rsidRPr="00CD623F">
        <w:rPr>
          <w:rFonts w:ascii="Arial" w:hAnsi="Arial" w:cs="Arial"/>
          <w:sz w:val="24"/>
          <w:szCs w:val="24"/>
        </w:rPr>
        <w:t>Ghoshal, S and Bartlett, C A (1995) Changing the role of top management: beyond structure to process, Harvard Business Review, January–February, pp 86–96</w:t>
      </w:r>
    </w:p>
    <w:p w14:paraId="7FE4C237" w14:textId="77777777" w:rsidR="00B268FC" w:rsidRDefault="00B268FC" w:rsidP="00E97068">
      <w:pPr>
        <w:rPr>
          <w:rFonts w:ascii="Arial" w:hAnsi="Arial" w:cs="Arial"/>
          <w:sz w:val="24"/>
          <w:szCs w:val="24"/>
          <w:shd w:val="clear" w:color="auto" w:fill="FFFFFF"/>
        </w:rPr>
      </w:pPr>
      <w:r w:rsidRPr="00CD623F">
        <w:rPr>
          <w:rFonts w:ascii="Arial" w:hAnsi="Arial" w:cs="Arial"/>
          <w:sz w:val="24"/>
          <w:szCs w:val="24"/>
          <w:shd w:val="clear" w:color="auto" w:fill="FFFFFF"/>
        </w:rPr>
        <w:t>Grant, A. M. (2008) Does intrinsic motivation fuel the prosocial fire? Motivational synergy in predicting persistence, performance, and productivity. </w:t>
      </w:r>
      <w:r w:rsidRPr="00CD623F">
        <w:rPr>
          <w:rStyle w:val="Emphasis"/>
          <w:rFonts w:ascii="Arial" w:hAnsi="Arial" w:cs="Arial"/>
          <w:sz w:val="24"/>
          <w:szCs w:val="24"/>
          <w:shd w:val="clear" w:color="auto" w:fill="FFFFFF"/>
        </w:rPr>
        <w:t>Journal of Applied Psychology, 93</w:t>
      </w:r>
      <w:r w:rsidRPr="00CD623F">
        <w:rPr>
          <w:rFonts w:ascii="Arial" w:hAnsi="Arial" w:cs="Arial"/>
          <w:sz w:val="24"/>
          <w:szCs w:val="24"/>
          <w:shd w:val="clear" w:color="auto" w:fill="FFFFFF"/>
        </w:rPr>
        <w:t>(1), 48–58.</w:t>
      </w:r>
    </w:p>
    <w:p w14:paraId="05FBC3E0" w14:textId="77777777" w:rsidR="00B268FC" w:rsidRPr="009D1D9C" w:rsidRDefault="00B268FC" w:rsidP="00E97068">
      <w:pPr>
        <w:spacing w:line="360" w:lineRule="auto"/>
        <w:rPr>
          <w:rFonts w:ascii="Arial" w:hAnsi="Arial" w:cs="Arial"/>
          <w:sz w:val="24"/>
          <w:szCs w:val="24"/>
        </w:rPr>
      </w:pPr>
      <w:r w:rsidRPr="00CD623F">
        <w:rPr>
          <w:rFonts w:ascii="Arial" w:hAnsi="Arial" w:cs="Arial"/>
          <w:sz w:val="24"/>
          <w:szCs w:val="24"/>
        </w:rPr>
        <w:lastRenderedPageBreak/>
        <w:t>Hajduk, P.(2017). </w:t>
      </w:r>
      <w:r w:rsidRPr="00CD623F">
        <w:rPr>
          <w:rFonts w:ascii="Arial" w:hAnsi="Arial" w:cs="Arial"/>
          <w:i/>
          <w:iCs/>
          <w:sz w:val="24"/>
          <w:szCs w:val="24"/>
        </w:rPr>
        <w:t>The real value of reward</w:t>
      </w:r>
      <w:r w:rsidRPr="00CD623F">
        <w:rPr>
          <w:rFonts w:ascii="Arial" w:hAnsi="Arial" w:cs="Arial"/>
          <w:sz w:val="24"/>
          <w:szCs w:val="24"/>
        </w:rPr>
        <w:t>. People Management, Available at: https://www.peoplemanagement.co.uk/article/1743866/real-value-reward (Accessed 14 Aug. 2025).</w:t>
      </w:r>
    </w:p>
    <w:p w14:paraId="269620A6" w14:textId="77777777" w:rsidR="00B268FC" w:rsidRPr="00CD623F" w:rsidRDefault="00B268FC" w:rsidP="00E97068">
      <w:pPr>
        <w:rPr>
          <w:rFonts w:ascii="Arial" w:hAnsi="Arial" w:cs="Arial"/>
          <w:sz w:val="24"/>
          <w:szCs w:val="24"/>
          <w:lang w:val="en-US"/>
        </w:rPr>
      </w:pPr>
      <w:r w:rsidRPr="009D1D9C">
        <w:rPr>
          <w:rFonts w:ascii="Arial" w:hAnsi="Arial" w:cs="Arial"/>
          <w:sz w:val="24"/>
          <w:szCs w:val="24"/>
        </w:rPr>
        <w:t>Hammer, P. and Palmgren, R., (2019)</w:t>
      </w:r>
      <w:r w:rsidRPr="009D1D9C">
        <w:rPr>
          <w:rFonts w:ascii="Arial" w:hAnsi="Arial" w:cs="Arial"/>
          <w:b/>
          <w:bCs/>
          <w:sz w:val="24"/>
          <w:szCs w:val="24"/>
        </w:rPr>
        <w:t>.</w:t>
      </w:r>
      <w:r w:rsidRPr="009D1D9C">
        <w:rPr>
          <w:rFonts w:ascii="Arial" w:hAnsi="Arial" w:cs="Arial"/>
          <w:sz w:val="24"/>
          <w:szCs w:val="24"/>
        </w:rPr>
        <w:t> </w:t>
      </w:r>
      <w:proofErr w:type="gramStart"/>
      <w:r w:rsidRPr="009D1D9C">
        <w:rPr>
          <w:rFonts w:ascii="Arial" w:hAnsi="Arial" w:cs="Arial"/>
          <w:i/>
          <w:iCs/>
          <w:sz w:val="24"/>
          <w:szCs w:val="24"/>
        </w:rPr>
        <w:t>How</w:t>
      </w:r>
      <w:proofErr w:type="gramEnd"/>
      <w:r w:rsidRPr="009D1D9C">
        <w:rPr>
          <w:rFonts w:ascii="Arial" w:hAnsi="Arial" w:cs="Arial"/>
          <w:i/>
          <w:iCs/>
          <w:sz w:val="24"/>
          <w:szCs w:val="24"/>
        </w:rPr>
        <w:t xml:space="preserve"> parental leave policies influence employee engagement</w:t>
      </w:r>
      <w:r w:rsidRPr="009D1D9C">
        <w:rPr>
          <w:rFonts w:ascii="Arial" w:hAnsi="Arial" w:cs="Arial"/>
          <w:sz w:val="24"/>
          <w:szCs w:val="24"/>
        </w:rPr>
        <w:t xml:space="preserve">. Bachelor’s thesis. University of </w:t>
      </w:r>
      <w:proofErr w:type="spellStart"/>
      <w:r w:rsidRPr="009D1D9C">
        <w:rPr>
          <w:rFonts w:ascii="Arial" w:hAnsi="Arial" w:cs="Arial"/>
          <w:sz w:val="24"/>
          <w:szCs w:val="24"/>
        </w:rPr>
        <w:t>Gävle</w:t>
      </w:r>
      <w:proofErr w:type="spellEnd"/>
      <w:r w:rsidRPr="009D1D9C">
        <w:rPr>
          <w:rFonts w:ascii="Arial" w:hAnsi="Arial" w:cs="Arial"/>
          <w:sz w:val="24"/>
          <w:szCs w:val="24"/>
        </w:rPr>
        <w:t>. Available at: https://www.diva-portal.org/smash/get/diva2:1331586/FULLTEXT01.pdf </w:t>
      </w:r>
      <w:r>
        <w:rPr>
          <w:rFonts w:ascii="Arial" w:hAnsi="Arial" w:cs="Arial"/>
          <w:sz w:val="24"/>
          <w:szCs w:val="24"/>
        </w:rPr>
        <w:t>(</w:t>
      </w:r>
      <w:r w:rsidRPr="009D1D9C">
        <w:rPr>
          <w:rFonts w:ascii="Arial" w:hAnsi="Arial" w:cs="Arial"/>
          <w:sz w:val="24"/>
          <w:szCs w:val="24"/>
        </w:rPr>
        <w:t>Accessed 15 Aug. 2025</w:t>
      </w:r>
      <w:r>
        <w:rPr>
          <w:rFonts w:ascii="Arial" w:hAnsi="Arial" w:cs="Arial"/>
          <w:sz w:val="24"/>
          <w:szCs w:val="24"/>
        </w:rPr>
        <w:t>)</w:t>
      </w:r>
    </w:p>
    <w:p w14:paraId="686F4397" w14:textId="77777777" w:rsidR="00B268FC" w:rsidRPr="00CD623F" w:rsidRDefault="00B268FC" w:rsidP="00E97068">
      <w:pPr>
        <w:rPr>
          <w:rFonts w:ascii="Arial" w:hAnsi="Arial" w:cs="Arial"/>
          <w:sz w:val="24"/>
          <w:szCs w:val="24"/>
          <w:lang w:val="en-US"/>
        </w:rPr>
      </w:pPr>
      <w:r w:rsidRPr="00CD623F">
        <w:rPr>
          <w:rFonts w:ascii="Arial" w:hAnsi="Arial" w:cs="Arial"/>
          <w:sz w:val="24"/>
          <w:szCs w:val="24"/>
          <w:lang w:val="en-US"/>
        </w:rPr>
        <w:t>Herzberg, F., Mausner, B., &amp; Snydermann, B. (1959)</w:t>
      </w:r>
      <w:r w:rsidRPr="00CD623F">
        <w:rPr>
          <w:rFonts w:ascii="Arial" w:hAnsi="Arial" w:cs="Arial"/>
          <w:i/>
          <w:iCs/>
          <w:sz w:val="24"/>
          <w:szCs w:val="24"/>
          <w:lang w:val="en-US"/>
        </w:rPr>
        <w:t xml:space="preserve"> The motivation to work. </w:t>
      </w:r>
      <w:r w:rsidRPr="00CD623F">
        <w:rPr>
          <w:rFonts w:ascii="Arial" w:hAnsi="Arial" w:cs="Arial"/>
          <w:sz w:val="24"/>
          <w:szCs w:val="24"/>
          <w:lang w:val="en-US"/>
        </w:rPr>
        <w:t>New York: Wiley.</w:t>
      </w:r>
    </w:p>
    <w:p w14:paraId="0F80D60B" w14:textId="77777777" w:rsidR="00B268FC" w:rsidRDefault="00B268FC" w:rsidP="00E97068">
      <w:pPr>
        <w:spacing w:before="100" w:beforeAutospacing="1" w:after="100" w:afterAutospacing="1" w:line="240" w:lineRule="auto"/>
        <w:outlineLvl w:val="0"/>
        <w:rPr>
          <w:rFonts w:ascii="Arial" w:eastAsia="Times New Roman" w:hAnsi="Arial" w:cs="Arial"/>
          <w:sz w:val="24"/>
          <w:szCs w:val="24"/>
          <w:lang w:eastAsia="en-GB"/>
        </w:rPr>
      </w:pPr>
      <w:r w:rsidRPr="00CD623F">
        <w:rPr>
          <w:rFonts w:ascii="Arial" w:eastAsia="Times New Roman" w:hAnsi="Arial" w:cs="Arial"/>
          <w:kern w:val="36"/>
          <w:sz w:val="24"/>
          <w:szCs w:val="24"/>
          <w:lang w:eastAsia="en-GB"/>
        </w:rPr>
        <w:t>Howlett, M., Ramesh, M., &amp; Capano, G (2022)</w:t>
      </w:r>
      <w:r w:rsidRPr="00CD623F">
        <w:rPr>
          <w:rFonts w:ascii="Arial" w:hAnsi="Arial" w:cs="Arial"/>
          <w:b/>
          <w:bCs/>
          <w:sz w:val="24"/>
          <w:szCs w:val="24"/>
        </w:rPr>
        <w:t xml:space="preserve"> </w:t>
      </w:r>
      <w:r w:rsidRPr="00CD623F">
        <w:rPr>
          <w:rFonts w:ascii="Arial" w:hAnsi="Arial" w:cs="Arial"/>
          <w:sz w:val="24"/>
          <w:szCs w:val="24"/>
        </w:rPr>
        <w:t xml:space="preserve">The role of tool calibrations and policy specifications in policy change: evidence from healthcare reform efforts in Korea 1990-2020. </w:t>
      </w:r>
      <w:r w:rsidRPr="00CD623F">
        <w:rPr>
          <w:rFonts w:ascii="Arial" w:hAnsi="Arial" w:cs="Arial"/>
          <w:i/>
          <w:iCs/>
          <w:sz w:val="24"/>
          <w:szCs w:val="24"/>
        </w:rPr>
        <w:t>Journal of Asian Public Policy</w:t>
      </w:r>
      <w:r w:rsidRPr="00CD623F">
        <w:rPr>
          <w:rFonts w:ascii="Arial" w:hAnsi="Arial" w:cs="Arial"/>
          <w:sz w:val="24"/>
          <w:szCs w:val="24"/>
        </w:rPr>
        <w:t>.</w:t>
      </w:r>
      <w:r w:rsidRPr="00CD623F">
        <w:rPr>
          <w:rFonts w:ascii="Arial" w:eastAsia="Times New Roman" w:hAnsi="Arial" w:cs="Arial"/>
          <w:sz w:val="24"/>
          <w:szCs w:val="24"/>
          <w:lang w:eastAsia="en-GB"/>
        </w:rPr>
        <w:t xml:space="preserve"> 15(3), 487-497.</w:t>
      </w:r>
    </w:p>
    <w:p w14:paraId="5CA023D5" w14:textId="77777777" w:rsidR="00B268FC" w:rsidRPr="00CD623F" w:rsidRDefault="00B268FC" w:rsidP="00E97068">
      <w:pPr>
        <w:spacing w:before="100" w:beforeAutospacing="1" w:after="100" w:afterAutospacing="1" w:line="240" w:lineRule="auto"/>
        <w:outlineLvl w:val="0"/>
        <w:rPr>
          <w:rFonts w:ascii="Arial" w:eastAsia="Times New Roman" w:hAnsi="Arial" w:cs="Arial"/>
          <w:sz w:val="24"/>
          <w:szCs w:val="24"/>
          <w:lang w:eastAsia="en-GB"/>
        </w:rPr>
      </w:pPr>
      <w:r w:rsidRPr="00CD4C6C">
        <w:rPr>
          <w:rFonts w:ascii="Arial" w:eastAsia="Times New Roman" w:hAnsi="Arial" w:cs="Arial"/>
          <w:sz w:val="24"/>
          <w:szCs w:val="24"/>
          <w:lang w:eastAsia="en-GB"/>
        </w:rPr>
        <w:t>HRM Handbook (</w:t>
      </w:r>
      <w:r>
        <w:rPr>
          <w:rFonts w:ascii="Arial" w:eastAsia="Times New Roman" w:hAnsi="Arial" w:cs="Arial"/>
          <w:sz w:val="24"/>
          <w:szCs w:val="24"/>
          <w:lang w:eastAsia="en-GB"/>
        </w:rPr>
        <w:t>2024</w:t>
      </w:r>
      <w:r w:rsidRPr="00CD4C6C">
        <w:rPr>
          <w:rFonts w:ascii="Arial" w:eastAsia="Times New Roman" w:hAnsi="Arial" w:cs="Arial"/>
          <w:sz w:val="24"/>
          <w:szCs w:val="24"/>
          <w:lang w:eastAsia="en-GB"/>
        </w:rPr>
        <w:t>) </w:t>
      </w:r>
      <w:r w:rsidRPr="00CD4C6C">
        <w:rPr>
          <w:rFonts w:ascii="Arial" w:eastAsia="Times New Roman" w:hAnsi="Arial" w:cs="Arial"/>
          <w:i/>
          <w:iCs/>
          <w:sz w:val="24"/>
          <w:szCs w:val="24"/>
          <w:lang w:eastAsia="en-GB"/>
        </w:rPr>
        <w:t>Skill-based pay</w:t>
      </w:r>
      <w:r w:rsidRPr="00CD4C6C">
        <w:rPr>
          <w:rFonts w:ascii="Arial" w:eastAsia="Times New Roman" w:hAnsi="Arial" w:cs="Arial"/>
          <w:sz w:val="24"/>
          <w:szCs w:val="24"/>
          <w:lang w:eastAsia="en-GB"/>
        </w:rPr>
        <w:t>. Available at: https://hrmhandbook.com/hrp/compensation/skill-based-pay/ (Accessed: 2 September 2025)</w:t>
      </w:r>
    </w:p>
    <w:p w14:paraId="068B994B" w14:textId="77777777" w:rsidR="00B268FC" w:rsidRPr="00CA1174" w:rsidRDefault="00B268FC" w:rsidP="00E97068">
      <w:pPr>
        <w:rPr>
          <w:rFonts w:ascii="Arial" w:hAnsi="Arial" w:cs="Arial"/>
          <w:strike/>
          <w:sz w:val="24"/>
          <w:szCs w:val="24"/>
        </w:rPr>
      </w:pPr>
      <w:r w:rsidRPr="00CA1174">
        <w:rPr>
          <w:rFonts w:ascii="Arial" w:hAnsi="Arial" w:cs="Arial"/>
          <w:strike/>
          <w:sz w:val="24"/>
          <w:szCs w:val="24"/>
        </w:rPr>
        <w:t>Jaques, E., (1961). Equitable payment: A general theory of work, differential payment, and individual progress.</w:t>
      </w:r>
    </w:p>
    <w:p w14:paraId="34848FD7" w14:textId="77777777" w:rsidR="00B268FC" w:rsidRPr="00CD623F" w:rsidRDefault="00B268FC" w:rsidP="00E97068">
      <w:pPr>
        <w:rPr>
          <w:rFonts w:ascii="Arial" w:hAnsi="Arial" w:cs="Arial"/>
          <w:sz w:val="24"/>
          <w:szCs w:val="24"/>
        </w:rPr>
      </w:pPr>
      <w:r w:rsidRPr="00CD623F">
        <w:rPr>
          <w:rFonts w:ascii="Arial" w:hAnsi="Arial" w:cs="Arial"/>
          <w:sz w:val="24"/>
          <w:szCs w:val="24"/>
        </w:rPr>
        <w:t xml:space="preserve">Joseph, C. (2019) </w:t>
      </w:r>
      <w:r w:rsidRPr="00CD623F">
        <w:rPr>
          <w:rFonts w:ascii="Arial" w:hAnsi="Arial" w:cs="Arial"/>
          <w:i/>
          <w:iCs/>
          <w:sz w:val="24"/>
          <w:szCs w:val="24"/>
        </w:rPr>
        <w:t>The advantages of a decentralized organizational structure</w:t>
      </w:r>
      <w:r w:rsidRPr="00CD623F">
        <w:rPr>
          <w:rFonts w:ascii="Arial" w:hAnsi="Arial" w:cs="Arial"/>
          <w:sz w:val="24"/>
          <w:szCs w:val="24"/>
        </w:rPr>
        <w:t>. Available at: https://smallbusiness.chron.com/advantages-decentralized-organizational-structure-603.html</w:t>
      </w:r>
      <w:r w:rsidRPr="00CD623F">
        <w:rPr>
          <w:rStyle w:val="Hyperlink"/>
          <w:rFonts w:ascii="Arial" w:hAnsi="Arial" w:cs="Arial"/>
          <w:color w:val="auto"/>
          <w:sz w:val="24"/>
          <w:szCs w:val="24"/>
        </w:rPr>
        <w:t xml:space="preserve"> (Accessed August 15th</w:t>
      </w:r>
      <w:proofErr w:type="gramStart"/>
      <w:r w:rsidRPr="00CD623F">
        <w:rPr>
          <w:rStyle w:val="Hyperlink"/>
          <w:rFonts w:ascii="Arial" w:hAnsi="Arial" w:cs="Arial"/>
          <w:color w:val="auto"/>
          <w:sz w:val="24"/>
          <w:szCs w:val="24"/>
        </w:rPr>
        <w:t xml:space="preserve"> 2025</w:t>
      </w:r>
      <w:proofErr w:type="gramEnd"/>
      <w:r w:rsidRPr="00CD623F">
        <w:rPr>
          <w:rStyle w:val="Hyperlink"/>
          <w:rFonts w:ascii="Arial" w:hAnsi="Arial" w:cs="Arial"/>
          <w:color w:val="auto"/>
          <w:sz w:val="24"/>
          <w:szCs w:val="24"/>
        </w:rPr>
        <w:t>).</w:t>
      </w:r>
    </w:p>
    <w:p w14:paraId="5C8EEA6B" w14:textId="77777777" w:rsidR="00B268FC" w:rsidRPr="00CD623F" w:rsidRDefault="00B268FC" w:rsidP="00E97068">
      <w:pPr>
        <w:spacing w:line="360" w:lineRule="auto"/>
        <w:rPr>
          <w:rFonts w:ascii="Arial" w:hAnsi="Arial" w:cs="Arial"/>
          <w:sz w:val="24"/>
          <w:szCs w:val="24"/>
        </w:rPr>
      </w:pPr>
      <w:r w:rsidRPr="00CD623F">
        <w:rPr>
          <w:rFonts w:ascii="Arial" w:hAnsi="Arial" w:cs="Arial"/>
          <w:sz w:val="24"/>
          <w:szCs w:val="24"/>
        </w:rPr>
        <w:t xml:space="preserve">Johnson, G. (1990) ‘Managing strategic change: the role of symbolic action’, British </w:t>
      </w:r>
      <w:r w:rsidRPr="00CD623F">
        <w:rPr>
          <w:rFonts w:ascii="Arial" w:hAnsi="Arial" w:cs="Arial"/>
          <w:i/>
          <w:iCs/>
          <w:sz w:val="24"/>
          <w:szCs w:val="24"/>
        </w:rPr>
        <w:t>Journal of Management,</w:t>
      </w:r>
      <w:r w:rsidRPr="00CD623F">
        <w:rPr>
          <w:rFonts w:ascii="Arial" w:hAnsi="Arial" w:cs="Arial"/>
          <w:sz w:val="24"/>
          <w:szCs w:val="24"/>
        </w:rPr>
        <w:t xml:space="preserve"> 1(1): 183–200.</w:t>
      </w:r>
    </w:p>
    <w:p w14:paraId="71C3F75D" w14:textId="77777777" w:rsidR="00B268FC" w:rsidRPr="00CA1174" w:rsidRDefault="00B268FC" w:rsidP="00E97068">
      <w:pPr>
        <w:spacing w:line="360" w:lineRule="auto"/>
        <w:rPr>
          <w:rFonts w:ascii="Arial" w:hAnsi="Arial" w:cs="Arial"/>
          <w:strike/>
          <w:sz w:val="24"/>
          <w:szCs w:val="24"/>
        </w:rPr>
      </w:pPr>
      <w:r w:rsidRPr="00CA1174">
        <w:rPr>
          <w:rFonts w:ascii="Arial" w:hAnsi="Arial" w:cs="Arial"/>
          <w:strike/>
          <w:sz w:val="24"/>
          <w:szCs w:val="24"/>
          <w:shd w:val="clear" w:color="auto" w:fill="FFFFFF"/>
        </w:rPr>
        <w:t xml:space="preserve">Latham, G. &amp; Locke, E. (1979) Goal Setting—A Motivational Technique That Works. </w:t>
      </w:r>
      <w:r w:rsidRPr="00CA1174">
        <w:rPr>
          <w:rFonts w:ascii="Arial" w:hAnsi="Arial" w:cs="Arial"/>
          <w:i/>
          <w:iCs/>
          <w:strike/>
          <w:sz w:val="24"/>
          <w:szCs w:val="24"/>
          <w:shd w:val="clear" w:color="auto" w:fill="FFFFFF"/>
        </w:rPr>
        <w:t>Organizational Dynamics,</w:t>
      </w:r>
      <w:r w:rsidRPr="00CA1174">
        <w:rPr>
          <w:rFonts w:ascii="Arial" w:hAnsi="Arial" w:cs="Arial"/>
          <w:strike/>
          <w:sz w:val="24"/>
          <w:szCs w:val="24"/>
          <w:shd w:val="clear" w:color="auto" w:fill="FFFFFF"/>
        </w:rPr>
        <w:t xml:space="preserve"> 8, 68-80.</w:t>
      </w:r>
    </w:p>
    <w:p w14:paraId="05F5AB97" w14:textId="77777777" w:rsidR="00B268FC" w:rsidRPr="00CD623F" w:rsidRDefault="00B268FC" w:rsidP="00E97068">
      <w:pPr>
        <w:spacing w:line="360" w:lineRule="auto"/>
        <w:rPr>
          <w:rFonts w:ascii="Arial" w:hAnsi="Arial" w:cs="Arial"/>
          <w:sz w:val="24"/>
          <w:szCs w:val="24"/>
        </w:rPr>
      </w:pPr>
      <w:r w:rsidRPr="00CD623F">
        <w:rPr>
          <w:rFonts w:ascii="Arial" w:hAnsi="Arial" w:cs="Arial"/>
          <w:sz w:val="24"/>
          <w:szCs w:val="24"/>
        </w:rPr>
        <w:t xml:space="preserve">Lebas, M (1995) Performance measurement and performance management. </w:t>
      </w:r>
      <w:r w:rsidRPr="00CD623F">
        <w:rPr>
          <w:rFonts w:ascii="Arial" w:hAnsi="Arial" w:cs="Arial"/>
          <w:i/>
          <w:iCs/>
          <w:sz w:val="24"/>
          <w:szCs w:val="24"/>
        </w:rPr>
        <w:t>HEC School of Management</w:t>
      </w:r>
      <w:r w:rsidRPr="00CD623F">
        <w:rPr>
          <w:rFonts w:ascii="Arial" w:hAnsi="Arial" w:cs="Arial"/>
          <w:sz w:val="24"/>
          <w:szCs w:val="24"/>
        </w:rPr>
        <w:t>, 23-35.</w:t>
      </w:r>
    </w:p>
    <w:p w14:paraId="3CC47C9F" w14:textId="77777777" w:rsidR="00B268FC" w:rsidRPr="00CD623F" w:rsidRDefault="00B268FC" w:rsidP="00E97068">
      <w:pPr>
        <w:spacing w:line="360" w:lineRule="auto"/>
        <w:rPr>
          <w:rStyle w:val="Hyperlink"/>
          <w:rFonts w:ascii="Arial" w:hAnsi="Arial" w:cs="Arial"/>
          <w:color w:val="auto"/>
          <w:sz w:val="24"/>
          <w:szCs w:val="24"/>
        </w:rPr>
      </w:pPr>
      <w:r w:rsidRPr="00CD623F">
        <w:rPr>
          <w:rStyle w:val="mixed-citation"/>
          <w:rFonts w:ascii="Arial" w:hAnsi="Arial" w:cs="Arial"/>
          <w:sz w:val="24"/>
          <w:szCs w:val="24"/>
          <w:shd w:val="clear" w:color="auto" w:fill="FFFFFF"/>
        </w:rPr>
        <w:t>Locke, E (2002) Latham GP. </w:t>
      </w:r>
      <w:r w:rsidRPr="00CD623F">
        <w:rPr>
          <w:rStyle w:val="ref-title"/>
          <w:rFonts w:ascii="Arial" w:hAnsi="Arial" w:cs="Arial"/>
          <w:sz w:val="24"/>
          <w:szCs w:val="24"/>
          <w:shd w:val="clear" w:color="auto" w:fill="FFFFFF"/>
        </w:rPr>
        <w:t>Building a practically useful theory of goal setting and task motivation: A 35-year odyssey</w:t>
      </w:r>
      <w:r w:rsidRPr="00CD623F">
        <w:rPr>
          <w:rStyle w:val="mixed-citation"/>
          <w:rFonts w:ascii="Arial" w:hAnsi="Arial" w:cs="Arial"/>
          <w:sz w:val="24"/>
          <w:szCs w:val="24"/>
          <w:shd w:val="clear" w:color="auto" w:fill="FFFFFF"/>
        </w:rPr>
        <w:t>. </w:t>
      </w:r>
      <w:r w:rsidRPr="00CD623F">
        <w:rPr>
          <w:rStyle w:val="ref-journal"/>
          <w:rFonts w:ascii="Arial" w:hAnsi="Arial" w:cs="Arial"/>
          <w:i/>
          <w:iCs/>
          <w:sz w:val="24"/>
          <w:szCs w:val="24"/>
          <w:shd w:val="clear" w:color="auto" w:fill="FFFFFF"/>
        </w:rPr>
        <w:t>American Psychologist</w:t>
      </w:r>
      <w:r w:rsidRPr="00CD623F">
        <w:rPr>
          <w:rStyle w:val="mixed-citation"/>
          <w:rFonts w:ascii="Arial" w:hAnsi="Arial" w:cs="Arial"/>
          <w:sz w:val="24"/>
          <w:szCs w:val="24"/>
          <w:shd w:val="clear" w:color="auto" w:fill="FFFFFF"/>
        </w:rPr>
        <w:t xml:space="preserve">. </w:t>
      </w:r>
      <w:r w:rsidRPr="00CD623F">
        <w:rPr>
          <w:rStyle w:val="ref-vol"/>
          <w:rFonts w:ascii="Arial" w:hAnsi="Arial" w:cs="Arial"/>
          <w:sz w:val="24"/>
          <w:szCs w:val="24"/>
          <w:shd w:val="clear" w:color="auto" w:fill="FFFFFF"/>
        </w:rPr>
        <w:t>5</w:t>
      </w:r>
      <w:r w:rsidRPr="00CD623F">
        <w:rPr>
          <w:rStyle w:val="mixed-citation"/>
          <w:rFonts w:ascii="Arial" w:hAnsi="Arial" w:cs="Arial"/>
          <w:sz w:val="24"/>
          <w:szCs w:val="24"/>
          <w:shd w:val="clear" w:color="auto" w:fill="FFFFFF"/>
        </w:rPr>
        <w:t>, 705–717.</w:t>
      </w:r>
    </w:p>
    <w:p w14:paraId="58EDC583" w14:textId="77777777" w:rsidR="00B268FC" w:rsidRPr="00CD623F" w:rsidRDefault="00B268FC" w:rsidP="00E97068">
      <w:pPr>
        <w:spacing w:line="360" w:lineRule="auto"/>
        <w:rPr>
          <w:rStyle w:val="Hyperlink"/>
          <w:rFonts w:ascii="Arial" w:hAnsi="Arial" w:cs="Arial"/>
          <w:color w:val="auto"/>
          <w:sz w:val="24"/>
          <w:szCs w:val="24"/>
        </w:rPr>
      </w:pPr>
      <w:r w:rsidRPr="00CD623F">
        <w:rPr>
          <w:rFonts w:ascii="Arial" w:hAnsi="Arial" w:cs="Arial"/>
          <w:sz w:val="24"/>
          <w:szCs w:val="24"/>
          <w:shd w:val="clear" w:color="auto" w:fill="FFFFFF"/>
        </w:rPr>
        <w:t xml:space="preserve">Maslow, A. H. (1943) </w:t>
      </w:r>
      <w:r w:rsidRPr="00CD623F">
        <w:rPr>
          <w:rFonts w:ascii="Arial" w:hAnsi="Arial" w:cs="Arial"/>
          <w:i/>
          <w:iCs/>
          <w:sz w:val="24"/>
          <w:szCs w:val="24"/>
          <w:shd w:val="clear" w:color="auto" w:fill="FFFFFF"/>
        </w:rPr>
        <w:t>A theory of human motivation</w:t>
      </w:r>
      <w:r w:rsidRPr="00CD623F">
        <w:rPr>
          <w:rFonts w:ascii="Arial" w:hAnsi="Arial" w:cs="Arial"/>
          <w:sz w:val="24"/>
          <w:szCs w:val="24"/>
          <w:shd w:val="clear" w:color="auto" w:fill="FFFFFF"/>
        </w:rPr>
        <w:t xml:space="preserve">. </w:t>
      </w:r>
      <w:r w:rsidRPr="00CD623F">
        <w:rPr>
          <w:rFonts w:ascii="Arial" w:hAnsi="Arial" w:cs="Arial"/>
          <w:i/>
          <w:iCs/>
          <w:sz w:val="24"/>
          <w:szCs w:val="24"/>
          <w:shd w:val="clear" w:color="auto" w:fill="FFFFFF"/>
        </w:rPr>
        <w:t>Psychological Review</w:t>
      </w:r>
      <w:r w:rsidRPr="00CD623F">
        <w:rPr>
          <w:rFonts w:ascii="Arial" w:hAnsi="Arial" w:cs="Arial"/>
          <w:sz w:val="24"/>
          <w:szCs w:val="24"/>
          <w:shd w:val="clear" w:color="auto" w:fill="FFFFFF"/>
        </w:rPr>
        <w:t xml:space="preserve">. </w:t>
      </w:r>
      <w:r w:rsidRPr="00CD623F">
        <w:rPr>
          <w:rStyle w:val="Emphasis"/>
          <w:rFonts w:ascii="Arial" w:hAnsi="Arial" w:cs="Arial"/>
          <w:sz w:val="24"/>
          <w:szCs w:val="24"/>
          <w:shd w:val="clear" w:color="auto" w:fill="FFFFFF"/>
        </w:rPr>
        <w:t>50</w:t>
      </w:r>
      <w:r w:rsidRPr="00CD623F">
        <w:rPr>
          <w:rFonts w:ascii="Arial" w:hAnsi="Arial" w:cs="Arial"/>
          <w:sz w:val="24"/>
          <w:szCs w:val="24"/>
          <w:shd w:val="clear" w:color="auto" w:fill="FFFFFF"/>
        </w:rPr>
        <w:t>(4), 370–396.</w:t>
      </w:r>
    </w:p>
    <w:p w14:paraId="34BF260E" w14:textId="77777777" w:rsidR="00B268FC" w:rsidRPr="00CD623F" w:rsidRDefault="00B268FC" w:rsidP="00E97068">
      <w:pPr>
        <w:rPr>
          <w:rStyle w:val="Hyperlink"/>
          <w:rFonts w:ascii="Arial" w:hAnsi="Arial" w:cs="Arial"/>
          <w:color w:val="auto"/>
          <w:sz w:val="24"/>
          <w:szCs w:val="24"/>
        </w:rPr>
      </w:pPr>
      <w:r w:rsidRPr="00CD623F">
        <w:rPr>
          <w:rFonts w:ascii="Arial" w:hAnsi="Arial" w:cs="Arial"/>
          <w:sz w:val="24"/>
          <w:szCs w:val="24"/>
          <w:shd w:val="clear" w:color="auto" w:fill="FFFFFF"/>
        </w:rPr>
        <w:t xml:space="preserve">Matthews, M (2019) </w:t>
      </w:r>
      <w:r w:rsidRPr="00CD623F">
        <w:rPr>
          <w:rFonts w:ascii="Arial" w:hAnsi="Arial" w:cs="Arial"/>
          <w:i/>
          <w:iCs/>
          <w:sz w:val="24"/>
          <w:szCs w:val="24"/>
          <w:shd w:val="clear" w:color="auto" w:fill="FFFFFF"/>
        </w:rPr>
        <w:t>How to create an Employee Rewards and Recognition Policy.</w:t>
      </w:r>
      <w:r w:rsidRPr="00CD623F">
        <w:rPr>
          <w:rFonts w:ascii="Arial" w:hAnsi="Arial" w:cs="Arial"/>
          <w:sz w:val="24"/>
          <w:szCs w:val="24"/>
          <w:shd w:val="clear" w:color="auto" w:fill="FFFFFF"/>
        </w:rPr>
        <w:t xml:space="preserve"> Available at:</w:t>
      </w:r>
      <w:r w:rsidRPr="00CD623F">
        <w:rPr>
          <w:rFonts w:ascii="Arial" w:hAnsi="Arial" w:cs="Arial"/>
          <w:sz w:val="24"/>
          <w:szCs w:val="24"/>
        </w:rPr>
        <w:t xml:space="preserve"> https://hrdailyadvisor.blr.com/2019/06/28/how-to-create-an-employee-rewards-and-recognition-policy/</w:t>
      </w:r>
      <w:r w:rsidRPr="00CD623F">
        <w:rPr>
          <w:rStyle w:val="Hyperlink"/>
          <w:rFonts w:ascii="Arial" w:hAnsi="Arial" w:cs="Arial"/>
          <w:color w:val="auto"/>
          <w:sz w:val="24"/>
          <w:szCs w:val="24"/>
        </w:rPr>
        <w:t xml:space="preserve"> (Accessed August 13</w:t>
      </w:r>
      <w:r w:rsidRPr="00CD623F">
        <w:rPr>
          <w:rStyle w:val="Hyperlink"/>
          <w:rFonts w:ascii="Arial" w:hAnsi="Arial" w:cs="Arial"/>
          <w:color w:val="auto"/>
          <w:sz w:val="24"/>
          <w:szCs w:val="24"/>
          <w:vertAlign w:val="superscript"/>
        </w:rPr>
        <w:t>th</w:t>
      </w:r>
      <w:proofErr w:type="gramStart"/>
      <w:r w:rsidRPr="00CD623F">
        <w:rPr>
          <w:rStyle w:val="Hyperlink"/>
          <w:rFonts w:ascii="Arial" w:hAnsi="Arial" w:cs="Arial"/>
          <w:color w:val="auto"/>
          <w:sz w:val="24"/>
          <w:szCs w:val="24"/>
        </w:rPr>
        <w:t xml:space="preserve"> 2025</w:t>
      </w:r>
      <w:proofErr w:type="gramEnd"/>
      <w:r w:rsidRPr="00CD623F">
        <w:rPr>
          <w:rStyle w:val="Hyperlink"/>
          <w:rFonts w:ascii="Arial" w:hAnsi="Arial" w:cs="Arial"/>
          <w:color w:val="auto"/>
          <w:sz w:val="24"/>
          <w:szCs w:val="24"/>
        </w:rPr>
        <w:t>)</w:t>
      </w:r>
    </w:p>
    <w:p w14:paraId="2423BD68" w14:textId="77777777" w:rsidR="00B268FC" w:rsidRPr="00CD623F" w:rsidRDefault="00B268FC" w:rsidP="00E97068">
      <w:pPr>
        <w:spacing w:line="360" w:lineRule="auto"/>
        <w:rPr>
          <w:rFonts w:ascii="Arial" w:hAnsi="Arial" w:cs="Arial"/>
          <w:sz w:val="24"/>
          <w:szCs w:val="24"/>
        </w:rPr>
      </w:pPr>
      <w:r w:rsidRPr="00CD623F">
        <w:rPr>
          <w:rFonts w:ascii="Arial" w:hAnsi="Arial" w:cs="Arial"/>
          <w:sz w:val="24"/>
          <w:szCs w:val="24"/>
        </w:rPr>
        <w:lastRenderedPageBreak/>
        <w:t xml:space="preserve">Ngwa, W., </w:t>
      </w:r>
      <w:proofErr w:type="spellStart"/>
      <w:r w:rsidRPr="00CD623F">
        <w:rPr>
          <w:rFonts w:ascii="Arial" w:hAnsi="Arial" w:cs="Arial"/>
          <w:sz w:val="24"/>
          <w:szCs w:val="24"/>
        </w:rPr>
        <w:t>Adeleke,B</w:t>
      </w:r>
      <w:proofErr w:type="spellEnd"/>
      <w:r w:rsidRPr="00CD623F">
        <w:rPr>
          <w:rFonts w:ascii="Arial" w:hAnsi="Arial" w:cs="Arial"/>
          <w:sz w:val="24"/>
          <w:szCs w:val="24"/>
        </w:rPr>
        <w:t xml:space="preserve">., </w:t>
      </w:r>
      <w:proofErr w:type="spellStart"/>
      <w:r w:rsidRPr="00CD623F">
        <w:rPr>
          <w:rFonts w:ascii="Arial" w:hAnsi="Arial" w:cs="Arial"/>
          <w:sz w:val="24"/>
          <w:szCs w:val="24"/>
        </w:rPr>
        <w:t>Agbaeze</w:t>
      </w:r>
      <w:proofErr w:type="spellEnd"/>
      <w:r w:rsidRPr="00CD623F">
        <w:rPr>
          <w:rFonts w:ascii="Arial" w:hAnsi="Arial" w:cs="Arial"/>
          <w:sz w:val="24"/>
          <w:szCs w:val="24"/>
        </w:rPr>
        <w:t xml:space="preserve">, E., Ghasi, N., &amp; </w:t>
      </w:r>
      <w:proofErr w:type="spellStart"/>
      <w:r w:rsidRPr="00CD623F">
        <w:rPr>
          <w:rFonts w:ascii="Arial" w:hAnsi="Arial" w:cs="Arial"/>
          <w:sz w:val="24"/>
          <w:szCs w:val="24"/>
        </w:rPr>
        <w:t>Imhanrenialena</w:t>
      </w:r>
      <w:proofErr w:type="spellEnd"/>
      <w:r w:rsidRPr="00CD623F">
        <w:rPr>
          <w:rFonts w:ascii="Arial" w:hAnsi="Arial" w:cs="Arial"/>
          <w:sz w:val="24"/>
          <w:szCs w:val="24"/>
        </w:rPr>
        <w:t xml:space="preserve">, B. (2019) Effect of reward system on employee performance among selected manufacturing firms in the </w:t>
      </w:r>
      <w:proofErr w:type="spellStart"/>
      <w:r w:rsidRPr="00CD623F">
        <w:rPr>
          <w:rFonts w:ascii="Arial" w:hAnsi="Arial" w:cs="Arial"/>
          <w:sz w:val="24"/>
          <w:szCs w:val="24"/>
        </w:rPr>
        <w:t>litoral</w:t>
      </w:r>
      <w:proofErr w:type="spellEnd"/>
      <w:r w:rsidRPr="00CD623F">
        <w:rPr>
          <w:rFonts w:ascii="Arial" w:hAnsi="Arial" w:cs="Arial"/>
          <w:sz w:val="24"/>
          <w:szCs w:val="24"/>
        </w:rPr>
        <w:t xml:space="preserve"> region of Cameroon. </w:t>
      </w:r>
      <w:r w:rsidRPr="00CD623F">
        <w:rPr>
          <w:rFonts w:ascii="Arial" w:hAnsi="Arial" w:cs="Arial"/>
          <w:i/>
          <w:iCs/>
          <w:sz w:val="24"/>
          <w:szCs w:val="24"/>
        </w:rPr>
        <w:t xml:space="preserve">Academy of Strategic Management Journal, </w:t>
      </w:r>
      <w:r w:rsidRPr="00CD623F">
        <w:rPr>
          <w:rFonts w:ascii="Arial" w:hAnsi="Arial" w:cs="Arial"/>
          <w:sz w:val="24"/>
          <w:szCs w:val="24"/>
        </w:rPr>
        <w:t xml:space="preserve">18 (3), 1-16. </w:t>
      </w:r>
    </w:p>
    <w:p w14:paraId="0A25FBDA" w14:textId="77777777" w:rsidR="00B268FC" w:rsidRPr="00CD623F" w:rsidRDefault="00B268FC" w:rsidP="00E97068">
      <w:pPr>
        <w:spacing w:line="360" w:lineRule="auto"/>
        <w:rPr>
          <w:rFonts w:ascii="Arial" w:hAnsi="Arial" w:cs="Arial"/>
          <w:sz w:val="24"/>
          <w:szCs w:val="24"/>
        </w:rPr>
      </w:pPr>
      <w:r w:rsidRPr="00CD623F">
        <w:rPr>
          <w:rFonts w:ascii="Arial" w:hAnsi="Arial" w:cs="Arial"/>
          <w:sz w:val="24"/>
          <w:szCs w:val="24"/>
        </w:rPr>
        <w:t>Ogbonnaya, C., &amp; Messersmith, J. (2019) Employee performance, well</w:t>
      </w:r>
      <w:r w:rsidRPr="00CD623F">
        <w:rPr>
          <w:rFonts w:ascii="Cambria Math" w:hAnsi="Cambria Math" w:cs="Cambria Math"/>
          <w:sz w:val="24"/>
          <w:szCs w:val="24"/>
        </w:rPr>
        <w:t>‐</w:t>
      </w:r>
      <w:r w:rsidRPr="00CD623F">
        <w:rPr>
          <w:rFonts w:ascii="Arial" w:hAnsi="Arial" w:cs="Arial"/>
          <w:sz w:val="24"/>
          <w:szCs w:val="24"/>
        </w:rPr>
        <w:t xml:space="preserve">being, and differential effects of human resource management subdimensions: Mutual gains or conflicting </w:t>
      </w:r>
      <w:proofErr w:type="gramStart"/>
      <w:r w:rsidRPr="00CD623F">
        <w:rPr>
          <w:rFonts w:ascii="Arial" w:hAnsi="Arial" w:cs="Arial"/>
          <w:sz w:val="24"/>
          <w:szCs w:val="24"/>
        </w:rPr>
        <w:t>outcomes?.</w:t>
      </w:r>
      <w:proofErr w:type="gramEnd"/>
      <w:r w:rsidRPr="00CD623F">
        <w:rPr>
          <w:rFonts w:ascii="Arial" w:hAnsi="Arial" w:cs="Arial"/>
          <w:sz w:val="24"/>
          <w:szCs w:val="24"/>
        </w:rPr>
        <w:t xml:space="preserve"> </w:t>
      </w:r>
      <w:r w:rsidRPr="00CD623F">
        <w:rPr>
          <w:rFonts w:ascii="Arial" w:hAnsi="Arial" w:cs="Arial"/>
          <w:i/>
          <w:iCs/>
          <w:sz w:val="24"/>
          <w:szCs w:val="24"/>
        </w:rPr>
        <w:t>Human Resource Management Journal.</w:t>
      </w:r>
      <w:r w:rsidRPr="00CD623F">
        <w:rPr>
          <w:rFonts w:ascii="Arial" w:hAnsi="Arial" w:cs="Arial"/>
          <w:sz w:val="24"/>
          <w:szCs w:val="24"/>
        </w:rPr>
        <w:t xml:space="preserve"> 29 (3), 509-526. </w:t>
      </w:r>
    </w:p>
    <w:p w14:paraId="6E3B8F18" w14:textId="77777777" w:rsidR="00B268FC" w:rsidRPr="00CD623F" w:rsidRDefault="00B268FC" w:rsidP="00E97068">
      <w:pPr>
        <w:spacing w:before="120" w:after="200" w:line="264" w:lineRule="auto"/>
        <w:ind w:left="-142"/>
        <w:rPr>
          <w:rFonts w:ascii="Arial" w:hAnsi="Arial" w:cs="Arial"/>
          <w:sz w:val="24"/>
          <w:szCs w:val="24"/>
        </w:rPr>
      </w:pPr>
      <w:r w:rsidRPr="00CD623F">
        <w:rPr>
          <w:rFonts w:ascii="Arial" w:hAnsi="Arial" w:cs="Arial"/>
          <w:sz w:val="24"/>
          <w:szCs w:val="24"/>
          <w:lang w:val="en-US"/>
        </w:rPr>
        <w:t xml:space="preserve">O’Neil, G. (2017) </w:t>
      </w:r>
      <w:r w:rsidRPr="00CD623F">
        <w:rPr>
          <w:rFonts w:ascii="Arial" w:hAnsi="Arial" w:cs="Arial"/>
          <w:i/>
          <w:iCs/>
          <w:sz w:val="24"/>
          <w:szCs w:val="24"/>
          <w:lang w:val="en-US"/>
        </w:rPr>
        <w:t xml:space="preserve">Let's get transparent in reward. </w:t>
      </w:r>
      <w:r w:rsidRPr="00CD623F">
        <w:rPr>
          <w:rFonts w:ascii="Arial" w:hAnsi="Arial" w:cs="Arial"/>
          <w:sz w:val="24"/>
          <w:szCs w:val="24"/>
          <w:lang w:val="en-US"/>
        </w:rPr>
        <w:t xml:space="preserve">Available at: </w:t>
      </w:r>
      <w:r w:rsidRPr="00CD623F">
        <w:rPr>
          <w:rFonts w:ascii="Arial" w:hAnsi="Arial" w:cs="Arial"/>
          <w:sz w:val="24"/>
          <w:szCs w:val="24"/>
        </w:rPr>
        <w:t>https://www.changeboard.com/article-details/15372/let-s-get-transparent-in-reward/ (Accessed August 13</w:t>
      </w:r>
      <w:r w:rsidRPr="00CD623F">
        <w:rPr>
          <w:rFonts w:ascii="Arial" w:hAnsi="Arial" w:cs="Arial"/>
          <w:sz w:val="24"/>
          <w:szCs w:val="24"/>
          <w:vertAlign w:val="superscript"/>
        </w:rPr>
        <w:t>th</w:t>
      </w:r>
      <w:proofErr w:type="gramStart"/>
      <w:r w:rsidRPr="00CD623F">
        <w:rPr>
          <w:rFonts w:ascii="Arial" w:hAnsi="Arial" w:cs="Arial"/>
          <w:sz w:val="24"/>
          <w:szCs w:val="24"/>
        </w:rPr>
        <w:t xml:space="preserve"> 2025</w:t>
      </w:r>
      <w:proofErr w:type="gramEnd"/>
      <w:r w:rsidRPr="00CD623F">
        <w:rPr>
          <w:rFonts w:ascii="Arial" w:hAnsi="Arial" w:cs="Arial"/>
          <w:sz w:val="24"/>
          <w:szCs w:val="24"/>
        </w:rPr>
        <w:t xml:space="preserve">) </w:t>
      </w:r>
    </w:p>
    <w:p w14:paraId="7DED6EB2" w14:textId="77777777" w:rsidR="00B268FC" w:rsidRPr="00CD623F" w:rsidRDefault="00B268FC" w:rsidP="00E97068">
      <w:pPr>
        <w:spacing w:before="120" w:after="200" w:line="264" w:lineRule="auto"/>
        <w:ind w:left="-142"/>
        <w:rPr>
          <w:rFonts w:ascii="Arial" w:hAnsi="Arial" w:cs="Arial"/>
          <w:sz w:val="24"/>
          <w:szCs w:val="24"/>
          <w:lang w:val="en-US"/>
        </w:rPr>
      </w:pPr>
      <w:r w:rsidRPr="00CD623F">
        <w:rPr>
          <w:rFonts w:ascii="Arial" w:hAnsi="Arial" w:cs="Arial"/>
          <w:sz w:val="24"/>
          <w:szCs w:val="24"/>
        </w:rPr>
        <w:t xml:space="preserve">ONS (2022) </w:t>
      </w:r>
      <w:r w:rsidRPr="00CD623F">
        <w:rPr>
          <w:rFonts w:ascii="Arial" w:hAnsi="Arial" w:cs="Arial"/>
          <w:i/>
          <w:iCs/>
          <w:sz w:val="24"/>
          <w:szCs w:val="24"/>
        </w:rPr>
        <w:t>Is hybrid working here to stay?</w:t>
      </w:r>
      <w:r w:rsidRPr="00CD623F">
        <w:rPr>
          <w:rFonts w:ascii="Arial" w:hAnsi="Arial" w:cs="Arial"/>
          <w:sz w:val="24"/>
          <w:szCs w:val="24"/>
        </w:rPr>
        <w:t xml:space="preserve"> Available at: https://www.ons.gov.uk/employmentandlabourmarket/peopleinwork/employmentandemployeetypes/articles/ishybridworkingheretostay/2022-05-23#:~:text=The%20proportion%20of%20people%20planning,of%20work%20in%20the%20future. (Accessed 15</w:t>
      </w:r>
      <w:r w:rsidRPr="00CD623F">
        <w:rPr>
          <w:rFonts w:ascii="Arial" w:hAnsi="Arial" w:cs="Arial"/>
          <w:sz w:val="24"/>
          <w:szCs w:val="24"/>
          <w:vertAlign w:val="superscript"/>
        </w:rPr>
        <w:t>th</w:t>
      </w:r>
      <w:r w:rsidRPr="00CD623F">
        <w:rPr>
          <w:rFonts w:ascii="Arial" w:hAnsi="Arial" w:cs="Arial"/>
          <w:sz w:val="24"/>
          <w:szCs w:val="24"/>
        </w:rPr>
        <w:t xml:space="preserve"> August 2025). </w:t>
      </w:r>
    </w:p>
    <w:p w14:paraId="18BCA0EC" w14:textId="77777777" w:rsidR="00B268FC" w:rsidRDefault="00B268FC" w:rsidP="00E97068">
      <w:pPr>
        <w:spacing w:line="360" w:lineRule="auto"/>
        <w:ind w:left="-142"/>
        <w:rPr>
          <w:rFonts w:ascii="Arial" w:hAnsi="Arial" w:cs="Arial"/>
          <w:sz w:val="24"/>
          <w:szCs w:val="24"/>
        </w:rPr>
      </w:pPr>
      <w:r w:rsidRPr="00CD623F">
        <w:rPr>
          <w:rFonts w:ascii="Arial" w:hAnsi="Arial" w:cs="Arial"/>
          <w:sz w:val="24"/>
          <w:szCs w:val="24"/>
        </w:rPr>
        <w:t xml:space="preserve">Pierce, W.D., Cameron, J., Banko, K.M., &amp; So, S. (2003) Positive effects of rewards and performance standards on intrinsic motivation. </w:t>
      </w:r>
      <w:r w:rsidRPr="00CD623F">
        <w:rPr>
          <w:rFonts w:ascii="Arial" w:hAnsi="Arial" w:cs="Arial"/>
          <w:i/>
          <w:iCs/>
          <w:sz w:val="24"/>
          <w:szCs w:val="24"/>
        </w:rPr>
        <w:t>The psychological record</w:t>
      </w:r>
      <w:r w:rsidRPr="00CD623F">
        <w:rPr>
          <w:rFonts w:ascii="Arial" w:hAnsi="Arial" w:cs="Arial"/>
          <w:sz w:val="24"/>
          <w:szCs w:val="24"/>
        </w:rPr>
        <w:t>, 53 (4), 561-578.</w:t>
      </w:r>
    </w:p>
    <w:p w14:paraId="177633C3" w14:textId="77777777" w:rsidR="00B268FC" w:rsidRPr="00CD623F" w:rsidRDefault="00B268FC" w:rsidP="00E97068">
      <w:pPr>
        <w:rPr>
          <w:rFonts w:ascii="Arial" w:hAnsi="Arial" w:cs="Arial"/>
          <w:sz w:val="24"/>
          <w:szCs w:val="24"/>
          <w:lang w:val="en-US"/>
        </w:rPr>
      </w:pPr>
      <w:proofErr w:type="spellStart"/>
      <w:r w:rsidRPr="00CD623F">
        <w:rPr>
          <w:rFonts w:ascii="Arial" w:hAnsi="Arial" w:cs="Arial"/>
          <w:sz w:val="24"/>
          <w:szCs w:val="24"/>
          <w:shd w:val="clear" w:color="auto" w:fill="FFFFFF"/>
        </w:rPr>
        <w:t>R.Carpi</w:t>
      </w:r>
      <w:proofErr w:type="spellEnd"/>
      <w:r w:rsidRPr="00CD623F">
        <w:rPr>
          <w:rFonts w:ascii="Arial" w:hAnsi="Arial" w:cs="Arial"/>
          <w:sz w:val="24"/>
          <w:szCs w:val="24"/>
          <w:shd w:val="clear" w:color="auto" w:fill="FFFFFF"/>
        </w:rPr>
        <w:t xml:space="preserve">, J. Douglas, F. Gascon. (2017). </w:t>
      </w:r>
      <w:r w:rsidRPr="00CD623F">
        <w:rPr>
          <w:rFonts w:ascii="Arial" w:hAnsi="Arial" w:cs="Arial"/>
          <w:i/>
          <w:iCs/>
          <w:sz w:val="24"/>
          <w:szCs w:val="24"/>
          <w:shd w:val="clear" w:color="auto" w:fill="FFFFFF"/>
        </w:rPr>
        <w:t>Performance management: Why keeping score is so important, and so hard. McKinsey &amp; Company.</w:t>
      </w:r>
      <w:r>
        <w:rPr>
          <w:rFonts w:ascii="Arial" w:hAnsi="Arial" w:cs="Arial"/>
          <w:sz w:val="24"/>
          <w:szCs w:val="24"/>
          <w:shd w:val="clear" w:color="auto" w:fill="FFFFFF"/>
        </w:rPr>
        <w:t xml:space="preserve"> </w:t>
      </w:r>
      <w:r w:rsidRPr="00CD623F">
        <w:rPr>
          <w:rFonts w:ascii="Arial" w:hAnsi="Arial" w:cs="Arial"/>
          <w:sz w:val="24"/>
          <w:szCs w:val="24"/>
          <w:shd w:val="clear" w:color="auto" w:fill="FFFFFF"/>
        </w:rPr>
        <w:t>https://www.mckinsey.com/capabilities/operations/our-insights/performance-management-why-keeping-score-is-so-important-and-so-hard (Accessed 25 June 2025)</w:t>
      </w:r>
    </w:p>
    <w:p w14:paraId="2CAC71E5" w14:textId="77777777" w:rsidR="00B268FC" w:rsidRPr="00CD623F" w:rsidRDefault="00B268FC" w:rsidP="00E97068">
      <w:pPr>
        <w:spacing w:line="360" w:lineRule="auto"/>
        <w:ind w:left="-142"/>
        <w:rPr>
          <w:rFonts w:ascii="Arial" w:hAnsi="Arial" w:cs="Arial"/>
          <w:sz w:val="24"/>
          <w:szCs w:val="24"/>
        </w:rPr>
      </w:pPr>
    </w:p>
    <w:p w14:paraId="6E9A1E8D" w14:textId="77777777" w:rsidR="00B268FC" w:rsidRPr="00CD623F" w:rsidRDefault="00B268FC" w:rsidP="00E97068">
      <w:pPr>
        <w:spacing w:line="360" w:lineRule="auto"/>
        <w:ind w:left="-142"/>
        <w:rPr>
          <w:rFonts w:ascii="Arial" w:hAnsi="Arial" w:cs="Arial"/>
          <w:sz w:val="24"/>
          <w:szCs w:val="24"/>
        </w:rPr>
      </w:pPr>
      <w:r w:rsidRPr="00CD623F">
        <w:rPr>
          <w:rFonts w:ascii="Arial" w:hAnsi="Arial" w:cs="Arial"/>
          <w:sz w:val="24"/>
          <w:szCs w:val="24"/>
          <w:shd w:val="clear" w:color="auto" w:fill="FFFFFF"/>
        </w:rPr>
        <w:t xml:space="preserve">Saks, A. &amp; Rotman, J. (2006) Antecedents and Consequences of Employee Engagement. </w:t>
      </w:r>
      <w:r w:rsidRPr="00CD623F">
        <w:rPr>
          <w:rFonts w:ascii="Arial" w:hAnsi="Arial" w:cs="Arial"/>
          <w:i/>
          <w:iCs/>
          <w:sz w:val="24"/>
          <w:szCs w:val="24"/>
          <w:shd w:val="clear" w:color="auto" w:fill="FFFFFF"/>
        </w:rPr>
        <w:t>Journal of Managerial Psychology</w:t>
      </w:r>
      <w:r w:rsidRPr="00CD623F">
        <w:rPr>
          <w:rFonts w:ascii="Arial" w:hAnsi="Arial" w:cs="Arial"/>
          <w:sz w:val="24"/>
          <w:szCs w:val="24"/>
          <w:shd w:val="clear" w:color="auto" w:fill="FFFFFF"/>
        </w:rPr>
        <w:t>. 21, 600-619.</w:t>
      </w:r>
    </w:p>
    <w:p w14:paraId="2993088D" w14:textId="77777777" w:rsidR="00B268FC" w:rsidRPr="00CD623F" w:rsidRDefault="00B268FC" w:rsidP="00E97068">
      <w:pPr>
        <w:spacing w:line="360" w:lineRule="auto"/>
        <w:ind w:left="-142"/>
        <w:rPr>
          <w:rFonts w:ascii="Arial" w:hAnsi="Arial" w:cs="Arial"/>
          <w:sz w:val="24"/>
          <w:szCs w:val="24"/>
          <w:shd w:val="clear" w:color="auto" w:fill="FFFFFF"/>
        </w:rPr>
      </w:pPr>
      <w:r w:rsidRPr="00CD623F">
        <w:rPr>
          <w:rFonts w:ascii="Arial" w:hAnsi="Arial" w:cs="Arial"/>
          <w:sz w:val="24"/>
          <w:szCs w:val="24"/>
          <w:shd w:val="clear" w:color="auto" w:fill="FFFFFF"/>
        </w:rPr>
        <w:t>Shah, K and Kumar, M. (2007)  Distributed Independent Reinforcement Learning (DIRL) Approach to Resource Management in Wireless Sensor Networks. </w:t>
      </w:r>
      <w:r w:rsidRPr="00CD623F">
        <w:rPr>
          <w:rStyle w:val="Emphasis"/>
          <w:rFonts w:ascii="Arial" w:hAnsi="Arial" w:cs="Arial"/>
          <w:sz w:val="24"/>
          <w:szCs w:val="24"/>
          <w:shd w:val="clear" w:color="auto" w:fill="FFFFFF"/>
        </w:rPr>
        <w:t xml:space="preserve">2007 IEEE International Conference on Mobile </w:t>
      </w:r>
      <w:proofErr w:type="spellStart"/>
      <w:r w:rsidRPr="00CD623F">
        <w:rPr>
          <w:rStyle w:val="Emphasis"/>
          <w:rFonts w:ascii="Arial" w:hAnsi="Arial" w:cs="Arial"/>
          <w:sz w:val="24"/>
          <w:szCs w:val="24"/>
          <w:shd w:val="clear" w:color="auto" w:fill="FFFFFF"/>
        </w:rPr>
        <w:t>Adhoc</w:t>
      </w:r>
      <w:proofErr w:type="spellEnd"/>
      <w:r w:rsidRPr="00CD623F">
        <w:rPr>
          <w:rStyle w:val="Emphasis"/>
          <w:rFonts w:ascii="Arial" w:hAnsi="Arial" w:cs="Arial"/>
          <w:sz w:val="24"/>
          <w:szCs w:val="24"/>
          <w:shd w:val="clear" w:color="auto" w:fill="FFFFFF"/>
        </w:rPr>
        <w:t xml:space="preserve"> and Sensor Systems</w:t>
      </w:r>
      <w:r w:rsidRPr="00CD623F">
        <w:rPr>
          <w:rFonts w:ascii="Arial" w:hAnsi="Arial" w:cs="Arial"/>
          <w:sz w:val="24"/>
          <w:szCs w:val="24"/>
          <w:shd w:val="clear" w:color="auto" w:fill="FFFFFF"/>
        </w:rPr>
        <w:t>. 1-9</w:t>
      </w:r>
    </w:p>
    <w:p w14:paraId="08BBD07C" w14:textId="77777777" w:rsidR="00B268FC" w:rsidRDefault="00B268FC" w:rsidP="00E97068">
      <w:pPr>
        <w:spacing w:line="360" w:lineRule="auto"/>
        <w:ind w:left="-142"/>
        <w:rPr>
          <w:rFonts w:ascii="Arial" w:hAnsi="Arial" w:cs="Arial"/>
          <w:sz w:val="24"/>
          <w:szCs w:val="24"/>
          <w:shd w:val="clear" w:color="auto" w:fill="FCFCFC"/>
        </w:rPr>
      </w:pPr>
      <w:r w:rsidRPr="00CA1174">
        <w:rPr>
          <w:rFonts w:ascii="Arial" w:hAnsi="Arial" w:cs="Arial"/>
          <w:strike/>
          <w:sz w:val="24"/>
          <w:szCs w:val="24"/>
          <w:shd w:val="clear" w:color="auto" w:fill="FCFCFC"/>
        </w:rPr>
        <w:t>Skaggs, R., Gilliam, W. &amp; Evans, R. (1991) A computer simulation study of pocosin hydrology. </w:t>
      </w:r>
      <w:r w:rsidRPr="00CA1174">
        <w:rPr>
          <w:rFonts w:ascii="Arial" w:hAnsi="Arial" w:cs="Arial"/>
          <w:i/>
          <w:iCs/>
          <w:strike/>
          <w:sz w:val="24"/>
          <w:szCs w:val="24"/>
          <w:shd w:val="clear" w:color="auto" w:fill="FCFCFC"/>
        </w:rPr>
        <w:t>Wetlands. 11(1)</w:t>
      </w:r>
      <w:r w:rsidRPr="00CA1174">
        <w:rPr>
          <w:rFonts w:ascii="Arial" w:hAnsi="Arial" w:cs="Arial"/>
          <w:strike/>
          <w:sz w:val="24"/>
          <w:szCs w:val="24"/>
          <w:shd w:val="clear" w:color="auto" w:fill="FCFCFC"/>
        </w:rPr>
        <w:t>, 399–416</w:t>
      </w:r>
      <w:r w:rsidRPr="00CD623F">
        <w:rPr>
          <w:rFonts w:ascii="Arial" w:hAnsi="Arial" w:cs="Arial"/>
          <w:sz w:val="24"/>
          <w:szCs w:val="24"/>
          <w:shd w:val="clear" w:color="auto" w:fill="FCFCFC"/>
        </w:rPr>
        <w:t>.</w:t>
      </w:r>
    </w:p>
    <w:p w14:paraId="2839CE8F" w14:textId="77777777" w:rsidR="00B268FC" w:rsidRDefault="00B268FC" w:rsidP="00E97068">
      <w:pPr>
        <w:spacing w:line="360" w:lineRule="auto"/>
        <w:ind w:left="-142"/>
        <w:rPr>
          <w:rFonts w:ascii="Arial" w:hAnsi="Arial" w:cs="Arial"/>
          <w:color w:val="EE0000"/>
          <w:sz w:val="24"/>
          <w:szCs w:val="24"/>
          <w:shd w:val="clear" w:color="auto" w:fill="FCFCFC"/>
        </w:rPr>
      </w:pPr>
      <w:r w:rsidRPr="00CD4C6C">
        <w:rPr>
          <w:rFonts w:ascii="Arial" w:hAnsi="Arial" w:cs="Arial"/>
          <w:color w:val="EE0000"/>
          <w:sz w:val="24"/>
          <w:szCs w:val="24"/>
          <w:shd w:val="clear" w:color="auto" w:fill="FCFCFC"/>
        </w:rPr>
        <w:t>Smith, C</w:t>
      </w:r>
      <w:r w:rsidRPr="00CD4C6C">
        <w:rPr>
          <w:rFonts w:ascii="Arial" w:hAnsi="Arial" w:cs="Arial"/>
          <w:b/>
          <w:bCs/>
          <w:color w:val="EE0000"/>
          <w:sz w:val="24"/>
          <w:szCs w:val="24"/>
          <w:shd w:val="clear" w:color="auto" w:fill="FCFCFC"/>
        </w:rPr>
        <w:t>.</w:t>
      </w:r>
      <w:r w:rsidRPr="00CD4C6C">
        <w:rPr>
          <w:rFonts w:ascii="Arial" w:hAnsi="Arial" w:cs="Arial"/>
          <w:color w:val="EE0000"/>
          <w:sz w:val="24"/>
          <w:szCs w:val="24"/>
          <w:shd w:val="clear" w:color="auto" w:fill="FCFCFC"/>
        </w:rPr>
        <w:t> (2025) </w:t>
      </w:r>
      <w:r w:rsidRPr="00CD4C6C">
        <w:rPr>
          <w:rFonts w:ascii="Arial" w:hAnsi="Arial" w:cs="Arial"/>
          <w:i/>
          <w:iCs/>
          <w:color w:val="EE0000"/>
          <w:sz w:val="24"/>
          <w:szCs w:val="24"/>
          <w:shd w:val="clear" w:color="auto" w:fill="FCFCFC"/>
        </w:rPr>
        <w:t>The use of contingent rewards</w:t>
      </w:r>
      <w:r w:rsidRPr="00CD4C6C">
        <w:rPr>
          <w:rFonts w:ascii="Arial" w:hAnsi="Arial" w:cs="Arial"/>
          <w:color w:val="EE0000"/>
          <w:sz w:val="24"/>
          <w:szCs w:val="24"/>
          <w:shd w:val="clear" w:color="auto" w:fill="FCFCFC"/>
        </w:rPr>
        <w:t>. Chron. Available at: https://smallbusiness.chron.com/use-contingent-rewards-35216.html (Accessed: 2 September 2025).</w:t>
      </w:r>
    </w:p>
    <w:p w14:paraId="4CB60F8D" w14:textId="77777777" w:rsidR="00B268FC" w:rsidRPr="00CD4C6C" w:rsidRDefault="00B268FC" w:rsidP="00E97068">
      <w:pPr>
        <w:spacing w:line="360" w:lineRule="auto"/>
        <w:ind w:left="-142"/>
        <w:rPr>
          <w:rFonts w:ascii="Arial" w:hAnsi="Arial" w:cs="Arial"/>
          <w:color w:val="EE0000"/>
          <w:sz w:val="24"/>
          <w:szCs w:val="24"/>
          <w:shd w:val="clear" w:color="auto" w:fill="FCFCFC"/>
        </w:rPr>
      </w:pPr>
      <w:proofErr w:type="spellStart"/>
      <w:r w:rsidRPr="008B5DC3">
        <w:rPr>
          <w:rFonts w:ascii="Arial" w:hAnsi="Arial" w:cs="Arial"/>
          <w:color w:val="EE0000"/>
          <w:sz w:val="24"/>
          <w:szCs w:val="24"/>
          <w:shd w:val="clear" w:color="auto" w:fill="FCFCFC"/>
        </w:rPr>
        <w:lastRenderedPageBreak/>
        <w:t>Verasai</w:t>
      </w:r>
      <w:proofErr w:type="spellEnd"/>
      <w:r w:rsidRPr="008B5DC3">
        <w:rPr>
          <w:rFonts w:ascii="Arial" w:hAnsi="Arial" w:cs="Arial"/>
          <w:color w:val="EE0000"/>
          <w:sz w:val="24"/>
          <w:szCs w:val="24"/>
          <w:shd w:val="clear" w:color="auto" w:fill="FCFCFC"/>
        </w:rPr>
        <w:t>, A. (2022) </w:t>
      </w:r>
      <w:r w:rsidRPr="008B5DC3">
        <w:rPr>
          <w:rFonts w:ascii="Arial" w:hAnsi="Arial" w:cs="Arial"/>
          <w:i/>
          <w:iCs/>
          <w:color w:val="EE0000"/>
          <w:sz w:val="24"/>
          <w:szCs w:val="24"/>
          <w:shd w:val="clear" w:color="auto" w:fill="FCFCFC"/>
        </w:rPr>
        <w:t>Broadband compensation explained: Definition, benefits &amp; disadvantages</w:t>
      </w:r>
      <w:r w:rsidRPr="008B5DC3">
        <w:rPr>
          <w:rFonts w:ascii="Arial" w:hAnsi="Arial" w:cs="Arial"/>
          <w:color w:val="EE0000"/>
          <w:sz w:val="24"/>
          <w:szCs w:val="24"/>
          <w:shd w:val="clear" w:color="auto" w:fill="FCFCFC"/>
        </w:rPr>
        <w:t>. The HR Digest. Available at: https://www.thehrdigest.com/broadband-compensation-explained-definition-benefits-disadvantages/ (Accessed: 2 September 2025)</w:t>
      </w:r>
    </w:p>
    <w:p w14:paraId="69E2D6CC" w14:textId="464C5799" w:rsidR="00B268FC" w:rsidRPr="00B268FC" w:rsidRDefault="00B268FC" w:rsidP="00E97068">
      <w:pPr>
        <w:spacing w:line="360" w:lineRule="auto"/>
        <w:ind w:left="-142"/>
        <w:rPr>
          <w:rFonts w:ascii="Arial" w:hAnsi="Arial" w:cs="Arial"/>
          <w:sz w:val="24"/>
          <w:szCs w:val="24"/>
        </w:rPr>
      </w:pPr>
      <w:r w:rsidRPr="00CD623F">
        <w:rPr>
          <w:rFonts w:ascii="Arial" w:hAnsi="Arial" w:cs="Arial"/>
          <w:sz w:val="24"/>
          <w:szCs w:val="24"/>
          <w:shd w:val="clear" w:color="auto" w:fill="FCFCFC"/>
        </w:rPr>
        <w:t xml:space="preserve"> Wessels, K. (2018)</w:t>
      </w:r>
      <w:r w:rsidRPr="00CD623F">
        <w:rPr>
          <w:rFonts w:ascii="Arial" w:hAnsi="Arial" w:cs="Arial"/>
          <w:sz w:val="24"/>
          <w:szCs w:val="24"/>
        </w:rPr>
        <w:t xml:space="preserve"> Employee Benefits: The Evolution of Benefits</w:t>
      </w:r>
      <w:r w:rsidRPr="00CD623F">
        <w:rPr>
          <w:rFonts w:ascii="Arial" w:hAnsi="Arial" w:cs="Arial"/>
          <w:i/>
          <w:iCs/>
          <w:sz w:val="24"/>
          <w:szCs w:val="24"/>
        </w:rPr>
        <w:t xml:space="preserve">. </w:t>
      </w:r>
      <w:r w:rsidRPr="00CD623F">
        <w:rPr>
          <w:rFonts w:ascii="Arial" w:hAnsi="Arial" w:cs="Arial"/>
          <w:i/>
          <w:iCs/>
          <w:sz w:val="24"/>
          <w:szCs w:val="24"/>
          <w:shd w:val="clear" w:color="auto" w:fill="FCFCFC"/>
        </w:rPr>
        <w:t xml:space="preserve">Society for Human Resource Management. </w:t>
      </w:r>
      <w:r w:rsidRPr="00CD623F">
        <w:rPr>
          <w:rFonts w:ascii="Arial" w:hAnsi="Arial" w:cs="Arial"/>
          <w:sz w:val="24"/>
          <w:szCs w:val="24"/>
          <w:shd w:val="clear" w:color="auto" w:fill="FCFCFC"/>
        </w:rPr>
        <w:t xml:space="preserve">Available at: </w:t>
      </w:r>
      <w:hyperlink r:id="rId10" w:history="1">
        <w:r w:rsidR="00E97068" w:rsidRPr="00F53340">
          <w:rPr>
            <w:rStyle w:val="Hyperlink"/>
            <w:rFonts w:ascii="Arial" w:hAnsi="Arial" w:cs="Arial"/>
            <w:sz w:val="24"/>
            <w:szCs w:val="24"/>
          </w:rPr>
          <w:t>https://www.shrm.org/hr-today/trends-and-forecasting/research-and-surveys/Documents/2018%20Employee%20Benefits%20Report.pdf</w:t>
        </w:r>
      </w:hyperlink>
      <w:r w:rsidR="00E97068">
        <w:rPr>
          <w:rFonts w:ascii="Arial" w:hAnsi="Arial" w:cs="Arial"/>
          <w:sz w:val="24"/>
          <w:szCs w:val="24"/>
        </w:rPr>
        <w:t xml:space="preserve"> </w:t>
      </w:r>
      <w:r w:rsidRPr="00CD623F">
        <w:rPr>
          <w:rFonts w:ascii="Arial" w:hAnsi="Arial" w:cs="Arial"/>
          <w:sz w:val="24"/>
          <w:szCs w:val="24"/>
        </w:rPr>
        <w:t>(Accessed August 14</w:t>
      </w:r>
      <w:r w:rsidRPr="00CD623F">
        <w:rPr>
          <w:rFonts w:ascii="Arial" w:hAnsi="Arial" w:cs="Arial"/>
          <w:sz w:val="24"/>
          <w:szCs w:val="24"/>
          <w:vertAlign w:val="superscript"/>
        </w:rPr>
        <w:t>th</w:t>
      </w:r>
      <w:r w:rsidRPr="00CD623F">
        <w:rPr>
          <w:rFonts w:ascii="Arial" w:hAnsi="Arial" w:cs="Arial"/>
          <w:sz w:val="24"/>
          <w:szCs w:val="24"/>
        </w:rPr>
        <w:t xml:space="preserve"> 2025).</w:t>
      </w:r>
      <w:bookmarkEnd w:id="0"/>
    </w:p>
    <w:sectPr w:rsidR="00B268FC" w:rsidRPr="00B26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341CCC"/>
    <w:multiLevelType w:val="hybridMultilevel"/>
    <w:tmpl w:val="D3FE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9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8FC"/>
    <w:rsid w:val="00A2634C"/>
    <w:rsid w:val="00B268FC"/>
    <w:rsid w:val="00E86D29"/>
    <w:rsid w:val="00E97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1EF27"/>
  <w15:chartTrackingRefBased/>
  <w15:docId w15:val="{5596F974-748C-4987-A076-A61994EA4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8FC"/>
    <w:pPr>
      <w:spacing w:line="259" w:lineRule="auto"/>
    </w:pPr>
    <w:rPr>
      <w:kern w:val="0"/>
      <w:sz w:val="22"/>
      <w:szCs w:val="22"/>
      <w14:ligatures w14:val="none"/>
    </w:rPr>
  </w:style>
  <w:style w:type="paragraph" w:styleId="Heading1">
    <w:name w:val="heading 1"/>
    <w:basedOn w:val="Normal"/>
    <w:next w:val="Normal"/>
    <w:link w:val="Heading1Char"/>
    <w:uiPriority w:val="9"/>
    <w:qFormat/>
    <w:rsid w:val="00B2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8FC"/>
    <w:rPr>
      <w:rFonts w:eastAsiaTheme="majorEastAsia" w:cstheme="majorBidi"/>
      <w:color w:val="272727" w:themeColor="text1" w:themeTint="D8"/>
    </w:rPr>
  </w:style>
  <w:style w:type="paragraph" w:styleId="Title">
    <w:name w:val="Title"/>
    <w:basedOn w:val="Normal"/>
    <w:next w:val="Normal"/>
    <w:link w:val="TitleChar"/>
    <w:uiPriority w:val="10"/>
    <w:qFormat/>
    <w:rsid w:val="00B2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8FC"/>
    <w:pPr>
      <w:spacing w:before="160"/>
      <w:jc w:val="center"/>
    </w:pPr>
    <w:rPr>
      <w:i/>
      <w:iCs/>
      <w:color w:val="404040" w:themeColor="text1" w:themeTint="BF"/>
    </w:rPr>
  </w:style>
  <w:style w:type="character" w:customStyle="1" w:styleId="QuoteChar">
    <w:name w:val="Quote Char"/>
    <w:basedOn w:val="DefaultParagraphFont"/>
    <w:link w:val="Quote"/>
    <w:uiPriority w:val="29"/>
    <w:rsid w:val="00B268FC"/>
    <w:rPr>
      <w:i/>
      <w:iCs/>
      <w:color w:val="404040" w:themeColor="text1" w:themeTint="BF"/>
    </w:rPr>
  </w:style>
  <w:style w:type="paragraph" w:styleId="ListParagraph">
    <w:name w:val="List Paragraph"/>
    <w:basedOn w:val="Normal"/>
    <w:uiPriority w:val="34"/>
    <w:qFormat/>
    <w:rsid w:val="00B268FC"/>
    <w:pPr>
      <w:ind w:left="720"/>
      <w:contextualSpacing/>
    </w:pPr>
  </w:style>
  <w:style w:type="character" w:styleId="IntenseEmphasis">
    <w:name w:val="Intense Emphasis"/>
    <w:basedOn w:val="DefaultParagraphFont"/>
    <w:uiPriority w:val="21"/>
    <w:qFormat/>
    <w:rsid w:val="00B268FC"/>
    <w:rPr>
      <w:i/>
      <w:iCs/>
      <w:color w:val="0F4761" w:themeColor="accent1" w:themeShade="BF"/>
    </w:rPr>
  </w:style>
  <w:style w:type="paragraph" w:styleId="IntenseQuote">
    <w:name w:val="Intense Quote"/>
    <w:basedOn w:val="Normal"/>
    <w:next w:val="Normal"/>
    <w:link w:val="IntenseQuoteChar"/>
    <w:uiPriority w:val="30"/>
    <w:qFormat/>
    <w:rsid w:val="00B2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8FC"/>
    <w:rPr>
      <w:i/>
      <w:iCs/>
      <w:color w:val="0F4761" w:themeColor="accent1" w:themeShade="BF"/>
    </w:rPr>
  </w:style>
  <w:style w:type="character" w:styleId="IntenseReference">
    <w:name w:val="Intense Reference"/>
    <w:basedOn w:val="DefaultParagraphFont"/>
    <w:uiPriority w:val="32"/>
    <w:qFormat/>
    <w:rsid w:val="00B268FC"/>
    <w:rPr>
      <w:b/>
      <w:bCs/>
      <w:smallCaps/>
      <w:color w:val="0F4761" w:themeColor="accent1" w:themeShade="BF"/>
      <w:spacing w:val="5"/>
    </w:rPr>
  </w:style>
  <w:style w:type="paragraph" w:customStyle="1" w:styleId="ContactInfo">
    <w:name w:val="Contact Info"/>
    <w:basedOn w:val="Normal"/>
    <w:uiPriority w:val="4"/>
    <w:qFormat/>
    <w:rsid w:val="00B268FC"/>
    <w:pPr>
      <w:spacing w:after="0" w:line="264" w:lineRule="auto"/>
      <w:jc w:val="center"/>
    </w:pPr>
    <w:rPr>
      <w:color w:val="595959" w:themeColor="text1" w:themeTint="A6"/>
      <w:lang w:val="en-US"/>
    </w:rPr>
  </w:style>
  <w:style w:type="character" w:styleId="Hyperlink">
    <w:name w:val="Hyperlink"/>
    <w:basedOn w:val="DefaultParagraphFont"/>
    <w:uiPriority w:val="99"/>
    <w:unhideWhenUsed/>
    <w:rsid w:val="00B268FC"/>
    <w:rPr>
      <w:color w:val="0000FF"/>
      <w:u w:val="single"/>
    </w:rPr>
  </w:style>
  <w:style w:type="character" w:styleId="Emphasis">
    <w:name w:val="Emphasis"/>
    <w:basedOn w:val="DefaultParagraphFont"/>
    <w:uiPriority w:val="20"/>
    <w:qFormat/>
    <w:rsid w:val="00B268FC"/>
    <w:rPr>
      <w:i/>
      <w:iCs/>
    </w:rPr>
  </w:style>
  <w:style w:type="character" w:customStyle="1" w:styleId="truncatedauthor">
    <w:name w:val="truncatedauthor"/>
    <w:basedOn w:val="DefaultParagraphFont"/>
    <w:rsid w:val="00B268FC"/>
  </w:style>
  <w:style w:type="character" w:customStyle="1" w:styleId="jnlarticle">
    <w:name w:val="jnlarticle"/>
    <w:basedOn w:val="DefaultParagraphFont"/>
    <w:rsid w:val="00B268FC"/>
  </w:style>
  <w:style w:type="character" w:styleId="Strong">
    <w:name w:val="Strong"/>
    <w:basedOn w:val="DefaultParagraphFont"/>
    <w:uiPriority w:val="22"/>
    <w:qFormat/>
    <w:rsid w:val="00B268FC"/>
    <w:rPr>
      <w:b/>
      <w:bCs/>
    </w:rPr>
  </w:style>
  <w:style w:type="character" w:customStyle="1" w:styleId="mixed-citation">
    <w:name w:val="mixed-citation"/>
    <w:basedOn w:val="DefaultParagraphFont"/>
    <w:rsid w:val="00B268FC"/>
  </w:style>
  <w:style w:type="character" w:customStyle="1" w:styleId="ref-title">
    <w:name w:val="ref-title"/>
    <w:basedOn w:val="DefaultParagraphFont"/>
    <w:rsid w:val="00B268FC"/>
  </w:style>
  <w:style w:type="character" w:customStyle="1" w:styleId="ref-journal">
    <w:name w:val="ref-journal"/>
    <w:basedOn w:val="DefaultParagraphFont"/>
    <w:rsid w:val="00B268FC"/>
  </w:style>
  <w:style w:type="character" w:customStyle="1" w:styleId="ref-vol">
    <w:name w:val="ref-vol"/>
    <w:basedOn w:val="DefaultParagraphFont"/>
    <w:rsid w:val="00B268FC"/>
  </w:style>
  <w:style w:type="character" w:styleId="UnresolvedMention">
    <w:name w:val="Unresolved Mention"/>
    <w:basedOn w:val="DefaultParagraphFont"/>
    <w:uiPriority w:val="99"/>
    <w:semiHidden/>
    <w:unhideWhenUsed/>
    <w:rsid w:val="00E97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pubidlinkhandler/sng/pubtitle/ASBM+Journal+of+Management/$N/51770/OpenView/205021963/$B/E762A93F246B4ADAPQ/1;jsessionid=BC2AA736ABEBE475F696CF1067832E47.i-08220520056a2e4e0" TargetMode="External"/><Relationship Id="rId3" Type="http://schemas.openxmlformats.org/officeDocument/2006/relationships/styles" Target="styles.xml"/><Relationship Id="rId7" Type="http://schemas.openxmlformats.org/officeDocument/2006/relationships/hyperlink" Target="https://www.proquest.com/indexinglinkhandler/sng/author/Mukherjee,+Preetha/$N;jsessionid=BC2AA736ABEBE475F696CF1067832E47.i-08220520056a2e4e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roquest.com/indexinglinkhandler/sng/author/Bhattacharya,+Swaha/$N;jsessionid=BC2AA736ABEBE475F696CF1067832E47.i-08220520056a2e4e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hrm.org/hr-today/trends-and-forecasting/research-and-surveys/Documents/2018%20Employee%20Benefits%20Report.pdf" TargetMode="External"/><Relationship Id="rId4" Type="http://schemas.openxmlformats.org/officeDocument/2006/relationships/settings" Target="settings.xml"/><Relationship Id="rId9" Type="http://schemas.openxmlformats.org/officeDocument/2006/relationships/hyperlink" Target="https://www.cipd.org/uk/knowledge/factsheets/market-pric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718C9-CFA5-498F-99D5-9084F09E7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7533</Words>
  <Characters>42940</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Brown</dc:creator>
  <cp:keywords/>
  <dc:description/>
  <cp:lastModifiedBy>Alexandra Brown</cp:lastModifiedBy>
  <cp:revision>2</cp:revision>
  <dcterms:created xsi:type="dcterms:W3CDTF">2025-09-02T16:45:00Z</dcterms:created>
  <dcterms:modified xsi:type="dcterms:W3CDTF">2025-09-02T17:05:00Z</dcterms:modified>
</cp:coreProperties>
</file>