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BD4C7CD" w:rsidR="7908378C" w:rsidRDefault="7908378C" w:rsidP="33572C6E">
            <w:pPr>
              <w:ind w:right="237"/>
              <w:rPr>
                <w:b/>
                <w:bCs/>
                <w:color w:val="auto"/>
                <w:sz w:val="32"/>
                <w:szCs w:val="32"/>
              </w:rPr>
            </w:pPr>
            <w:r w:rsidRPr="33572C6E">
              <w:rPr>
                <w:b/>
                <w:bCs/>
                <w:color w:val="auto"/>
                <w:sz w:val="32"/>
                <w:szCs w:val="32"/>
              </w:rPr>
              <w:t xml:space="preserve">Learner name: </w:t>
            </w:r>
            <w:r w:rsidR="008D3AB5">
              <w:rPr>
                <w:b/>
                <w:bCs/>
                <w:color w:val="auto"/>
                <w:sz w:val="32"/>
                <w:szCs w:val="32"/>
              </w:rPr>
              <w:t>STEPHEN MBUNYA</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7C73C52" w:rsidR="7908378C" w:rsidRDefault="008D3AB5" w:rsidP="33572C6E">
            <w:pPr>
              <w:ind w:right="237"/>
              <w:rPr>
                <w:b/>
                <w:bCs/>
                <w:color w:val="auto"/>
                <w:sz w:val="32"/>
                <w:szCs w:val="32"/>
              </w:rPr>
            </w:pPr>
            <w:r>
              <w:rPr>
                <w:b/>
                <w:bCs/>
                <w:color w:val="auto"/>
                <w:sz w:val="32"/>
                <w:szCs w:val="32"/>
              </w:rPr>
              <w:t>2131908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3783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3CCAF38" w14:textId="5A833733" w:rsidR="000A7B8D" w:rsidRPr="00C97217" w:rsidRDefault="000A7B8D" w:rsidP="00C97217">
      <w:pPr>
        <w:ind w:right="237"/>
      </w:pPr>
    </w:p>
    <w:p w14:paraId="509FC20A" w14:textId="5DA5FB65" w:rsidR="00C97217" w:rsidRPr="0003783A" w:rsidRDefault="00335F84" w:rsidP="008D3AB5">
      <w:pPr>
        <w:rPr>
          <w:rFonts w:asciiTheme="minorHAnsi" w:hAnsiTheme="minorHAnsi" w:cstheme="minorHAnsi"/>
        </w:rPr>
      </w:pPr>
      <w:r w:rsidRPr="0003783A">
        <w:rPr>
          <w:rFonts w:asciiTheme="minorHAnsi" w:hAnsiTheme="minorHAnsi" w:cstheme="minorHAnsi"/>
        </w:rPr>
        <w:t>Victims of hate crimes may face severe consequences, particularly if they are predisposed due to traits such as race, religion, sexual orientation, or disability. Reducing the harm that hate crimes cause requires taking care of these individuals' well-being and providing them with assistance. This essay will look at the challenges of providing support to people who could become victims of hate crimes, as well as the instruments and resources available to do so. I will be looking at an incident that I attended.</w:t>
      </w:r>
    </w:p>
    <w:p w14:paraId="5A384895" w14:textId="77777777" w:rsidR="00335F84" w:rsidRPr="0003783A" w:rsidRDefault="00335F84" w:rsidP="008D3AB5">
      <w:pPr>
        <w:rPr>
          <w:rFonts w:asciiTheme="minorHAnsi" w:hAnsiTheme="minorHAnsi" w:cstheme="minorHAnsi"/>
        </w:rPr>
      </w:pPr>
    </w:p>
    <w:p w14:paraId="769B912A" w14:textId="01B55CD0" w:rsidR="008D3AB5" w:rsidRPr="0003783A" w:rsidRDefault="008D3AB5" w:rsidP="008D3AB5">
      <w:pPr>
        <w:rPr>
          <w:rFonts w:asciiTheme="minorHAnsi" w:hAnsiTheme="minorHAnsi" w:cstheme="minorHAnsi"/>
        </w:rPr>
      </w:pPr>
      <w:r w:rsidRPr="0003783A">
        <w:rPr>
          <w:rFonts w:asciiTheme="minorHAnsi" w:hAnsiTheme="minorHAnsi" w:cstheme="minorHAnsi"/>
        </w:rPr>
        <w:t>The victim, a young woman of African descent, had been targeted by a group of people who had made racially charged remarks and threats. She was afraid to leave her house and was stressed and anxious because of the ongoing harassment.</w:t>
      </w:r>
      <w:r w:rsidR="00C97217" w:rsidRPr="0003783A">
        <w:rPr>
          <w:rFonts w:asciiTheme="minorHAnsi" w:hAnsiTheme="minorHAnsi" w:cstheme="minorHAnsi"/>
        </w:rPr>
        <w:t xml:space="preserve"> This was a case of hate crime. I believed it was a case of hate crime because the victim perceived that she had being made a victim due to her ethnicity.</w:t>
      </w:r>
    </w:p>
    <w:p w14:paraId="5E1048CE" w14:textId="77777777" w:rsidR="00C97217" w:rsidRPr="0003783A" w:rsidRDefault="00C97217" w:rsidP="008D3AB5">
      <w:pPr>
        <w:rPr>
          <w:rFonts w:asciiTheme="minorHAnsi" w:hAnsiTheme="minorHAnsi" w:cstheme="minorHAnsi"/>
        </w:rPr>
      </w:pPr>
    </w:p>
    <w:p w14:paraId="115726DB" w14:textId="65B06C7E" w:rsidR="00C97217" w:rsidRPr="0003783A" w:rsidRDefault="00D67743" w:rsidP="008D3AB5">
      <w:pPr>
        <w:rPr>
          <w:rFonts w:asciiTheme="minorHAnsi" w:hAnsiTheme="minorHAnsi" w:cstheme="minorHAnsi"/>
        </w:rPr>
      </w:pPr>
      <w:r w:rsidRPr="0003783A">
        <w:rPr>
          <w:rFonts w:asciiTheme="minorHAnsi" w:hAnsiTheme="minorHAnsi" w:cstheme="minorHAnsi"/>
        </w:rPr>
        <w:t>The incident took place in the larger social context of the UK's growing xenophobia and prejudice towards minorities. Attacks motivated by race, among other hate crimes, have become a greater concern in the last few years. As per the Home Office report of (2022), there were 154,841 hate crimes reported by police in England and Wales by the end of March 2022, which is a 26% rise from the previous year. This represents the highest percentage increase in hate crimes since a 29% increase at the end of the 2017 fiscal year. A legal framework for addressing hate crimes and guaranteeing suitable punishments for offenders is provided by legislative measures like the UK's Crime and Disorder Act 1998 and the Hate Crime Sentencing Guidelines (2023).</w:t>
      </w:r>
    </w:p>
    <w:p w14:paraId="72F4CA07" w14:textId="77777777" w:rsidR="008D3AB5" w:rsidRPr="0003783A" w:rsidRDefault="008D3AB5" w:rsidP="008D3AB5">
      <w:pPr>
        <w:rPr>
          <w:rFonts w:asciiTheme="minorHAnsi" w:hAnsiTheme="minorHAnsi" w:cstheme="minorHAnsi"/>
        </w:rPr>
      </w:pPr>
    </w:p>
    <w:p w14:paraId="4CABB630" w14:textId="563D4E04" w:rsidR="00EE0784" w:rsidRPr="0003783A" w:rsidRDefault="00EE0784" w:rsidP="008D3AB5">
      <w:pPr>
        <w:rPr>
          <w:rFonts w:asciiTheme="minorHAnsi" w:hAnsiTheme="minorHAnsi" w:cstheme="minorHAnsi"/>
        </w:rPr>
      </w:pPr>
      <w:r w:rsidRPr="0003783A">
        <w:rPr>
          <w:rFonts w:asciiTheme="minorHAnsi" w:hAnsiTheme="minorHAnsi" w:cstheme="minorHAnsi"/>
        </w:rPr>
        <w:t>The incident brings to light language, ethnic, and cultural problems that are pervasive in modern society. The victims' cultural background and ethnicity made her a target for the attackers. According to Iganski and Smith (2014), hate crimes frequently reveal underlying prejudices, stereotypes, and power dynamics that are influenced by cultural and ethnic differences. Language played a role in the incident, as racially charged remarks were used against the victim, accentuating the cultural and linguistic dimensions of hate crimes.</w:t>
      </w:r>
    </w:p>
    <w:p w14:paraId="2CE1A103" w14:textId="77777777" w:rsidR="00012CCB" w:rsidRPr="0003783A" w:rsidRDefault="00012CCB" w:rsidP="008D3AB5">
      <w:pPr>
        <w:rPr>
          <w:rFonts w:asciiTheme="minorHAnsi" w:hAnsiTheme="minorHAnsi" w:cstheme="minorHAnsi"/>
        </w:rPr>
      </w:pPr>
    </w:p>
    <w:p w14:paraId="491CFC05" w14:textId="77777777" w:rsidR="008D3AB5" w:rsidRPr="0003783A" w:rsidRDefault="008D3AB5" w:rsidP="008D3AB5">
      <w:pPr>
        <w:rPr>
          <w:rFonts w:asciiTheme="minorHAnsi" w:hAnsiTheme="minorHAnsi" w:cstheme="minorHAnsi"/>
        </w:rPr>
      </w:pPr>
      <w:r w:rsidRPr="0003783A">
        <w:rPr>
          <w:rFonts w:asciiTheme="minorHAnsi" w:hAnsiTheme="minorHAnsi" w:cstheme="minorHAnsi"/>
        </w:rPr>
        <w:lastRenderedPageBreak/>
        <w:t>I was able to visit the victim at her home and listen to her concerns. I took careful notes on the information she provided and assured her that the police would investigate the matter thoroughly. I explained the steps the police would take to investigate the case and informed her that the police would be able to provide additional assistance if necessary.</w:t>
      </w:r>
    </w:p>
    <w:p w14:paraId="3338AB8D" w14:textId="77777777" w:rsidR="008D3AB5" w:rsidRPr="0003783A" w:rsidRDefault="008D3AB5" w:rsidP="008D3AB5">
      <w:pPr>
        <w:rPr>
          <w:rFonts w:asciiTheme="minorHAnsi" w:hAnsiTheme="minorHAnsi" w:cstheme="minorHAnsi"/>
        </w:rPr>
      </w:pPr>
    </w:p>
    <w:p w14:paraId="4521B523" w14:textId="77777777" w:rsidR="008D3AB5" w:rsidRPr="0003783A" w:rsidRDefault="008D3AB5" w:rsidP="008D3AB5">
      <w:pPr>
        <w:rPr>
          <w:rFonts w:asciiTheme="minorHAnsi" w:hAnsiTheme="minorHAnsi" w:cstheme="minorHAnsi"/>
        </w:rPr>
      </w:pPr>
      <w:r w:rsidRPr="0003783A">
        <w:rPr>
          <w:rFonts w:asciiTheme="minorHAnsi" w:hAnsiTheme="minorHAnsi" w:cstheme="minorHAnsi"/>
        </w:rPr>
        <w:t>There is important background to this incident. In many UK communities, hate crimes and racial abuse are on the rise. The government has put laws in place like the Hate Crime Action Plan to address this problem and help victims (GOV, 2016).</w:t>
      </w:r>
    </w:p>
    <w:p w14:paraId="0895FDDC" w14:textId="77777777" w:rsidR="008D3AB5" w:rsidRPr="0003783A" w:rsidRDefault="008D3AB5" w:rsidP="008D3AB5">
      <w:pPr>
        <w:rPr>
          <w:rFonts w:asciiTheme="minorHAnsi" w:hAnsiTheme="minorHAnsi" w:cstheme="minorHAnsi"/>
        </w:rPr>
      </w:pPr>
    </w:p>
    <w:p w14:paraId="392EC65F" w14:textId="77777777" w:rsidR="008D3AB5" w:rsidRPr="0003783A" w:rsidRDefault="008D3AB5" w:rsidP="008D3AB5">
      <w:pPr>
        <w:rPr>
          <w:rFonts w:asciiTheme="minorHAnsi" w:hAnsiTheme="minorHAnsi" w:cstheme="minorHAnsi"/>
        </w:rPr>
      </w:pPr>
      <w:r w:rsidRPr="0003783A">
        <w:rPr>
          <w:rFonts w:asciiTheme="minorHAnsi" w:hAnsiTheme="minorHAnsi" w:cstheme="minorHAnsi"/>
        </w:rPr>
        <w:t>This was a case of hate crime, as defined on the CPS website as:</w:t>
      </w:r>
    </w:p>
    <w:p w14:paraId="19604CF0" w14:textId="77777777" w:rsidR="00EE0784" w:rsidRPr="0003783A" w:rsidRDefault="00EE0784" w:rsidP="008D3AB5">
      <w:pPr>
        <w:rPr>
          <w:rFonts w:asciiTheme="minorHAnsi" w:hAnsiTheme="minorHAnsi" w:cstheme="minorHAnsi"/>
        </w:rPr>
      </w:pPr>
    </w:p>
    <w:p w14:paraId="527D0F5D" w14:textId="2F8F7676" w:rsidR="008D3AB5" w:rsidRPr="0003783A" w:rsidRDefault="00EE0784" w:rsidP="008D3AB5">
      <w:pPr>
        <w:rPr>
          <w:rFonts w:asciiTheme="minorHAnsi" w:hAnsiTheme="minorHAnsi" w:cstheme="minorHAnsi"/>
        </w:rPr>
      </w:pPr>
      <w:r w:rsidRPr="0003783A">
        <w:rPr>
          <w:rFonts w:asciiTheme="minorHAnsi" w:hAnsiTheme="minorHAnsi" w:cstheme="minorHAnsi"/>
        </w:rPr>
        <w:t>“</w:t>
      </w:r>
      <w:r w:rsidR="008D3AB5" w:rsidRPr="0003783A">
        <w:rPr>
          <w:rFonts w:asciiTheme="minorHAnsi" w:hAnsiTheme="minorHAnsi" w:cstheme="minorHAnsi"/>
        </w:rPr>
        <w:t>Any criminal offence which is perceived by the victim or any other person, to be motivated by hostility or prejudice on a person’s race or perceived race; religion or perceived religion; sexual orientation or perceived sexual orientation; disability or perceived disability and any crime motivated by hostility or prejudice against a person who is transgender or perceived to be transgender</w:t>
      </w:r>
      <w:r w:rsidRPr="0003783A">
        <w:rPr>
          <w:rFonts w:asciiTheme="minorHAnsi" w:hAnsiTheme="minorHAnsi" w:cstheme="minorHAnsi"/>
        </w:rPr>
        <w:t xml:space="preserve">” </w:t>
      </w:r>
      <w:r w:rsidR="008D3AB5" w:rsidRPr="0003783A">
        <w:rPr>
          <w:rFonts w:asciiTheme="minorHAnsi" w:hAnsiTheme="minorHAnsi" w:cstheme="minorHAnsi"/>
        </w:rPr>
        <w:t>(</w:t>
      </w:r>
      <w:r w:rsidR="004453CD" w:rsidRPr="0003783A">
        <w:rPr>
          <w:rFonts w:asciiTheme="minorHAnsi" w:hAnsiTheme="minorHAnsi" w:cstheme="minorHAnsi"/>
        </w:rPr>
        <w:t>CPS</w:t>
      </w:r>
      <w:r w:rsidR="008D3AB5" w:rsidRPr="0003783A">
        <w:rPr>
          <w:rFonts w:asciiTheme="minorHAnsi" w:hAnsiTheme="minorHAnsi" w:cstheme="minorHAnsi"/>
        </w:rPr>
        <w:t>, 2022).</w:t>
      </w:r>
    </w:p>
    <w:p w14:paraId="461A82FE" w14:textId="77777777" w:rsidR="00EE0784" w:rsidRPr="0003783A" w:rsidRDefault="00EE0784" w:rsidP="008D3AB5">
      <w:pPr>
        <w:rPr>
          <w:rFonts w:asciiTheme="minorHAnsi" w:hAnsiTheme="minorHAnsi" w:cstheme="minorHAnsi"/>
        </w:rPr>
      </w:pPr>
    </w:p>
    <w:p w14:paraId="22C34F5C" w14:textId="77777777" w:rsidR="008D3AB5" w:rsidRPr="0003783A" w:rsidRDefault="008D3AB5" w:rsidP="008D3AB5">
      <w:pPr>
        <w:rPr>
          <w:rFonts w:asciiTheme="minorHAnsi" w:hAnsiTheme="minorHAnsi" w:cstheme="minorHAnsi"/>
        </w:rPr>
      </w:pPr>
      <w:r w:rsidRPr="0003783A">
        <w:rPr>
          <w:rFonts w:asciiTheme="minorHAnsi" w:hAnsiTheme="minorHAnsi" w:cstheme="minorHAnsi"/>
        </w:rPr>
        <w:t>Nonetheless, there are still important linguistic, ethnic, and cultural issues that need to be resolved. Language barriers can make it difficult for some victims to seek help, and due to past experiences of racism and discrimination, many victims of hate crimes may feel alone and mistrustful of the police because of past incidents.</w:t>
      </w:r>
    </w:p>
    <w:p w14:paraId="27EE39E4" w14:textId="77777777" w:rsidR="008D3AB5" w:rsidRPr="0003783A" w:rsidRDefault="008D3AB5" w:rsidP="008D3AB5">
      <w:pPr>
        <w:rPr>
          <w:rFonts w:asciiTheme="minorHAnsi" w:hAnsiTheme="minorHAnsi" w:cstheme="minorHAnsi"/>
        </w:rPr>
      </w:pPr>
    </w:p>
    <w:p w14:paraId="39C83777" w14:textId="77777777" w:rsidR="008D3AB5" w:rsidRPr="0003783A" w:rsidRDefault="008D3AB5" w:rsidP="008D3AB5">
      <w:pPr>
        <w:rPr>
          <w:rFonts w:asciiTheme="minorHAnsi" w:hAnsiTheme="minorHAnsi" w:cstheme="minorHAnsi"/>
        </w:rPr>
      </w:pPr>
      <w:r w:rsidRPr="0003783A">
        <w:rPr>
          <w:rFonts w:asciiTheme="minorHAnsi" w:hAnsiTheme="minorHAnsi" w:cstheme="minorHAnsi"/>
        </w:rPr>
        <w:t>In this instance, ensuring the victim felt safe and supported depended on one's ability to empathise with her and comprehend the linguistic and cultural barriers she was facing. This incident also highlighted the importance of ongoing training and education for police officers to better understand the diverse needs of communities and provide the best possible support to victims of anti-social behaviour.</w:t>
      </w:r>
    </w:p>
    <w:p w14:paraId="3340F158" w14:textId="77777777" w:rsidR="008D3AB5" w:rsidRPr="0003783A" w:rsidRDefault="008D3AB5" w:rsidP="008D3AB5">
      <w:pPr>
        <w:rPr>
          <w:rFonts w:asciiTheme="minorHAnsi" w:hAnsiTheme="minorHAnsi" w:cstheme="minorHAnsi"/>
        </w:rPr>
      </w:pPr>
    </w:p>
    <w:p w14:paraId="5104AF2A" w14:textId="77777777" w:rsidR="008D3AB5" w:rsidRPr="0003783A" w:rsidRDefault="008D3AB5" w:rsidP="008D3AB5">
      <w:pPr>
        <w:rPr>
          <w:rFonts w:asciiTheme="minorHAnsi" w:hAnsiTheme="minorHAnsi" w:cstheme="minorHAnsi"/>
        </w:rPr>
      </w:pPr>
      <w:r w:rsidRPr="0003783A">
        <w:rPr>
          <w:rFonts w:asciiTheme="minorHAnsi" w:hAnsiTheme="minorHAnsi" w:cstheme="minorHAnsi"/>
        </w:rPr>
        <w:t>In instances of hate crimes, a number of tactics have been demonstrated to be successful in addressing recurrent victimisation and recurrent offending. Both the application and assessment of these tactics can benefit from the application of evidence-based policing. Among the successful tactics are:</w:t>
      </w:r>
    </w:p>
    <w:p w14:paraId="4C0A411A" w14:textId="77777777" w:rsidR="008D3AB5" w:rsidRPr="0003783A" w:rsidRDefault="008D3AB5" w:rsidP="008D3AB5">
      <w:pPr>
        <w:rPr>
          <w:rFonts w:asciiTheme="minorHAnsi" w:hAnsiTheme="minorHAnsi" w:cstheme="minorHAnsi"/>
        </w:rPr>
      </w:pPr>
    </w:p>
    <w:p w14:paraId="3BC0BD6B" w14:textId="7E056505" w:rsidR="008D3AB5" w:rsidRPr="0003783A" w:rsidRDefault="008D3AB5" w:rsidP="008D3AB5">
      <w:pPr>
        <w:rPr>
          <w:rFonts w:asciiTheme="minorHAnsi" w:hAnsiTheme="minorHAnsi" w:cstheme="minorHAnsi"/>
        </w:rPr>
      </w:pPr>
      <w:r w:rsidRPr="0003783A">
        <w:rPr>
          <w:rFonts w:asciiTheme="minorHAnsi" w:hAnsiTheme="minorHAnsi" w:cstheme="minorHAnsi"/>
        </w:rPr>
        <w:t xml:space="preserve">The use of restorative justice is one approach widely used by police and professionals to support victims of hate crime. </w:t>
      </w:r>
      <w:r w:rsidR="00497EDA" w:rsidRPr="0003783A">
        <w:rPr>
          <w:rFonts w:asciiTheme="minorHAnsi" w:hAnsiTheme="minorHAnsi" w:cstheme="minorHAnsi"/>
        </w:rPr>
        <w:t xml:space="preserve">Research suggests that restorative justice procedures yield greater victim satisfaction rates in contrast to traditional criminal justice approaches (Sherman &amp; Strang, 2007). Victims may experience a better sense of closure, improve their emotional health, and be less likely to experience recurring trauma when they feel heard and understood. </w:t>
      </w:r>
      <w:r w:rsidRPr="0003783A">
        <w:rPr>
          <w:rFonts w:asciiTheme="minorHAnsi" w:hAnsiTheme="minorHAnsi" w:cstheme="minorHAnsi"/>
        </w:rPr>
        <w:t>This approach seeks to repair the damage done by the offence, hold the offender accountable, and meet the victim's needs. Restorative justice entails facilitating a dialogue between the victim, offender, and community members, allowing the victim to express their feelings and experiences regarding the incident. This approach has been shown to reduce recidivism, increase victim satisfaction, and promote healing and reconciliation between victim and offender (CPS, 2023). The strategy seeks to hold offenders responsible for their acts while empowering victims and offering a sense of closure. Critics counter that restorative justice may be traumatising for victims and is not appropriate in all situations.</w:t>
      </w:r>
      <w:r w:rsidR="00631128" w:rsidRPr="0003783A">
        <w:rPr>
          <w:rFonts w:asciiTheme="minorHAnsi" w:hAnsiTheme="minorHAnsi" w:cstheme="minorHAnsi"/>
        </w:rPr>
        <w:t xml:space="preserve"> </w:t>
      </w:r>
      <w:r w:rsidR="005C753D" w:rsidRPr="0003783A">
        <w:rPr>
          <w:rFonts w:asciiTheme="minorHAnsi" w:hAnsiTheme="minorHAnsi" w:cstheme="minorHAnsi"/>
        </w:rPr>
        <w:t>In England and Wales, restorative justice interventions were linked to a notable decline in reoffending rates, according to a 2011 Ministry of Justice study. Compared to those who did not attend restorative justice conferences, the analysis showed an 8% decrease in the frequency of reconviction for offenders (Shapland et al., 2011).</w:t>
      </w:r>
    </w:p>
    <w:p w14:paraId="41A486A3" w14:textId="77777777" w:rsidR="005C753D" w:rsidRPr="0003783A" w:rsidRDefault="005C753D" w:rsidP="008D3AB5">
      <w:pPr>
        <w:rPr>
          <w:rFonts w:asciiTheme="minorHAnsi" w:hAnsiTheme="minorHAnsi" w:cstheme="minorHAnsi"/>
        </w:rPr>
      </w:pPr>
    </w:p>
    <w:p w14:paraId="55BF623B" w14:textId="77777777" w:rsidR="00AB0B6D" w:rsidRPr="0003783A" w:rsidRDefault="00AB0B6D" w:rsidP="00AB0B6D">
      <w:pPr>
        <w:rPr>
          <w:rFonts w:asciiTheme="minorHAnsi" w:hAnsiTheme="minorHAnsi" w:cstheme="minorHAnsi"/>
        </w:rPr>
      </w:pPr>
      <w:r w:rsidRPr="0003783A">
        <w:rPr>
          <w:rFonts w:asciiTheme="minorHAnsi" w:hAnsiTheme="minorHAnsi" w:cstheme="minorHAnsi"/>
        </w:rPr>
        <w:t>The Thames Valley region provides an example of a successful application of restorative justice in the United Kingdom. In collaboration with probation services and the police, the Thames Valley Partnership has been a leader in restorative justice initiatives. With an average satisfaction rate of more than 90% in cases handled through restorative justice, their evaluation reports from 2009 to 2016 continuously demonstrate high levels of victim satisfaction (Thames Valley Partnership, 2023).</w:t>
      </w:r>
    </w:p>
    <w:p w14:paraId="2A285683" w14:textId="77777777" w:rsidR="00AB0B6D" w:rsidRPr="0003783A" w:rsidRDefault="00AB0B6D" w:rsidP="00AB0B6D">
      <w:pPr>
        <w:rPr>
          <w:rFonts w:asciiTheme="minorHAnsi" w:hAnsiTheme="minorHAnsi" w:cstheme="minorHAnsi"/>
        </w:rPr>
      </w:pPr>
    </w:p>
    <w:p w14:paraId="2FFEC04C" w14:textId="688BBAB3" w:rsidR="008D3AB5" w:rsidRPr="0003783A" w:rsidRDefault="00AB0B6D" w:rsidP="00AB0B6D">
      <w:pPr>
        <w:rPr>
          <w:rFonts w:asciiTheme="minorHAnsi" w:hAnsiTheme="minorHAnsi" w:cstheme="minorHAnsi"/>
        </w:rPr>
      </w:pPr>
      <w:r w:rsidRPr="0003783A">
        <w:rPr>
          <w:rFonts w:asciiTheme="minorHAnsi" w:hAnsiTheme="minorHAnsi" w:cstheme="minorHAnsi"/>
        </w:rPr>
        <w:t>The success of restorative justice can vary depending on a number of factors, including the nature of the crime, the willingness of both victims and offenders to participate, and the calibre of facilitation and support offered. This is important to keep in mind even though these studies show positive outcomes.</w:t>
      </w:r>
    </w:p>
    <w:p w14:paraId="652E6261" w14:textId="77777777" w:rsidR="00AB0B6D" w:rsidRPr="0003783A" w:rsidRDefault="00AB0B6D" w:rsidP="00AB0B6D">
      <w:pPr>
        <w:rPr>
          <w:rFonts w:asciiTheme="minorHAnsi" w:hAnsiTheme="minorHAnsi" w:cstheme="minorHAnsi"/>
        </w:rPr>
      </w:pPr>
    </w:p>
    <w:p w14:paraId="6C2F7F92" w14:textId="77777777" w:rsidR="008D3AB5" w:rsidRPr="0003783A" w:rsidRDefault="008D3AB5" w:rsidP="008D3AB5">
      <w:pPr>
        <w:rPr>
          <w:rFonts w:asciiTheme="minorHAnsi" w:hAnsiTheme="minorHAnsi" w:cstheme="minorHAnsi"/>
        </w:rPr>
      </w:pPr>
      <w:r w:rsidRPr="0003783A">
        <w:rPr>
          <w:rFonts w:asciiTheme="minorHAnsi" w:hAnsiTheme="minorHAnsi" w:cstheme="minorHAnsi"/>
        </w:rPr>
        <w:t xml:space="preserve">Another method is to assign the case to other trained officers who can assist and sometimes advance the case. This can take the form of a Hate Crime officer who is specially trained to assist victims of hate crime, as well as </w:t>
      </w:r>
      <w:r w:rsidRPr="0003783A">
        <w:rPr>
          <w:rFonts w:asciiTheme="minorHAnsi" w:hAnsiTheme="minorHAnsi" w:cstheme="minorHAnsi"/>
        </w:rPr>
        <w:lastRenderedPageBreak/>
        <w:t xml:space="preserve">having the victim followed up on for reassurance and confidence by having neighbourhood officers contact the victim. As police, we also play a role in reducing hate crime by investigating incidents, apprehending perpetrators, and prosecuting them. However, the use of force or arrest can be intimidating for some victims, particularly those from marginalised communities, and can lead to further harm. </w:t>
      </w:r>
    </w:p>
    <w:p w14:paraId="39BC4E08" w14:textId="77777777" w:rsidR="00C41480" w:rsidRPr="0003783A" w:rsidRDefault="00C41480" w:rsidP="008D3AB5">
      <w:pPr>
        <w:rPr>
          <w:rFonts w:asciiTheme="minorHAnsi" w:hAnsiTheme="minorHAnsi" w:cstheme="minorHAnsi"/>
        </w:rPr>
      </w:pPr>
    </w:p>
    <w:p w14:paraId="3CCE953E" w14:textId="56B6A88A" w:rsidR="00517927" w:rsidRPr="0003783A" w:rsidRDefault="00517927" w:rsidP="008D3AB5">
      <w:pPr>
        <w:rPr>
          <w:rFonts w:asciiTheme="minorHAnsi" w:hAnsiTheme="minorHAnsi" w:cstheme="minorHAnsi"/>
        </w:rPr>
      </w:pPr>
      <w:r w:rsidRPr="0003783A">
        <w:rPr>
          <w:rFonts w:asciiTheme="minorHAnsi" w:hAnsiTheme="minorHAnsi" w:cstheme="minorHAnsi"/>
        </w:rPr>
        <w:t>I was able to assign the relevant hate crime unit to help and provide follow-up, and the hate crime officer will frequently take over the case. Hate crime investigators give victims vital emotional support, making them feel heard, understood, and in control. They pay attention to what the victims have to say, showing compassion and comfort. They assist victims in regaining control, reducing anxiety, and attending to any pressing issues through consistent communication (Galop, 2018). As a response officer, we often only meet the victim at the beginning of the investigation; for this reason, hate crime officers are an essential component of the ongoing assistance.</w:t>
      </w:r>
    </w:p>
    <w:p w14:paraId="09E54F64" w14:textId="77777777" w:rsidR="00F300D0" w:rsidRPr="0003783A" w:rsidRDefault="00F300D0" w:rsidP="008D3AB5">
      <w:pPr>
        <w:rPr>
          <w:rFonts w:asciiTheme="minorHAnsi" w:hAnsiTheme="minorHAnsi" w:cstheme="minorHAnsi"/>
        </w:rPr>
      </w:pPr>
    </w:p>
    <w:p w14:paraId="20A69A8A" w14:textId="6266C235" w:rsidR="00F300D0" w:rsidRPr="0003783A" w:rsidRDefault="00F300D0" w:rsidP="00F300D0">
      <w:pPr>
        <w:rPr>
          <w:rFonts w:asciiTheme="minorHAnsi" w:hAnsiTheme="minorHAnsi" w:cstheme="minorHAnsi"/>
        </w:rPr>
      </w:pPr>
      <w:r w:rsidRPr="0003783A">
        <w:rPr>
          <w:rFonts w:asciiTheme="minorHAnsi" w:hAnsiTheme="minorHAnsi" w:cstheme="minorHAnsi"/>
        </w:rPr>
        <w:t xml:space="preserve">According to College of Policing (2023) </w:t>
      </w:r>
      <w:r w:rsidRPr="0003783A">
        <w:rPr>
          <w:rFonts w:asciiTheme="minorHAnsi" w:hAnsiTheme="minorHAnsi" w:cstheme="minorHAnsi"/>
        </w:rPr>
        <w:t xml:space="preserve">Hate crime officers are trained to support, counsel, and reassure victims of hate crimes, making sure they are aware of their rights and available channels for reporting the incident. As such, they are typically assigned the responsibility of following up on such incidents. Additionally, they </w:t>
      </w:r>
      <w:r w:rsidRPr="0003783A">
        <w:rPr>
          <w:rFonts w:asciiTheme="minorHAnsi" w:hAnsiTheme="minorHAnsi" w:cstheme="minorHAnsi"/>
        </w:rPr>
        <w:t>can</w:t>
      </w:r>
      <w:r w:rsidRPr="0003783A">
        <w:rPr>
          <w:rFonts w:asciiTheme="minorHAnsi" w:hAnsiTheme="minorHAnsi" w:cstheme="minorHAnsi"/>
        </w:rPr>
        <w:t xml:space="preserve"> direct victims to suitable support services, like victim support groups or counselling.</w:t>
      </w:r>
    </w:p>
    <w:p w14:paraId="4BBC523D" w14:textId="77777777" w:rsidR="00F300D0" w:rsidRPr="0003783A" w:rsidRDefault="00F300D0" w:rsidP="00F300D0">
      <w:pPr>
        <w:rPr>
          <w:rFonts w:asciiTheme="minorHAnsi" w:hAnsiTheme="minorHAnsi" w:cstheme="minorHAnsi"/>
        </w:rPr>
      </w:pPr>
    </w:p>
    <w:p w14:paraId="32835B41" w14:textId="12E6DD2F" w:rsidR="00F300D0" w:rsidRPr="0003783A" w:rsidRDefault="00F300D0" w:rsidP="00F300D0">
      <w:pPr>
        <w:rPr>
          <w:rFonts w:asciiTheme="minorHAnsi" w:hAnsiTheme="minorHAnsi" w:cstheme="minorHAnsi"/>
        </w:rPr>
      </w:pPr>
      <w:r w:rsidRPr="0003783A">
        <w:rPr>
          <w:rFonts w:asciiTheme="minorHAnsi" w:hAnsiTheme="minorHAnsi" w:cstheme="minorHAnsi"/>
        </w:rPr>
        <w:t>To</w:t>
      </w:r>
      <w:r w:rsidRPr="0003783A">
        <w:rPr>
          <w:rFonts w:asciiTheme="minorHAnsi" w:hAnsiTheme="minorHAnsi" w:cstheme="minorHAnsi"/>
        </w:rPr>
        <w:t xml:space="preserve"> build solid bonds and encourage trust, hate crime investigators collaborate closely with local leaders, organisations, and groups. </w:t>
      </w:r>
      <w:r w:rsidRPr="0003783A">
        <w:rPr>
          <w:rFonts w:asciiTheme="minorHAnsi" w:hAnsiTheme="minorHAnsi" w:cstheme="minorHAnsi"/>
        </w:rPr>
        <w:t>To</w:t>
      </w:r>
      <w:r w:rsidRPr="0003783A">
        <w:rPr>
          <w:rFonts w:asciiTheme="minorHAnsi" w:hAnsiTheme="minorHAnsi" w:cstheme="minorHAnsi"/>
        </w:rPr>
        <w:t xml:space="preserve"> address concerns and foster community trust in the police response to hate crimes, they might offer prevention programmes and training on awareness.</w:t>
      </w:r>
    </w:p>
    <w:p w14:paraId="0AB5007C" w14:textId="77777777" w:rsidR="00F300D0" w:rsidRPr="0003783A" w:rsidRDefault="00F300D0" w:rsidP="00F300D0">
      <w:pPr>
        <w:rPr>
          <w:rFonts w:asciiTheme="minorHAnsi" w:hAnsiTheme="minorHAnsi" w:cstheme="minorHAnsi"/>
        </w:rPr>
      </w:pPr>
    </w:p>
    <w:p w14:paraId="74508C26" w14:textId="77777777" w:rsidR="00F300D0" w:rsidRPr="0003783A" w:rsidRDefault="00F300D0" w:rsidP="00F300D0">
      <w:pPr>
        <w:rPr>
          <w:rFonts w:asciiTheme="minorHAnsi" w:hAnsiTheme="minorHAnsi" w:cstheme="minorHAnsi"/>
        </w:rPr>
      </w:pPr>
      <w:r w:rsidRPr="0003783A">
        <w:rPr>
          <w:rFonts w:asciiTheme="minorHAnsi" w:hAnsiTheme="minorHAnsi" w:cstheme="minorHAnsi"/>
        </w:rPr>
        <w:t>Through community engagement and training programmes, hate crime officers play a critical role in investigating incidents, building cases, providing support to victims, and preventing hate crimes.</w:t>
      </w:r>
    </w:p>
    <w:p w14:paraId="115BACF8" w14:textId="511D8F35" w:rsidR="00F300D0" w:rsidRPr="0003783A" w:rsidRDefault="00F300D0" w:rsidP="008D3AB5">
      <w:pPr>
        <w:rPr>
          <w:rFonts w:asciiTheme="minorHAnsi" w:hAnsiTheme="minorHAnsi" w:cstheme="minorHAnsi"/>
        </w:rPr>
      </w:pPr>
    </w:p>
    <w:p w14:paraId="0EE734A4" w14:textId="77777777" w:rsidR="008D3AB5" w:rsidRPr="0003783A" w:rsidRDefault="008D3AB5" w:rsidP="008D3AB5">
      <w:pPr>
        <w:rPr>
          <w:rFonts w:asciiTheme="minorHAnsi" w:hAnsiTheme="minorHAnsi" w:cstheme="minorHAnsi"/>
        </w:rPr>
      </w:pPr>
    </w:p>
    <w:p w14:paraId="753DEBBD" w14:textId="77777777" w:rsidR="008D3AB5" w:rsidRPr="0003783A" w:rsidRDefault="008D3AB5" w:rsidP="008D3AB5">
      <w:pPr>
        <w:rPr>
          <w:rFonts w:asciiTheme="minorHAnsi" w:hAnsiTheme="minorHAnsi" w:cstheme="minorHAnsi"/>
        </w:rPr>
      </w:pPr>
      <w:r w:rsidRPr="0003783A">
        <w:rPr>
          <w:rFonts w:asciiTheme="minorHAnsi" w:hAnsiTheme="minorHAnsi" w:cstheme="minorHAnsi"/>
        </w:rPr>
        <w:t>Partnering with communities, other professionals, police is another strategy for providing support to victims of hate crimes. To identify incidents of hate crimes, increase awareness, and offer victim support, the police collaborate with local groups and communities. To foster trust and boost public confidence in the police, this strategy is essential. On the other hand, a lack of resources could have an adverse effect on the strategy and the degree of assistance given to victims.</w:t>
      </w:r>
    </w:p>
    <w:p w14:paraId="63899A7C" w14:textId="3413408B" w:rsidR="008D3AB5" w:rsidRPr="0003783A" w:rsidRDefault="008D3AB5" w:rsidP="008D3AB5">
      <w:pPr>
        <w:rPr>
          <w:rFonts w:asciiTheme="minorHAnsi" w:hAnsiTheme="minorHAnsi" w:cstheme="minorHAnsi"/>
        </w:rPr>
      </w:pPr>
      <w:r w:rsidRPr="0003783A">
        <w:rPr>
          <w:rFonts w:asciiTheme="minorHAnsi" w:hAnsiTheme="minorHAnsi" w:cstheme="minorHAnsi"/>
        </w:rPr>
        <w:t>Early Intervention and Prevention: These programmes can help identify people who are at a higher risk of committing crimes or becoming victims of hate crimes, and they can also offer the right kind of support and intervention. Working with juvenile offenders or people who have previously interacted with the criminal justice system may be part of this strategy.</w:t>
      </w:r>
      <w:r w:rsidR="00517927" w:rsidRPr="0003783A">
        <w:rPr>
          <w:rFonts w:asciiTheme="minorHAnsi" w:hAnsiTheme="minorHAnsi" w:cstheme="minorHAnsi"/>
        </w:rPr>
        <w:t xml:space="preserve"> </w:t>
      </w:r>
      <w:r w:rsidR="00631128" w:rsidRPr="0003783A">
        <w:rPr>
          <w:rFonts w:asciiTheme="minorHAnsi" w:hAnsiTheme="minorHAnsi" w:cstheme="minorHAnsi"/>
        </w:rPr>
        <w:t>According to Barn, Reynolds, and Hickman (2019), community-led interventions, such as stakeholder partnerships, peer mentoring, and victim advocacy, are among the various ways that professionals and the police support or manage vulnerable people in order to improve access to justice, safety, and support.</w:t>
      </w:r>
    </w:p>
    <w:p w14:paraId="33D869B0" w14:textId="77777777" w:rsidR="008D3AB5" w:rsidRPr="0003783A" w:rsidRDefault="008D3AB5" w:rsidP="008D3AB5">
      <w:pPr>
        <w:rPr>
          <w:rFonts w:asciiTheme="minorHAnsi" w:hAnsiTheme="minorHAnsi" w:cstheme="minorHAnsi"/>
        </w:rPr>
      </w:pPr>
    </w:p>
    <w:p w14:paraId="30F86562" w14:textId="2B425482" w:rsidR="008D3AB5" w:rsidRPr="0003783A" w:rsidRDefault="008D3AB5" w:rsidP="008D3AB5">
      <w:pPr>
        <w:rPr>
          <w:rFonts w:asciiTheme="minorHAnsi" w:hAnsiTheme="minorHAnsi" w:cstheme="minorHAnsi"/>
        </w:rPr>
      </w:pPr>
      <w:r w:rsidRPr="0003783A">
        <w:rPr>
          <w:rFonts w:asciiTheme="minorHAnsi" w:hAnsiTheme="minorHAnsi" w:cstheme="minorHAnsi"/>
        </w:rPr>
        <w:t>Evidence-based policing, which uses scientific research and analysis to make informed decisions about police practises and policies, is one strategy that combats victimisation and recidivism. It has been demonstrated that this strategy works well to lower the rate of repeat offences and victimisation. The practise of "hot-spot policing," which entails concentrating police presence and intervention in high-crime areas, is an illustration of evidence-based policing. It has been discovered that doing this considerably lowers crime in the targeted areas, including recidivism and victimisation.</w:t>
      </w:r>
      <w:r w:rsidR="00B22F99" w:rsidRPr="0003783A">
        <w:rPr>
          <w:rFonts w:asciiTheme="minorHAnsi" w:hAnsiTheme="minorHAnsi" w:cstheme="minorHAnsi"/>
        </w:rPr>
        <w:t xml:space="preserve"> Sherman et al.'s 1989 study made clear that crime tends to concentrate in small areas. The goal of hot-spot policing is to pinpoint the areas most prone to disturbance and crime, then implement targeted deterrent measures there. This entails analysing crime trends and directing resources towards a region where there is indication of a high crime rate. It has been demonstrated to be a successful model when paired with programmes meant to lessen the likelihood of crime. Hot-spot policing, according to the College of Policing (2013), "works best from drug offences, violent crime, and disorder, while it was less effective (but still had some positive effect) for other crimes." It is "an effective crime reduction strategy, but only modestly" property crimes.</w:t>
      </w:r>
    </w:p>
    <w:p w14:paraId="4AFDDEAA" w14:textId="77777777" w:rsidR="00624254" w:rsidRPr="0003783A" w:rsidRDefault="00624254" w:rsidP="008D3AB5">
      <w:pPr>
        <w:rPr>
          <w:rFonts w:asciiTheme="minorHAnsi" w:hAnsiTheme="minorHAnsi" w:cstheme="minorHAnsi"/>
        </w:rPr>
      </w:pPr>
    </w:p>
    <w:p w14:paraId="19CEC66B" w14:textId="00225AA4" w:rsidR="00624254" w:rsidRPr="0003783A" w:rsidRDefault="00624254" w:rsidP="008D3AB5">
      <w:pPr>
        <w:rPr>
          <w:rFonts w:asciiTheme="minorHAnsi" w:hAnsiTheme="minorHAnsi" w:cstheme="minorHAnsi"/>
        </w:rPr>
      </w:pPr>
      <w:r w:rsidRPr="0003783A">
        <w:rPr>
          <w:rFonts w:asciiTheme="minorHAnsi" w:hAnsiTheme="minorHAnsi" w:cstheme="minorHAnsi"/>
        </w:rPr>
        <w:t xml:space="preserve">The application of research and data to inform policing strategies, known as evidence-based policing, has been studied as a means of addressing recurrent victimisation and recurrent offending that stem from hate crime incidents. Using restorative justice techniques, providing officers who work with vulnerable populations with </w:t>
      </w:r>
      <w:r w:rsidRPr="0003783A">
        <w:rPr>
          <w:rFonts w:asciiTheme="minorHAnsi" w:hAnsiTheme="minorHAnsi" w:cstheme="minorHAnsi"/>
        </w:rPr>
        <w:lastRenderedPageBreak/>
        <w:t>specialised training, and implementing efficient monitoring systems to identify and address hate crime trends are all examples of victim-centered strategies that work well (Barn, Reynolds, &amp; Hickman, 2019).</w:t>
      </w:r>
    </w:p>
    <w:p w14:paraId="5859EE56" w14:textId="77777777" w:rsidR="00B22F99" w:rsidRPr="0003783A" w:rsidRDefault="00B22F99" w:rsidP="008D3AB5">
      <w:pPr>
        <w:rPr>
          <w:rFonts w:asciiTheme="minorHAnsi" w:hAnsiTheme="minorHAnsi" w:cstheme="minorHAnsi"/>
        </w:rPr>
      </w:pPr>
    </w:p>
    <w:p w14:paraId="08FDE77B" w14:textId="601C98F1" w:rsidR="00CD6155" w:rsidRPr="0003783A" w:rsidRDefault="00CD6155" w:rsidP="008D3AB5">
      <w:pPr>
        <w:rPr>
          <w:rFonts w:asciiTheme="minorHAnsi" w:hAnsiTheme="minorHAnsi" w:cstheme="minorHAnsi"/>
        </w:rPr>
      </w:pPr>
      <w:r w:rsidRPr="0003783A">
        <w:rPr>
          <w:rFonts w:asciiTheme="minorHAnsi" w:hAnsiTheme="minorHAnsi" w:cstheme="minorHAnsi"/>
        </w:rPr>
        <w:t>The criminal justice system continues to face difficulties as a result of repeated victimisation and criminal activity. Evidence-based policing provides a strong framework for dealing with these problems successfully. Evidence-based policing allows for targeted and effective responses through the use of tactics like identifying high-risk victims, putting security measures in place, encouraging partnership working, performing risk assessments, offering rehabilitation programmes, and using alternatives to incarceration. In the end, these evidence-based tactics may help lower the rates of recurrent victimisation and criminal activity, improving public safety and wellbeing.</w:t>
      </w:r>
    </w:p>
    <w:p w14:paraId="624FCFF2" w14:textId="77777777" w:rsidR="00CD6155" w:rsidRPr="0003783A" w:rsidRDefault="00CD6155" w:rsidP="008D3AB5">
      <w:pPr>
        <w:rPr>
          <w:rFonts w:asciiTheme="minorHAnsi" w:hAnsiTheme="minorHAnsi" w:cstheme="minorHAnsi"/>
        </w:rPr>
      </w:pPr>
    </w:p>
    <w:p w14:paraId="47E61DD7" w14:textId="77777777" w:rsidR="00A87D86" w:rsidRPr="0003783A" w:rsidRDefault="00A87D86" w:rsidP="008D3AB5">
      <w:pPr>
        <w:rPr>
          <w:rFonts w:asciiTheme="minorHAnsi" w:hAnsiTheme="minorHAnsi" w:cstheme="minorHAnsi"/>
        </w:rPr>
      </w:pPr>
    </w:p>
    <w:p w14:paraId="59354F73" w14:textId="13432FE8" w:rsidR="00CD6155" w:rsidRPr="0003783A" w:rsidRDefault="00CD6155" w:rsidP="008D3AB5">
      <w:pPr>
        <w:rPr>
          <w:rFonts w:asciiTheme="minorHAnsi" w:hAnsiTheme="minorHAnsi" w:cstheme="minorHAnsi"/>
        </w:rPr>
      </w:pPr>
      <w:r w:rsidRPr="0003783A">
        <w:rPr>
          <w:rFonts w:asciiTheme="minorHAnsi" w:hAnsiTheme="minorHAnsi" w:cstheme="minorHAnsi"/>
        </w:rPr>
        <w:t>In conclusion, tackling repeat victimisation and repeat offending requires a multifaceted approach that takes into account the social, legislative, cultural, ethnic, and language contexts of the incidents.</w:t>
      </w:r>
    </w:p>
    <w:p w14:paraId="21517DB8" w14:textId="77777777" w:rsidR="00CD6155" w:rsidRDefault="00CD6155" w:rsidP="008D3AB5"/>
    <w:p w14:paraId="68317E39" w14:textId="28A9D2A8" w:rsidR="00E676F7" w:rsidRPr="008D3AB5" w:rsidRDefault="008D3AB5">
      <w:pPr>
        <w:overflowPunct/>
        <w:autoSpaceDE/>
        <w:autoSpaceDN/>
        <w:adjustRightInd/>
        <w:textAlignment w:val="auto"/>
        <w:rPr>
          <w:b/>
          <w:bCs/>
          <w:sz w:val="24"/>
          <w:szCs w:val="24"/>
          <w:u w:val="single"/>
        </w:rPr>
      </w:pPr>
      <w:r w:rsidRPr="008D3AB5">
        <w:rPr>
          <w:b/>
          <w:bCs/>
          <w:sz w:val="24"/>
          <w:szCs w:val="24"/>
          <w:u w:val="single"/>
        </w:rPr>
        <w:t xml:space="preserve">Word Count= </w:t>
      </w:r>
      <w:r w:rsidR="00CD6155">
        <w:rPr>
          <w:b/>
          <w:bCs/>
          <w:sz w:val="24"/>
          <w:szCs w:val="24"/>
          <w:u w:val="single"/>
        </w:rPr>
        <w:t>1</w:t>
      </w:r>
      <w:r w:rsidR="001326AF">
        <w:rPr>
          <w:b/>
          <w:bCs/>
          <w:sz w:val="24"/>
          <w:szCs w:val="24"/>
          <w:u w:val="single"/>
        </w:rPr>
        <w:t>942</w:t>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5BED6288" w14:textId="23C250A6" w:rsidR="00335F84" w:rsidRPr="0003783A" w:rsidRDefault="00335F84" w:rsidP="008E7418">
      <w:pPr>
        <w:rPr>
          <w:rFonts w:asciiTheme="minorHAnsi" w:hAnsiTheme="minorHAnsi" w:cstheme="minorHAnsi"/>
        </w:rPr>
      </w:pPr>
      <w:r w:rsidRPr="0003783A">
        <w:rPr>
          <w:rFonts w:asciiTheme="minorHAnsi" w:hAnsiTheme="minorHAnsi" w:cstheme="minorHAnsi"/>
        </w:rPr>
        <w:t>You never know what kind of situation you might find yourself as a police officer on any given day. As a result, you need to be able to think quickly of</w:t>
      </w:r>
      <w:r w:rsidR="00D95B10" w:rsidRPr="0003783A">
        <w:rPr>
          <w:rFonts w:asciiTheme="minorHAnsi" w:hAnsiTheme="minorHAnsi" w:cstheme="minorHAnsi"/>
        </w:rPr>
        <w:t xml:space="preserve">f </w:t>
      </w:r>
      <w:r w:rsidRPr="0003783A">
        <w:rPr>
          <w:rFonts w:asciiTheme="minorHAnsi" w:hAnsiTheme="minorHAnsi" w:cstheme="minorHAnsi"/>
        </w:rPr>
        <w:t>your feet, as well as make sound decisions. In this essay, I will be critically assessing the challenges associated with the domestic abuse incident that I attended</w:t>
      </w:r>
      <w:r w:rsidR="0019798F" w:rsidRPr="0003783A">
        <w:rPr>
          <w:rFonts w:asciiTheme="minorHAnsi" w:hAnsiTheme="minorHAnsi" w:cstheme="minorHAnsi"/>
        </w:rPr>
        <w:t xml:space="preserve"> and try to evaluate the strategies developed for effective policing.</w:t>
      </w:r>
    </w:p>
    <w:p w14:paraId="1AC90890" w14:textId="77777777" w:rsidR="0019798F" w:rsidRPr="0003783A" w:rsidRDefault="0019798F" w:rsidP="008E7418">
      <w:pPr>
        <w:rPr>
          <w:rFonts w:asciiTheme="minorHAnsi" w:hAnsiTheme="minorHAnsi" w:cstheme="minorHAnsi"/>
        </w:rPr>
      </w:pPr>
    </w:p>
    <w:p w14:paraId="16CBBA59" w14:textId="3EEE6D8C" w:rsidR="008E7418" w:rsidRPr="0003783A" w:rsidRDefault="008E7418" w:rsidP="008E7418">
      <w:pPr>
        <w:rPr>
          <w:rFonts w:asciiTheme="minorHAnsi" w:hAnsiTheme="minorHAnsi" w:cstheme="minorHAnsi"/>
        </w:rPr>
      </w:pPr>
      <w:r w:rsidRPr="0003783A">
        <w:rPr>
          <w:rFonts w:asciiTheme="minorHAnsi" w:hAnsiTheme="minorHAnsi" w:cstheme="minorHAnsi"/>
        </w:rPr>
        <w:t xml:space="preserve">I attended a domestic abuse call, which came in as a </w:t>
      </w:r>
      <w:r w:rsidR="00335F84" w:rsidRPr="0003783A">
        <w:rPr>
          <w:rFonts w:asciiTheme="minorHAnsi" w:hAnsiTheme="minorHAnsi" w:cstheme="minorHAnsi"/>
        </w:rPr>
        <w:t xml:space="preserve">Multi Agency Risk Assessment Conference (or </w:t>
      </w:r>
      <w:r w:rsidRPr="0003783A">
        <w:rPr>
          <w:rFonts w:asciiTheme="minorHAnsi" w:hAnsiTheme="minorHAnsi" w:cstheme="minorHAnsi"/>
        </w:rPr>
        <w:t>MARAC</w:t>
      </w:r>
      <w:r w:rsidR="00335F84" w:rsidRPr="0003783A">
        <w:rPr>
          <w:rFonts w:asciiTheme="minorHAnsi" w:hAnsiTheme="minorHAnsi" w:cstheme="minorHAnsi"/>
        </w:rPr>
        <w:t>)</w:t>
      </w:r>
      <w:r w:rsidRPr="0003783A">
        <w:rPr>
          <w:rFonts w:asciiTheme="minorHAnsi" w:hAnsiTheme="minorHAnsi" w:cstheme="minorHAnsi"/>
        </w:rPr>
        <w:t xml:space="preserve"> referral from the hospital. Where it was reported that a patient had disclosed that they were forced to take drugs and when they wanted to leave the situation, their partner pulled them by the hair, punched them to the face and they were threatened with a knife and that was all the information we had to go on. This was obviously going to be very challenging situation.</w:t>
      </w:r>
    </w:p>
    <w:p w14:paraId="56AD01F0" w14:textId="77777777" w:rsidR="008E7418" w:rsidRPr="0003783A" w:rsidRDefault="008E7418" w:rsidP="008E7418">
      <w:pPr>
        <w:rPr>
          <w:rFonts w:asciiTheme="minorHAnsi" w:hAnsiTheme="minorHAnsi" w:cstheme="minorHAnsi"/>
        </w:rPr>
      </w:pPr>
    </w:p>
    <w:p w14:paraId="20B8B43D"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As we arrived to speak to the victim, we discovered that the victim was highly intoxicated and was not making much sense. She was questioned on the allegations that she made to hospital staff who then made a referral to police. The victim seemed confused as to why officers talking to her, and she stated that she had not made a complaint of domestic abuse to anyone.</w:t>
      </w:r>
    </w:p>
    <w:p w14:paraId="4328BFC8" w14:textId="77777777" w:rsidR="008E7418" w:rsidRPr="0003783A" w:rsidRDefault="008E7418" w:rsidP="008E7418">
      <w:pPr>
        <w:rPr>
          <w:rFonts w:asciiTheme="minorHAnsi" w:hAnsiTheme="minorHAnsi" w:cstheme="minorHAnsi"/>
        </w:rPr>
      </w:pPr>
    </w:p>
    <w:p w14:paraId="68E73BB5"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I then spoke to the nurse who made the initial referral to police, and she explained that she was just having a general conversation with the patient when they mentioned the abuse as if it was a normal thing to talk about, and so she had to report it, as it was concerning.</w:t>
      </w:r>
    </w:p>
    <w:p w14:paraId="25F219C7" w14:textId="77777777" w:rsidR="008E7418" w:rsidRPr="0003783A" w:rsidRDefault="008E7418" w:rsidP="008E7418">
      <w:pPr>
        <w:rPr>
          <w:rFonts w:asciiTheme="minorHAnsi" w:hAnsiTheme="minorHAnsi" w:cstheme="minorHAnsi"/>
        </w:rPr>
      </w:pPr>
    </w:p>
    <w:p w14:paraId="09EA8DC3"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Already, I was starting to face some challenges in this case, I was lacking evidence. Domestic abuse cases may be challenging to prove because they often occur in private, and there may not be any witnesses or physical evidence of the abuse. That was the case in this situation. So the decision was made that we revisit the victim the following morning, once they were sober enough to have a more coherent conversation and to try and gather as much evidence in the way of statements etc.</w:t>
      </w:r>
    </w:p>
    <w:p w14:paraId="77F96947" w14:textId="77777777" w:rsidR="0019798F" w:rsidRPr="0003783A" w:rsidRDefault="0019798F" w:rsidP="008E7418">
      <w:pPr>
        <w:rPr>
          <w:rFonts w:asciiTheme="minorHAnsi" w:hAnsiTheme="minorHAnsi" w:cstheme="minorHAnsi"/>
        </w:rPr>
      </w:pPr>
    </w:p>
    <w:p w14:paraId="78A300B3" w14:textId="56CF639E" w:rsidR="008E7418" w:rsidRPr="0003783A" w:rsidRDefault="007165D4" w:rsidP="008E7418">
      <w:pPr>
        <w:rPr>
          <w:rFonts w:asciiTheme="minorHAnsi" w:hAnsiTheme="minorHAnsi" w:cstheme="minorHAnsi"/>
        </w:rPr>
      </w:pPr>
      <w:r w:rsidRPr="0003783A">
        <w:rPr>
          <w:rFonts w:asciiTheme="minorHAnsi" w:hAnsiTheme="minorHAnsi" w:cstheme="minorHAnsi"/>
        </w:rPr>
        <w:t>We run our investigations in accordance with a 7-point plan on domestic abuse that we adhere to. Wearing the Body Worn Video is worth a thousand words, so use video to capture the scene, injuries, context, and early disclosures. Take advantage of every chance to obtain evidence from witnesses, victims, and CCTV. You should also go house to house and interview officers, use your police powers wisely, and give the arrest top priority while keeping safety in mind. Constantly evaluating what more can be done to apprehend the offender and assist the victim; constantly maintaining supervision so that sergeants can supervise the event, provide direction and support; keep the victim informed and dynamically address any concerns they may have; and, when necessary, use the law to manage, disrupt the breach, or convict the offender.</w:t>
      </w:r>
    </w:p>
    <w:p w14:paraId="046AC62F" w14:textId="77777777" w:rsidR="007165D4" w:rsidRPr="0003783A" w:rsidRDefault="007165D4" w:rsidP="008E7418">
      <w:pPr>
        <w:rPr>
          <w:rFonts w:asciiTheme="minorHAnsi" w:hAnsiTheme="minorHAnsi" w:cstheme="minorHAnsi"/>
        </w:rPr>
      </w:pPr>
    </w:p>
    <w:p w14:paraId="064D20C0"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Using risk assessment instruments, like the Domestic Abuse, Stalking and Harassment and Honour Based Violence (DASH) Risk Identification and Assessment Tool, has proven to be a successful strategy. It assists in identifying high-risk cases and offering suitable interventions. Early detection of high-risk cases can help the police assist victims in a targeted manner. I then assessed the risk in the domestic abuse incident by using this method to ask questions. This lets us, the officers, see what's going on in that house and helps the victim realise they are in a dangerous situation. The majority of the DASH questions were answered in the victim's affirmative, placing her at high risk.</w:t>
      </w:r>
    </w:p>
    <w:p w14:paraId="7044D6E7" w14:textId="77777777" w:rsidR="008E7418" w:rsidRPr="0003783A" w:rsidRDefault="008E7418" w:rsidP="008E7418">
      <w:pPr>
        <w:rPr>
          <w:rFonts w:asciiTheme="minorHAnsi" w:hAnsiTheme="minorHAnsi" w:cstheme="minorHAnsi"/>
        </w:rPr>
      </w:pPr>
    </w:p>
    <w:p w14:paraId="57EE0DFC"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At this point, the safety of this victim was important and paramount, and so a statement of complaint was taken, but we did not have enough evidence. So the partner was eventually arrested and interviewed.</w:t>
      </w:r>
    </w:p>
    <w:p w14:paraId="0E47CC53" w14:textId="77777777" w:rsidR="00E877D9" w:rsidRPr="0003783A" w:rsidRDefault="00E877D9" w:rsidP="008E7418">
      <w:pPr>
        <w:rPr>
          <w:rFonts w:asciiTheme="minorHAnsi" w:hAnsiTheme="minorHAnsi" w:cstheme="minorHAnsi"/>
        </w:rPr>
      </w:pPr>
    </w:p>
    <w:p w14:paraId="597246ED" w14:textId="77777777" w:rsidR="00E877D9" w:rsidRPr="0003783A" w:rsidRDefault="00E877D9" w:rsidP="00E877D9">
      <w:pPr>
        <w:rPr>
          <w:rFonts w:asciiTheme="minorHAnsi" w:hAnsiTheme="minorHAnsi" w:cstheme="minorHAnsi"/>
        </w:rPr>
      </w:pPr>
      <w:r w:rsidRPr="0003783A">
        <w:rPr>
          <w:rFonts w:asciiTheme="minorHAnsi" w:hAnsiTheme="minorHAnsi" w:cstheme="minorHAnsi"/>
        </w:rPr>
        <w:t>One essential tool for use in policing is the NDM. It is always a good idea to use it. similar to this instance, in which I answered the phone knowing very little. Using the NMD process, I was able to carry out a dynamic risk assessment and ask the relevant questions I needed to address the case at hand.</w:t>
      </w:r>
    </w:p>
    <w:p w14:paraId="1CD259E0" w14:textId="1017DE4C" w:rsidR="00E877D9" w:rsidRPr="0003783A" w:rsidRDefault="00E877D9" w:rsidP="00E877D9">
      <w:pPr>
        <w:rPr>
          <w:rFonts w:asciiTheme="minorHAnsi" w:hAnsiTheme="minorHAnsi" w:cstheme="minorHAnsi"/>
        </w:rPr>
      </w:pPr>
      <w:r w:rsidRPr="0003783A">
        <w:rPr>
          <w:rFonts w:asciiTheme="minorHAnsi" w:hAnsiTheme="minorHAnsi" w:cstheme="minorHAnsi"/>
        </w:rPr>
        <w:t>Risk management is essential for the people we serve and protect as well as for officers. So, whenever information is required, gathering intelligence is a great place to start. In my view, it entails obtaining, evaluating, confirming, and assessing data. I believe I was able to compile all the information required to analyse this incident.</w:t>
      </w:r>
    </w:p>
    <w:p w14:paraId="2D749340" w14:textId="6DB42652" w:rsidR="008E7418" w:rsidRPr="0003783A" w:rsidRDefault="00E877D9" w:rsidP="008E7418">
      <w:pPr>
        <w:rPr>
          <w:rFonts w:asciiTheme="minorHAnsi" w:hAnsiTheme="minorHAnsi" w:cstheme="minorHAnsi"/>
        </w:rPr>
      </w:pPr>
      <w:r w:rsidRPr="0003783A">
        <w:rPr>
          <w:rFonts w:asciiTheme="minorHAnsi" w:hAnsiTheme="minorHAnsi" w:cstheme="minorHAnsi"/>
        </w:rPr>
        <w:lastRenderedPageBreak/>
        <w:t>An essential part of policing is the NDM. The NDM supports police activity and response. Particularly given my lack of knowledge at the initial point of contact in this incident, I believe I made the right decisions and asked the right questions by using the tool.</w:t>
      </w:r>
    </w:p>
    <w:p w14:paraId="30426266" w14:textId="77777777" w:rsidR="00E877D9" w:rsidRPr="0003783A" w:rsidRDefault="00E877D9" w:rsidP="008E7418">
      <w:pPr>
        <w:rPr>
          <w:rFonts w:asciiTheme="minorHAnsi" w:hAnsiTheme="minorHAnsi" w:cstheme="minorHAnsi"/>
        </w:rPr>
      </w:pPr>
    </w:p>
    <w:p w14:paraId="629B6B24"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You do find that officers do have some power that can be used to help protect the victim during the investigation of the case. In my case, the suspect denied all allegations and to safeguard the victim, pre-charge bail conditions were used. This is just another layer of protection that can be extended to the victim. It imposes conditions on the perpetrator where you can make them not to contact the victim or attended their address etc. There is evidence that imposing such conditions makes the victim feel safe. So we always need to make sure that victims of domestic abuse are never dissatisfied with police action, otherwise we might have victims to be less likely to report a crime in the future (GOV, 2022).</w:t>
      </w:r>
    </w:p>
    <w:p w14:paraId="33C6EAA4" w14:textId="77777777" w:rsidR="008E7418" w:rsidRPr="0003783A" w:rsidRDefault="008E7418" w:rsidP="008E7418">
      <w:pPr>
        <w:rPr>
          <w:rFonts w:asciiTheme="minorHAnsi" w:hAnsiTheme="minorHAnsi" w:cstheme="minorHAnsi"/>
        </w:rPr>
      </w:pPr>
    </w:p>
    <w:p w14:paraId="7F6A21CF"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An instance of domestic violence occurs when two people in a close relationship physically abuse each other or threaten each other. This can apply to family members, partners, spouses, and other housemates. Sexual assault, emotional abuse, physical violence, and/or financial control are all possible in this incident.</w:t>
      </w:r>
    </w:p>
    <w:p w14:paraId="1E90E503" w14:textId="77777777" w:rsidR="008E7418" w:rsidRPr="0003783A" w:rsidRDefault="008E7418" w:rsidP="008E7418">
      <w:pPr>
        <w:rPr>
          <w:rFonts w:asciiTheme="minorHAnsi" w:hAnsiTheme="minorHAnsi" w:cstheme="minorHAnsi"/>
        </w:rPr>
      </w:pPr>
    </w:p>
    <w:p w14:paraId="25A00B52"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Domestic violence is a widespread problem in society that affects people of all socioeconomic backgrounds. It is a type of violence against women that has its roots in the dynamics of power and control. A lot of victims of domestic abuse choose not to report the abuse or seek assistance because of social stigmas and fears of reprisals.</w:t>
      </w:r>
    </w:p>
    <w:p w14:paraId="35CCAE13" w14:textId="77777777" w:rsidR="008E7418" w:rsidRPr="0003783A" w:rsidRDefault="008E7418" w:rsidP="008E7418">
      <w:pPr>
        <w:rPr>
          <w:rFonts w:asciiTheme="minorHAnsi" w:hAnsiTheme="minorHAnsi" w:cstheme="minorHAnsi"/>
        </w:rPr>
      </w:pPr>
    </w:p>
    <w:p w14:paraId="07DF0BDB"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Legislatively, domestic violence is recognised as a serious harm in many countries, with laws in place to protect victims and punish perpetrators. However, enforcement of these laws can be difficult due to the complex nature of domestic violence and the tendency for victims to not report the above.</w:t>
      </w:r>
    </w:p>
    <w:p w14:paraId="12D6737A"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Domestic abuse is a complex and sensitive issue that poses significant challenges to policing. As officers responding to such incidents, we must engage our emotions whilst working with people who are often traumatized and are highly emotional. We must balance the need to enforce the law and protect the safety of victims and their children while recognising the limitations of the legal system. Moreover, we must maintain the confidentiality and privacy of the victim, gather evidence, and provide support.</w:t>
      </w:r>
    </w:p>
    <w:p w14:paraId="6E00EEE3" w14:textId="77777777" w:rsidR="008E7418" w:rsidRPr="0003783A" w:rsidRDefault="008E7418" w:rsidP="008E7418">
      <w:pPr>
        <w:rPr>
          <w:rFonts w:asciiTheme="minorHAnsi" w:hAnsiTheme="minorHAnsi" w:cstheme="minorHAnsi"/>
        </w:rPr>
      </w:pPr>
    </w:p>
    <w:p w14:paraId="40710B52" w14:textId="77777777" w:rsidR="0003783A" w:rsidRPr="0003783A" w:rsidRDefault="008E7418" w:rsidP="0003783A">
      <w:pPr>
        <w:rPr>
          <w:rFonts w:asciiTheme="minorHAnsi" w:hAnsiTheme="minorHAnsi" w:cstheme="minorHAnsi"/>
        </w:rPr>
      </w:pPr>
      <w:r w:rsidRPr="0003783A">
        <w:rPr>
          <w:rFonts w:asciiTheme="minorHAnsi" w:hAnsiTheme="minorHAnsi" w:cstheme="minorHAnsi"/>
        </w:rPr>
        <w:t>One of the most critical challenges associated with domestic abuse is the reluctance of victims to report the abuse. Victims often fear retribution, lack confidence in the police, or believe that the issue is a private matter that should not involve the authorities. The police have developed strategies to overcome these challenges, such as community outreach programs to raise awareness about domestic abuse and its impact on families. Working with other agencies, such as social services and healthcare providers, to build trust and support for victims.</w:t>
      </w:r>
      <w:r w:rsidR="0003783A" w:rsidRPr="0003783A">
        <w:rPr>
          <w:rFonts w:asciiTheme="minorHAnsi" w:hAnsiTheme="minorHAnsi" w:cstheme="minorHAnsi"/>
        </w:rPr>
        <w:t xml:space="preserve"> </w:t>
      </w:r>
      <w:r w:rsidR="0003783A" w:rsidRPr="0003783A">
        <w:rPr>
          <w:rFonts w:asciiTheme="minorHAnsi" w:hAnsiTheme="minorHAnsi" w:cstheme="minorHAnsi"/>
        </w:rPr>
        <w:t xml:space="preserve">Even though handling domestic abuse cases can occasionally be difficult, it's crucial to act decisively. Arresting the offender is essentially positive action; sometimes the victim needs to be protected even if they don't support the action. Ensuring public safety is the top priority for law enforcement, particularly in cases of domestic abuse. </w:t>
      </w:r>
    </w:p>
    <w:p w14:paraId="4BCC3283" w14:textId="77777777" w:rsidR="0003783A" w:rsidRPr="0003783A" w:rsidRDefault="0003783A" w:rsidP="0003783A">
      <w:pPr>
        <w:rPr>
          <w:rFonts w:asciiTheme="minorHAnsi" w:hAnsiTheme="minorHAnsi" w:cstheme="minorHAnsi"/>
        </w:rPr>
      </w:pPr>
    </w:p>
    <w:p w14:paraId="4818DB86" w14:textId="73BAB0BD" w:rsidR="008E7418" w:rsidRPr="0003783A" w:rsidRDefault="0003783A" w:rsidP="0003783A">
      <w:pPr>
        <w:rPr>
          <w:rFonts w:asciiTheme="minorHAnsi" w:hAnsiTheme="minorHAnsi" w:cstheme="minorHAnsi"/>
        </w:rPr>
      </w:pPr>
      <w:r w:rsidRPr="0003783A">
        <w:rPr>
          <w:rFonts w:asciiTheme="minorHAnsi" w:hAnsiTheme="minorHAnsi" w:cstheme="minorHAnsi"/>
        </w:rPr>
        <w:t>Arrests have the advantage of providing the victim with a period of time to feel safe and increasing the possibility that they will interact with the police and other agencies. It gives time to look into additional avenues of inquiry and gives the authority to set bail restrictions in order to safeguard the victim.</w:t>
      </w:r>
    </w:p>
    <w:p w14:paraId="0A039F94" w14:textId="77777777" w:rsidR="0003783A" w:rsidRPr="0003783A" w:rsidRDefault="0003783A" w:rsidP="0003783A">
      <w:pPr>
        <w:rPr>
          <w:rFonts w:asciiTheme="minorHAnsi" w:hAnsiTheme="minorHAnsi" w:cstheme="minorHAnsi"/>
        </w:rPr>
      </w:pPr>
    </w:p>
    <w:p w14:paraId="3AD734C8" w14:textId="06C8B7BD" w:rsidR="0003783A" w:rsidRPr="0003783A" w:rsidRDefault="0003783A" w:rsidP="0003783A">
      <w:pPr>
        <w:rPr>
          <w:rFonts w:asciiTheme="minorHAnsi" w:hAnsiTheme="minorHAnsi" w:cstheme="minorHAnsi"/>
        </w:rPr>
      </w:pPr>
      <w:r w:rsidRPr="0003783A">
        <w:rPr>
          <w:rFonts w:asciiTheme="minorHAnsi" w:hAnsiTheme="minorHAnsi" w:cstheme="minorHAnsi"/>
        </w:rPr>
        <w:t>Bail conditions are a crucial tool for promoting the beneficial effects of an arrest. They provide the victim with protection while the possibility of an offence is looked into. In the event that the offender is freed from custody, victims are also informed. According to the victims code that South Wales Police use, it is required of them to notify the victim as soon as possible. Bail conditions typically include an action plan to guarantee that the terms are efficiently followed to keep the victim safe and that violations are found and addressed.</w:t>
      </w:r>
      <w:r w:rsidRPr="0003783A">
        <w:rPr>
          <w:rFonts w:asciiTheme="minorHAnsi" w:hAnsiTheme="minorHAnsi" w:cstheme="minorHAnsi"/>
        </w:rPr>
        <w:t xml:space="preserve"> (College of Policing, 2023)</w:t>
      </w:r>
    </w:p>
    <w:p w14:paraId="12D9EB30" w14:textId="77777777" w:rsidR="008E7418" w:rsidRPr="0003783A" w:rsidRDefault="008E7418" w:rsidP="008E7418">
      <w:pPr>
        <w:rPr>
          <w:rFonts w:asciiTheme="minorHAnsi" w:hAnsiTheme="minorHAnsi" w:cstheme="minorHAnsi"/>
        </w:rPr>
      </w:pPr>
    </w:p>
    <w:p w14:paraId="7CAA731A"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Another challenge of domestic abuse policing is the danger to police officers attending a violent scene. Domestic abuse incidents are often highly charged, and perpetrators may be armed and dangerous. Therefore, police must take appropriate measures to protect themselves while ensuring that victims are safe. We have developed strategies such as risk assessment to identify high-risk cases, increasing police numbers, using body-worn cameras, and conducting intelligence gathering before attending a call.</w:t>
      </w:r>
    </w:p>
    <w:p w14:paraId="68DA6530" w14:textId="77777777" w:rsidR="008E7418" w:rsidRPr="0003783A" w:rsidRDefault="008E7418" w:rsidP="008E7418">
      <w:pPr>
        <w:rPr>
          <w:rFonts w:asciiTheme="minorHAnsi" w:hAnsiTheme="minorHAnsi" w:cstheme="minorHAnsi"/>
        </w:rPr>
      </w:pPr>
    </w:p>
    <w:p w14:paraId="320E9AF7"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lastRenderedPageBreak/>
        <w:t>The strategies developed for effective policing in challenging situations of domestic abuse cases in the UK include measures such as improving awareness and training for officers, providing support for victims, using perpetrator programs, and sharing information between agencies.</w:t>
      </w:r>
    </w:p>
    <w:p w14:paraId="755BCC92"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Studies have shown that these strategies can be effective in improving the handling of domestic abuse cases by police. For example, a review of the use of multi-agency risk assessment conferences (MARACs) found that they have led to improved information sharing and better decision-making in cases involving high-risk victims.</w:t>
      </w:r>
    </w:p>
    <w:p w14:paraId="59337D1F" w14:textId="77777777" w:rsidR="008E7418" w:rsidRPr="0003783A" w:rsidRDefault="008E7418" w:rsidP="008E7418">
      <w:pPr>
        <w:rPr>
          <w:rFonts w:asciiTheme="minorHAnsi" w:hAnsiTheme="minorHAnsi" w:cstheme="minorHAnsi"/>
        </w:rPr>
      </w:pPr>
    </w:p>
    <w:p w14:paraId="5DC3EAE2"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Finally, we must address the problem of repeat offenders. Domestic abuse is a recurring crime, and perpetrators may re-offend if measures such as court order enforcement and collaboration with multi-agency partners, such as probation officers, to provide support and intervention programmes are not implemented.</w:t>
      </w:r>
    </w:p>
    <w:p w14:paraId="5D9969F6" w14:textId="77777777" w:rsidR="008E7418" w:rsidRPr="0003783A" w:rsidRDefault="008E7418" w:rsidP="008E7418">
      <w:pPr>
        <w:rPr>
          <w:rFonts w:asciiTheme="minorHAnsi" w:hAnsiTheme="minorHAnsi" w:cstheme="minorHAnsi"/>
        </w:rPr>
      </w:pPr>
    </w:p>
    <w:p w14:paraId="4016C508" w14:textId="77777777" w:rsidR="008E7418" w:rsidRPr="0003783A" w:rsidRDefault="008E7418" w:rsidP="008E7418">
      <w:pPr>
        <w:rPr>
          <w:rFonts w:asciiTheme="minorHAnsi" w:hAnsiTheme="minorHAnsi" w:cstheme="minorHAnsi"/>
        </w:rPr>
      </w:pPr>
      <w:r w:rsidRPr="0003783A">
        <w:rPr>
          <w:rFonts w:asciiTheme="minorHAnsi" w:hAnsiTheme="minorHAnsi" w:cstheme="minorHAnsi"/>
        </w:rPr>
        <w:t>To summarise, domestic abuse is a widespread problem that presents significant challenges to law enforcement. We must navigate complex emotional and practical issues while ensuring victim safety and dealing with perpetrators. Effective strategies, such as community outreach programmes, risk assessment, and interagency collaboration, are required to ensure effective policing of this issue.</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368F9CF8" w:rsidR="00025650" w:rsidRPr="008E7418" w:rsidRDefault="008E7418" w:rsidP="0FF883D4">
      <w:pPr>
        <w:ind w:right="237"/>
        <w:jc w:val="both"/>
        <w:rPr>
          <w:b/>
          <w:bCs/>
          <w:color w:val="000000" w:themeColor="text1"/>
          <w:sz w:val="24"/>
          <w:szCs w:val="24"/>
          <w:u w:val="single"/>
        </w:rPr>
      </w:pPr>
      <w:r w:rsidRPr="008E7418">
        <w:rPr>
          <w:b/>
          <w:bCs/>
          <w:color w:val="000000" w:themeColor="text1"/>
          <w:sz w:val="24"/>
          <w:szCs w:val="24"/>
          <w:u w:val="single"/>
        </w:rPr>
        <w:t>Word Count= 1</w:t>
      </w:r>
      <w:r w:rsidR="0003783A">
        <w:rPr>
          <w:b/>
          <w:bCs/>
          <w:color w:val="000000" w:themeColor="text1"/>
          <w:sz w:val="24"/>
          <w:szCs w:val="24"/>
          <w:u w:val="single"/>
        </w:rPr>
        <w:t>699</w:t>
      </w: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C5A358E" w:rsidR="0FF883D4" w:rsidRDefault="5CE196A1" w:rsidP="5CE196A1">
      <w:r w:rsidRPr="5CE196A1">
        <w:rPr>
          <w:rFonts w:eastAsia="Arial"/>
          <w:b/>
          <w:bCs/>
          <w:color w:val="000000" w:themeColor="text1"/>
          <w:sz w:val="24"/>
          <w:szCs w:val="24"/>
        </w:rPr>
        <w:t xml:space="preserve">Signed: </w:t>
      </w:r>
      <w:r w:rsidR="004453CD">
        <w:rPr>
          <w:rFonts w:eastAsia="Arial"/>
          <w:b/>
          <w:bCs/>
          <w:color w:val="000000" w:themeColor="text1"/>
          <w:sz w:val="24"/>
          <w:szCs w:val="24"/>
        </w:rPr>
        <w:t>STEPHEN MBUNYA</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7508D9E" w:rsidR="0FF883D4" w:rsidRPr="004453CD" w:rsidRDefault="5CE196A1" w:rsidP="004453CD">
      <w:pPr>
        <w:sectPr w:rsidR="0FF883D4" w:rsidRPr="004453CD"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F300D0">
        <w:t>02/01/2024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A148EAC" w14:textId="14C5408C" w:rsidR="001B16A0" w:rsidRDefault="001B16A0" w:rsidP="00EA28F1">
      <w:pPr>
        <w:keepNext/>
        <w:spacing w:before="240" w:after="60"/>
        <w:ind w:right="237"/>
        <w:jc w:val="both"/>
        <w:rPr>
          <w:sz w:val="24"/>
          <w:szCs w:val="24"/>
        </w:rPr>
      </w:pPr>
      <w:r>
        <w:rPr>
          <w:sz w:val="24"/>
          <w:szCs w:val="24"/>
        </w:rPr>
        <w:t>Barn,R., Reynolds, L., &amp; Hickman, M. (2019). Tackling hate crime and promoting community cohesion: A review of the evidence base: Oxford: Centre for Criminology, University of Oxford.</w:t>
      </w:r>
    </w:p>
    <w:p w14:paraId="270EED0B" w14:textId="486A90C4" w:rsidR="0003783A" w:rsidRDefault="0003783A" w:rsidP="00EA28F1">
      <w:pPr>
        <w:keepNext/>
        <w:spacing w:before="240" w:after="60"/>
        <w:ind w:right="237"/>
        <w:jc w:val="both"/>
        <w:rPr>
          <w:sz w:val="24"/>
          <w:szCs w:val="24"/>
        </w:rPr>
      </w:pPr>
      <w:r>
        <w:rPr>
          <w:sz w:val="24"/>
          <w:szCs w:val="24"/>
        </w:rPr>
        <w:t xml:space="preserve">College of Policing (2023) Arrest and other positive approaches. Available at: </w:t>
      </w:r>
      <w:hyperlink r:id="rId16" w:history="1">
        <w:r w:rsidRPr="0065288F">
          <w:rPr>
            <w:rStyle w:val="Hyperlink"/>
            <w:sz w:val="24"/>
            <w:szCs w:val="24"/>
          </w:rPr>
          <w:t>https://www.college.police.uk/app/major-investigation-and-public-protection/domestic-abuse/arrest-and-other-positive-approaches</w:t>
        </w:r>
      </w:hyperlink>
      <w:r>
        <w:rPr>
          <w:sz w:val="24"/>
          <w:szCs w:val="24"/>
        </w:rPr>
        <w:t xml:space="preserve"> (Accessed 3 December 2023)</w:t>
      </w:r>
    </w:p>
    <w:p w14:paraId="44F4003C" w14:textId="5FB9D623" w:rsidR="0003783A" w:rsidRDefault="00F300D0" w:rsidP="00EA28F1">
      <w:pPr>
        <w:keepNext/>
        <w:spacing w:before="240" w:after="60"/>
        <w:ind w:right="237"/>
        <w:jc w:val="both"/>
        <w:rPr>
          <w:sz w:val="24"/>
          <w:szCs w:val="24"/>
        </w:rPr>
      </w:pPr>
      <w:r>
        <w:rPr>
          <w:sz w:val="24"/>
          <w:szCs w:val="24"/>
        </w:rPr>
        <w:t xml:space="preserve">College of Policing (2023) Responding to hate. Available at: </w:t>
      </w:r>
      <w:hyperlink r:id="rId17" w:history="1">
        <w:r w:rsidRPr="0065288F">
          <w:rPr>
            <w:rStyle w:val="Hyperlink"/>
            <w:sz w:val="24"/>
            <w:szCs w:val="24"/>
          </w:rPr>
          <w:t>https://www.college.police.uk/app/major-investigation-and-public-protection/hate-crime/responding-hate</w:t>
        </w:r>
      </w:hyperlink>
      <w:r>
        <w:rPr>
          <w:sz w:val="24"/>
          <w:szCs w:val="24"/>
        </w:rPr>
        <w:t xml:space="preserve"> (Accessed 3 December 2023)</w:t>
      </w:r>
    </w:p>
    <w:p w14:paraId="3A536874" w14:textId="0022A3A8" w:rsidR="004453CD" w:rsidRDefault="004453CD" w:rsidP="00EA28F1">
      <w:pPr>
        <w:keepNext/>
        <w:spacing w:before="240" w:after="60"/>
        <w:ind w:right="237"/>
        <w:jc w:val="both"/>
        <w:rPr>
          <w:sz w:val="24"/>
          <w:szCs w:val="24"/>
        </w:rPr>
      </w:pPr>
      <w:r>
        <w:rPr>
          <w:sz w:val="24"/>
          <w:szCs w:val="24"/>
        </w:rPr>
        <w:t>Crown Prosec</w:t>
      </w:r>
      <w:r w:rsidR="004521A0">
        <w:rPr>
          <w:sz w:val="24"/>
          <w:szCs w:val="24"/>
        </w:rPr>
        <w:t xml:space="preserve">ution Service (2022) Hate Crime. Available at: </w:t>
      </w:r>
      <w:hyperlink r:id="rId18" w:history="1">
        <w:r w:rsidR="004521A0" w:rsidRPr="0028052B">
          <w:rPr>
            <w:rStyle w:val="Hyperlink"/>
            <w:sz w:val="24"/>
            <w:szCs w:val="24"/>
          </w:rPr>
          <w:t>https://www.cps.gov.uk/crime-info/hate-crime</w:t>
        </w:r>
      </w:hyperlink>
      <w:r w:rsidR="004521A0">
        <w:rPr>
          <w:sz w:val="24"/>
          <w:szCs w:val="24"/>
        </w:rPr>
        <w:t xml:space="preserve">  (Accessed on 30 October 2023)</w:t>
      </w:r>
    </w:p>
    <w:p w14:paraId="774E1016" w14:textId="612A80A0" w:rsidR="00551D17" w:rsidRDefault="00551D17" w:rsidP="00EA28F1">
      <w:pPr>
        <w:keepNext/>
        <w:spacing w:before="240" w:after="60"/>
        <w:ind w:right="237"/>
        <w:jc w:val="both"/>
        <w:rPr>
          <w:sz w:val="24"/>
          <w:szCs w:val="24"/>
        </w:rPr>
      </w:pPr>
      <w:r>
        <w:rPr>
          <w:sz w:val="24"/>
          <w:szCs w:val="24"/>
        </w:rPr>
        <w:t xml:space="preserve">Crown Prosecution Service (2023) Restorative Justice.                  Available at: </w:t>
      </w:r>
      <w:hyperlink r:id="rId19" w:history="1">
        <w:r w:rsidRPr="0028052B">
          <w:rPr>
            <w:rStyle w:val="Hyperlink"/>
            <w:sz w:val="24"/>
            <w:szCs w:val="24"/>
          </w:rPr>
          <w:t>https://www.cps.gov.uk/legal-guidance/restorative-justice</w:t>
        </w:r>
      </w:hyperlink>
      <w:r>
        <w:rPr>
          <w:sz w:val="24"/>
          <w:szCs w:val="24"/>
        </w:rPr>
        <w:t xml:space="preserve">  (Accessed on 29 October 2023)</w:t>
      </w:r>
    </w:p>
    <w:p w14:paraId="1CF82EE0" w14:textId="7EFAE678" w:rsidR="004521A0" w:rsidRDefault="004521A0" w:rsidP="00EA28F1">
      <w:pPr>
        <w:keepNext/>
        <w:spacing w:before="240" w:after="60"/>
        <w:ind w:right="237"/>
        <w:jc w:val="both"/>
        <w:rPr>
          <w:sz w:val="24"/>
          <w:szCs w:val="24"/>
        </w:rPr>
      </w:pPr>
      <w:r>
        <w:rPr>
          <w:sz w:val="24"/>
          <w:szCs w:val="24"/>
        </w:rPr>
        <w:t xml:space="preserve">GOV (2016) Hate Crime Action Plan.   Available at: </w:t>
      </w:r>
      <w:hyperlink r:id="rId20" w:history="1">
        <w:r w:rsidRPr="0028052B">
          <w:rPr>
            <w:rStyle w:val="Hyperlink"/>
            <w:sz w:val="24"/>
            <w:szCs w:val="24"/>
          </w:rPr>
          <w:t>https://www.gov.uk/government/publications/hate-crime-action-plan-2016</w:t>
        </w:r>
      </w:hyperlink>
      <w:r>
        <w:rPr>
          <w:sz w:val="24"/>
          <w:szCs w:val="24"/>
        </w:rPr>
        <w:t xml:space="preserve"> (Accessed on 2</w:t>
      </w:r>
      <w:r w:rsidR="00551D17">
        <w:rPr>
          <w:sz w:val="24"/>
          <w:szCs w:val="24"/>
        </w:rPr>
        <w:t xml:space="preserve">9 October </w:t>
      </w:r>
      <w:r>
        <w:rPr>
          <w:sz w:val="24"/>
          <w:szCs w:val="24"/>
        </w:rPr>
        <w:t>2023)</w:t>
      </w:r>
    </w:p>
    <w:p w14:paraId="01AB0841" w14:textId="259A2984" w:rsidR="006D573F" w:rsidRDefault="006D573F" w:rsidP="00EA28F1">
      <w:pPr>
        <w:keepNext/>
        <w:spacing w:before="240" w:after="60"/>
        <w:ind w:right="237"/>
        <w:jc w:val="both"/>
        <w:rPr>
          <w:sz w:val="24"/>
          <w:szCs w:val="24"/>
        </w:rPr>
      </w:pPr>
      <w:r>
        <w:rPr>
          <w:sz w:val="24"/>
          <w:szCs w:val="24"/>
        </w:rPr>
        <w:t>GOV    (2022)         A duty to protect: Police use of protective measures in cases involving violence against wom</w:t>
      </w:r>
      <w:r w:rsidR="007522D6">
        <w:rPr>
          <w:sz w:val="24"/>
          <w:szCs w:val="24"/>
        </w:rPr>
        <w:t xml:space="preserve">en and girls. Available at: </w:t>
      </w:r>
      <w:hyperlink r:id="rId21" w:history="1">
        <w:r w:rsidR="007522D6" w:rsidRPr="0028052B">
          <w:rPr>
            <w:rStyle w:val="Hyperlink"/>
            <w:sz w:val="24"/>
            <w:szCs w:val="24"/>
          </w:rPr>
          <w:t>https://police-use-of-protective-measures-in-cases-of-violence-against-women-and-girls-a-duty-to-protect-police-use-of-protective-measures-in-cases-involving-violence-against-women-and-girls</w:t>
        </w:r>
      </w:hyperlink>
      <w:r w:rsidR="007522D6">
        <w:rPr>
          <w:sz w:val="24"/>
          <w:szCs w:val="24"/>
        </w:rPr>
        <w:t xml:space="preserve">       (Accessed on 30 October 2023)</w:t>
      </w:r>
    </w:p>
    <w:p w14:paraId="78E6D158" w14:textId="33637B45" w:rsidR="004521A0" w:rsidRDefault="001B16A0" w:rsidP="00EA28F1">
      <w:pPr>
        <w:keepNext/>
        <w:spacing w:before="240" w:after="60"/>
        <w:ind w:right="237"/>
        <w:jc w:val="both"/>
        <w:rPr>
          <w:sz w:val="24"/>
          <w:szCs w:val="24"/>
        </w:rPr>
      </w:pPr>
      <w:r>
        <w:rPr>
          <w:sz w:val="24"/>
          <w:szCs w:val="24"/>
        </w:rPr>
        <w:t>Gibbs, G. (1988) Learning by doing: A guide to teaching and learning methods. London: Further Education Unit.</w:t>
      </w:r>
    </w:p>
    <w:p w14:paraId="7C08C76D" w14:textId="329BE228" w:rsidR="00B132CF" w:rsidRDefault="00B132CF" w:rsidP="00EA28F1">
      <w:pPr>
        <w:keepNext/>
        <w:spacing w:before="240" w:after="60"/>
        <w:ind w:right="237"/>
        <w:jc w:val="both"/>
        <w:rPr>
          <w:sz w:val="24"/>
          <w:szCs w:val="24"/>
        </w:rPr>
      </w:pPr>
      <w:r>
        <w:rPr>
          <w:sz w:val="24"/>
          <w:szCs w:val="24"/>
        </w:rPr>
        <w:t xml:space="preserve">Hate Crime Sentencing Guidelines. (2023). The Sentencing Council. Available at: </w:t>
      </w:r>
      <w:hyperlink r:id="rId22" w:history="1">
        <w:r w:rsidRPr="00FB124A">
          <w:rPr>
            <w:rStyle w:val="Hyperlink"/>
            <w:sz w:val="24"/>
            <w:szCs w:val="24"/>
          </w:rPr>
          <w:t>https://www.sentencingcouncil.org.uk/explanatory-material/magistrates-court/item/hate-crime/3-approach-to-sentencing/</w:t>
        </w:r>
      </w:hyperlink>
    </w:p>
    <w:p w14:paraId="6AB8F2C7" w14:textId="527EFB6D" w:rsidR="00B132CF" w:rsidRDefault="00B132CF" w:rsidP="00EA28F1">
      <w:pPr>
        <w:keepNext/>
        <w:spacing w:before="240" w:after="60"/>
        <w:ind w:right="237"/>
        <w:jc w:val="both"/>
        <w:rPr>
          <w:sz w:val="24"/>
          <w:szCs w:val="24"/>
        </w:rPr>
      </w:pPr>
      <w:r>
        <w:rPr>
          <w:sz w:val="24"/>
          <w:szCs w:val="24"/>
        </w:rPr>
        <w:t xml:space="preserve">Home Office. (2022). Hate Crime, England and Wales, 2021 to 2022. Available at: </w:t>
      </w:r>
      <w:hyperlink r:id="rId23" w:history="1">
        <w:r w:rsidRPr="00FB124A">
          <w:rPr>
            <w:rStyle w:val="Hyperlink"/>
            <w:sz w:val="24"/>
            <w:szCs w:val="24"/>
          </w:rPr>
          <w:t>https://www.gov.uk/government/statistics/hate-crime-england-and-wales-2021-to-</w:t>
        </w:r>
        <w:r w:rsidRPr="00FB124A">
          <w:rPr>
            <w:rStyle w:val="Hyperlink"/>
            <w:sz w:val="24"/>
            <w:szCs w:val="24"/>
          </w:rPr>
          <w:lastRenderedPageBreak/>
          <w:t>2022/hate-crime-england-and-wales-2021-to-2022</w:t>
        </w:r>
      </w:hyperlink>
      <w:r>
        <w:rPr>
          <w:sz w:val="24"/>
          <w:szCs w:val="24"/>
        </w:rPr>
        <w:t xml:space="preserve">  (Accessed on 3 December 2023)</w:t>
      </w:r>
    </w:p>
    <w:p w14:paraId="134C4505" w14:textId="66B24A82" w:rsidR="00B132CF" w:rsidRDefault="00B132CF" w:rsidP="00EA28F1">
      <w:pPr>
        <w:keepNext/>
        <w:spacing w:before="240" w:after="60"/>
        <w:ind w:right="237"/>
        <w:jc w:val="both"/>
        <w:rPr>
          <w:sz w:val="24"/>
          <w:szCs w:val="24"/>
        </w:rPr>
      </w:pPr>
      <w:r>
        <w:rPr>
          <w:sz w:val="24"/>
          <w:szCs w:val="24"/>
        </w:rPr>
        <w:t>Iganski,P., &amp; Smith, D. (2014). Hate Crimes: The Consequence of Hate Crime. Basingstoke: Palgrave Macmillan</w:t>
      </w:r>
      <w:r w:rsidR="005A20B1">
        <w:rPr>
          <w:sz w:val="24"/>
          <w:szCs w:val="24"/>
        </w:rPr>
        <w:t>.</w:t>
      </w:r>
    </w:p>
    <w:p w14:paraId="3B3E1685" w14:textId="15C66970" w:rsidR="005A20B1" w:rsidRDefault="005A20B1" w:rsidP="00EA28F1">
      <w:pPr>
        <w:keepNext/>
        <w:spacing w:before="240" w:after="60"/>
        <w:ind w:right="237"/>
        <w:jc w:val="both"/>
        <w:rPr>
          <w:sz w:val="24"/>
          <w:szCs w:val="24"/>
        </w:rPr>
      </w:pPr>
      <w:r>
        <w:rPr>
          <w:sz w:val="24"/>
          <w:szCs w:val="24"/>
        </w:rPr>
        <w:t>Shapland, J.,et al (2011). The Impact of Restorative Justice Conference (RJC) on Re-offending.</w:t>
      </w:r>
    </w:p>
    <w:p w14:paraId="40F75480" w14:textId="0E655A9D" w:rsidR="005A20B1" w:rsidRDefault="005A20B1" w:rsidP="00EA28F1">
      <w:pPr>
        <w:keepNext/>
        <w:spacing w:before="240" w:after="60"/>
        <w:ind w:right="237"/>
        <w:jc w:val="both"/>
        <w:rPr>
          <w:sz w:val="24"/>
          <w:szCs w:val="24"/>
        </w:rPr>
      </w:pPr>
      <w:r>
        <w:rPr>
          <w:sz w:val="24"/>
          <w:szCs w:val="24"/>
        </w:rPr>
        <w:t>Sharman, LW, Gartin, PR, and Buerger, ME (1989), ‘Hot Spots of Predatory Crime: Routine Activities and the Criminology of Place’ Criminology 27, 27-56</w:t>
      </w:r>
    </w:p>
    <w:p w14:paraId="1D33630D" w14:textId="48295CC7" w:rsidR="005A20B1" w:rsidRDefault="005A20B1" w:rsidP="00EA28F1">
      <w:pPr>
        <w:keepNext/>
        <w:spacing w:before="240" w:after="60"/>
        <w:ind w:right="237"/>
        <w:jc w:val="both"/>
        <w:rPr>
          <w:sz w:val="24"/>
          <w:szCs w:val="24"/>
        </w:rPr>
      </w:pPr>
      <w:r>
        <w:rPr>
          <w:sz w:val="24"/>
          <w:szCs w:val="24"/>
        </w:rPr>
        <w:t>Sherman, L.W., &amp; Strang, H. (2007) Restroative Justice: The evidence. London. The Smith Institute</w:t>
      </w:r>
    </w:p>
    <w:p w14:paraId="728CE5A0" w14:textId="0EB6C738" w:rsidR="001B16A0" w:rsidRDefault="00D95B10" w:rsidP="00EA28F1">
      <w:pPr>
        <w:keepNext/>
        <w:spacing w:before="240" w:after="60"/>
        <w:ind w:right="237"/>
        <w:jc w:val="both"/>
        <w:rPr>
          <w:sz w:val="24"/>
          <w:szCs w:val="24"/>
        </w:rPr>
      </w:pPr>
      <w:r>
        <w:rPr>
          <w:sz w:val="24"/>
          <w:szCs w:val="24"/>
        </w:rPr>
        <w:t xml:space="preserve">South Wales Police (2023). How to report hate crime. Available at: </w:t>
      </w:r>
      <w:hyperlink r:id="rId24" w:history="1">
        <w:r w:rsidR="00084428" w:rsidRPr="0065288F">
          <w:rPr>
            <w:rStyle w:val="Hyperlink"/>
            <w:sz w:val="24"/>
            <w:szCs w:val="24"/>
          </w:rPr>
          <w:t>https://www.south-wales.police.uk/advice/advice-and-information/hco/hate-crime/how-to-report-hate-crime/</w:t>
        </w:r>
      </w:hyperlink>
      <w:r w:rsidR="00084428">
        <w:rPr>
          <w:sz w:val="24"/>
          <w:szCs w:val="24"/>
        </w:rPr>
        <w:t xml:space="preserve"> (Accessed on 3 December 2023)</w:t>
      </w:r>
    </w:p>
    <w:p w14:paraId="08F7F79F" w14:textId="7E632066" w:rsidR="00084428" w:rsidRDefault="00084428" w:rsidP="00EA28F1">
      <w:pPr>
        <w:keepNext/>
        <w:spacing w:before="240" w:after="60"/>
        <w:ind w:right="237"/>
        <w:jc w:val="both"/>
        <w:rPr>
          <w:sz w:val="24"/>
          <w:szCs w:val="24"/>
        </w:rPr>
      </w:pPr>
      <w:r>
        <w:rPr>
          <w:sz w:val="24"/>
          <w:szCs w:val="24"/>
        </w:rPr>
        <w:t xml:space="preserve">Thames Valley Partnership (2023). Restorative Justice. Available at: </w:t>
      </w:r>
      <w:hyperlink r:id="rId25" w:history="1">
        <w:r w:rsidRPr="0065288F">
          <w:rPr>
            <w:rStyle w:val="Hyperlink"/>
            <w:sz w:val="24"/>
            <w:szCs w:val="24"/>
          </w:rPr>
          <w:t>https://thamesvalleypartnership.org.uk/restorative-justice</w:t>
        </w:r>
      </w:hyperlink>
      <w:r>
        <w:rPr>
          <w:sz w:val="24"/>
          <w:szCs w:val="24"/>
        </w:rPr>
        <w:t xml:space="preserve"> (Accessed on 3 December 2023)</w:t>
      </w:r>
    </w:p>
    <w:p w14:paraId="3F9E1A2B" w14:textId="77777777" w:rsidR="00F300D0" w:rsidRDefault="00F300D0" w:rsidP="00EA28F1">
      <w:pPr>
        <w:keepNext/>
        <w:spacing w:before="240" w:after="60"/>
        <w:ind w:right="237"/>
        <w:jc w:val="both"/>
        <w:rPr>
          <w:sz w:val="24"/>
          <w:szCs w:val="24"/>
        </w:rPr>
      </w:pPr>
    </w:p>
    <w:p w14:paraId="39943131" w14:textId="77777777" w:rsidR="004521A0" w:rsidRDefault="004521A0" w:rsidP="00EA28F1">
      <w:pPr>
        <w:keepNext/>
        <w:spacing w:before="240" w:after="60"/>
        <w:ind w:right="237"/>
        <w:jc w:val="both"/>
      </w:pPr>
    </w:p>
    <w:sectPr w:rsidR="004521A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27CDF" w14:textId="77777777" w:rsidR="00CF10A7" w:rsidRDefault="00CF10A7">
      <w:r>
        <w:separator/>
      </w:r>
    </w:p>
  </w:endnote>
  <w:endnote w:type="continuationSeparator" w:id="0">
    <w:p w14:paraId="2A3470D2" w14:textId="77777777" w:rsidR="00CF10A7" w:rsidRDefault="00CF10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7A82D" w14:textId="77777777" w:rsidR="00CF10A7" w:rsidRDefault="00CF10A7">
      <w:r>
        <w:separator/>
      </w:r>
    </w:p>
  </w:footnote>
  <w:footnote w:type="continuationSeparator" w:id="0">
    <w:p w14:paraId="06C68BB9" w14:textId="77777777" w:rsidR="00CF10A7" w:rsidRDefault="00CF10A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066DFF0"/>
    <w:lvl w:ilvl="0" w:tplc="73E0FBDA">
      <w:start w:val="1"/>
      <w:numFmt w:val="decimal"/>
      <w:lvlText w:val="%1."/>
      <w:lvlJc w:val="left"/>
      <w:pPr>
        <w:ind w:left="720" w:hanging="360"/>
      </w:pPr>
    </w:lvl>
    <w:lvl w:ilvl="1" w:tplc="9BB294EC">
      <w:start w:val="1"/>
      <w:numFmt w:val="lowerLetter"/>
      <w:lvlText w:val="%2."/>
      <w:lvlJc w:val="left"/>
      <w:pPr>
        <w:ind w:left="1440" w:hanging="360"/>
      </w:pPr>
    </w:lvl>
    <w:lvl w:ilvl="2" w:tplc="96F4AD1A">
      <w:start w:val="1"/>
      <w:numFmt w:val="lowerRoman"/>
      <w:lvlText w:val="%3."/>
      <w:lvlJc w:val="right"/>
      <w:pPr>
        <w:ind w:left="2160" w:hanging="180"/>
      </w:pPr>
    </w:lvl>
    <w:lvl w:ilvl="3" w:tplc="46F0F494">
      <w:start w:val="1"/>
      <w:numFmt w:val="decimal"/>
      <w:lvlText w:val="%4."/>
      <w:lvlJc w:val="left"/>
      <w:pPr>
        <w:ind w:left="2880" w:hanging="360"/>
      </w:pPr>
    </w:lvl>
    <w:lvl w:ilvl="4" w:tplc="5EC08258">
      <w:start w:val="1"/>
      <w:numFmt w:val="lowerLetter"/>
      <w:lvlText w:val="%5."/>
      <w:lvlJc w:val="left"/>
      <w:pPr>
        <w:ind w:left="3600" w:hanging="360"/>
      </w:pPr>
    </w:lvl>
    <w:lvl w:ilvl="5" w:tplc="01CC306E">
      <w:start w:val="1"/>
      <w:numFmt w:val="lowerRoman"/>
      <w:lvlText w:val="%6."/>
      <w:lvlJc w:val="right"/>
      <w:pPr>
        <w:ind w:left="4320" w:hanging="180"/>
      </w:pPr>
    </w:lvl>
    <w:lvl w:ilvl="6" w:tplc="6F8CB142">
      <w:start w:val="1"/>
      <w:numFmt w:val="decimal"/>
      <w:lvlText w:val="%7."/>
      <w:lvlJc w:val="left"/>
      <w:pPr>
        <w:ind w:left="5040" w:hanging="360"/>
      </w:pPr>
    </w:lvl>
    <w:lvl w:ilvl="7" w:tplc="BADC43F6">
      <w:start w:val="1"/>
      <w:numFmt w:val="lowerLetter"/>
      <w:lvlText w:val="%8."/>
      <w:lvlJc w:val="left"/>
      <w:pPr>
        <w:ind w:left="5760" w:hanging="360"/>
      </w:pPr>
    </w:lvl>
    <w:lvl w:ilvl="8" w:tplc="C638E3B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BA76E0BC"/>
    <w:lvl w:ilvl="0" w:tplc="4C2C8F98">
      <w:start w:val="1"/>
      <w:numFmt w:val="decimal"/>
      <w:lvlText w:val="%1."/>
      <w:lvlJc w:val="left"/>
      <w:pPr>
        <w:ind w:left="720" w:hanging="360"/>
      </w:pPr>
    </w:lvl>
    <w:lvl w:ilvl="1" w:tplc="3A867E8A">
      <w:start w:val="1"/>
      <w:numFmt w:val="decimal"/>
      <w:lvlText w:val="%2."/>
      <w:lvlJc w:val="left"/>
      <w:pPr>
        <w:ind w:left="1440" w:hanging="360"/>
      </w:pPr>
    </w:lvl>
    <w:lvl w:ilvl="2" w:tplc="F5044F80">
      <w:start w:val="1"/>
      <w:numFmt w:val="lowerRoman"/>
      <w:lvlText w:val="%3."/>
      <w:lvlJc w:val="right"/>
      <w:pPr>
        <w:ind w:left="2160" w:hanging="180"/>
      </w:pPr>
    </w:lvl>
    <w:lvl w:ilvl="3" w:tplc="5D0626C2">
      <w:start w:val="1"/>
      <w:numFmt w:val="decimal"/>
      <w:lvlText w:val="%4."/>
      <w:lvlJc w:val="left"/>
      <w:pPr>
        <w:ind w:left="2880" w:hanging="360"/>
      </w:pPr>
    </w:lvl>
    <w:lvl w:ilvl="4" w:tplc="5F1C3B04">
      <w:start w:val="1"/>
      <w:numFmt w:val="lowerLetter"/>
      <w:lvlText w:val="%5."/>
      <w:lvlJc w:val="left"/>
      <w:pPr>
        <w:ind w:left="3600" w:hanging="360"/>
      </w:pPr>
    </w:lvl>
    <w:lvl w:ilvl="5" w:tplc="5F6C3624">
      <w:start w:val="1"/>
      <w:numFmt w:val="lowerRoman"/>
      <w:lvlText w:val="%6."/>
      <w:lvlJc w:val="right"/>
      <w:pPr>
        <w:ind w:left="4320" w:hanging="180"/>
      </w:pPr>
    </w:lvl>
    <w:lvl w:ilvl="6" w:tplc="8D961B96">
      <w:start w:val="1"/>
      <w:numFmt w:val="decimal"/>
      <w:lvlText w:val="%7."/>
      <w:lvlJc w:val="left"/>
      <w:pPr>
        <w:ind w:left="5040" w:hanging="360"/>
      </w:pPr>
    </w:lvl>
    <w:lvl w:ilvl="7" w:tplc="D2D0F634">
      <w:start w:val="1"/>
      <w:numFmt w:val="lowerLetter"/>
      <w:lvlText w:val="%8."/>
      <w:lvlJc w:val="left"/>
      <w:pPr>
        <w:ind w:left="5760" w:hanging="360"/>
      </w:pPr>
    </w:lvl>
    <w:lvl w:ilvl="8" w:tplc="DC543AC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8632684">
    <w:abstractNumId w:val="47"/>
  </w:num>
  <w:num w:numId="2" w16cid:durableId="150490722">
    <w:abstractNumId w:val="10"/>
  </w:num>
  <w:num w:numId="3" w16cid:durableId="1604650185">
    <w:abstractNumId w:val="1"/>
    <w:lvlOverride w:ilvl="0">
      <w:lvl w:ilvl="0">
        <w:start w:val="1"/>
        <w:numFmt w:val="bullet"/>
        <w:lvlText w:val=""/>
        <w:lvlJc w:val="left"/>
        <w:pPr>
          <w:ind w:left="720" w:hanging="360"/>
        </w:pPr>
        <w:rPr>
          <w:rFonts w:ascii="Symbol" w:hAnsi="Symbol" w:hint="default"/>
        </w:rPr>
      </w:lvl>
    </w:lvlOverride>
  </w:num>
  <w:num w:numId="4" w16cid:durableId="1249198343">
    <w:abstractNumId w:val="22"/>
  </w:num>
  <w:num w:numId="5" w16cid:durableId="245502834">
    <w:abstractNumId w:val="44"/>
  </w:num>
  <w:num w:numId="6" w16cid:durableId="58212375">
    <w:abstractNumId w:val="46"/>
  </w:num>
  <w:num w:numId="7" w16cid:durableId="231431598">
    <w:abstractNumId w:val="34"/>
  </w:num>
  <w:num w:numId="8" w16cid:durableId="212012121">
    <w:abstractNumId w:val="32"/>
  </w:num>
  <w:num w:numId="9" w16cid:durableId="1741950801">
    <w:abstractNumId w:val="29"/>
  </w:num>
  <w:num w:numId="10" w16cid:durableId="1018626910">
    <w:abstractNumId w:val="30"/>
  </w:num>
  <w:num w:numId="11" w16cid:durableId="957951425">
    <w:abstractNumId w:val="9"/>
  </w:num>
  <w:num w:numId="12" w16cid:durableId="1773361308">
    <w:abstractNumId w:val="33"/>
  </w:num>
  <w:num w:numId="13" w16cid:durableId="463936331">
    <w:abstractNumId w:val="17"/>
  </w:num>
  <w:num w:numId="14" w16cid:durableId="2037004577">
    <w:abstractNumId w:val="16"/>
  </w:num>
  <w:num w:numId="15" w16cid:durableId="732851168">
    <w:abstractNumId w:val="26"/>
  </w:num>
  <w:num w:numId="16" w16cid:durableId="1672021183">
    <w:abstractNumId w:val="7"/>
  </w:num>
  <w:num w:numId="17" w16cid:durableId="687875098">
    <w:abstractNumId w:val="25"/>
  </w:num>
  <w:num w:numId="18" w16cid:durableId="2016882744">
    <w:abstractNumId w:val="15"/>
  </w:num>
  <w:num w:numId="19" w16cid:durableId="332534625">
    <w:abstractNumId w:val="13"/>
  </w:num>
  <w:num w:numId="20" w16cid:durableId="49842983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480580060">
    <w:abstractNumId w:val="23"/>
  </w:num>
  <w:num w:numId="22" w16cid:durableId="1949964894">
    <w:abstractNumId w:val="18"/>
  </w:num>
  <w:num w:numId="23" w16cid:durableId="376273840">
    <w:abstractNumId w:val="14"/>
  </w:num>
  <w:num w:numId="24" w16cid:durableId="2040542880">
    <w:abstractNumId w:val="11"/>
  </w:num>
  <w:num w:numId="25" w16cid:durableId="1490440831">
    <w:abstractNumId w:val="27"/>
  </w:num>
  <w:num w:numId="26" w16cid:durableId="2108495659">
    <w:abstractNumId w:val="19"/>
  </w:num>
  <w:num w:numId="27" w16cid:durableId="748581402">
    <w:abstractNumId w:val="40"/>
  </w:num>
  <w:num w:numId="28" w16cid:durableId="1539588592">
    <w:abstractNumId w:val="35"/>
  </w:num>
  <w:num w:numId="29" w16cid:durableId="905652825">
    <w:abstractNumId w:val="39"/>
  </w:num>
  <w:num w:numId="30" w16cid:durableId="967663032">
    <w:abstractNumId w:val="20"/>
  </w:num>
  <w:num w:numId="31" w16cid:durableId="355623340">
    <w:abstractNumId w:val="42"/>
  </w:num>
  <w:num w:numId="32" w16cid:durableId="189339524">
    <w:abstractNumId w:val="31"/>
  </w:num>
  <w:num w:numId="33" w16cid:durableId="778139818">
    <w:abstractNumId w:val="12"/>
  </w:num>
  <w:num w:numId="34" w16cid:durableId="1006636436">
    <w:abstractNumId w:val="43"/>
  </w:num>
  <w:num w:numId="35" w16cid:durableId="1604723659">
    <w:abstractNumId w:val="38"/>
  </w:num>
  <w:num w:numId="36" w16cid:durableId="1977643932">
    <w:abstractNumId w:val="4"/>
  </w:num>
  <w:num w:numId="37" w16cid:durableId="968435243">
    <w:abstractNumId w:val="45"/>
  </w:num>
  <w:num w:numId="38" w16cid:durableId="761101739">
    <w:abstractNumId w:val="41"/>
  </w:num>
  <w:num w:numId="39" w16cid:durableId="688802689">
    <w:abstractNumId w:val="36"/>
  </w:num>
  <w:num w:numId="40" w16cid:durableId="917246962">
    <w:abstractNumId w:val="37"/>
  </w:num>
  <w:num w:numId="41" w16cid:durableId="142895210">
    <w:abstractNumId w:val="3"/>
  </w:num>
  <w:num w:numId="42" w16cid:durableId="581597817">
    <w:abstractNumId w:val="5"/>
  </w:num>
  <w:num w:numId="43" w16cid:durableId="1422141815">
    <w:abstractNumId w:val="24"/>
  </w:num>
  <w:num w:numId="44" w16cid:durableId="949238914">
    <w:abstractNumId w:val="6"/>
  </w:num>
  <w:num w:numId="45" w16cid:durableId="718895822">
    <w:abstractNumId w:val="2"/>
  </w:num>
  <w:num w:numId="46" w16cid:durableId="850148719">
    <w:abstractNumId w:val="0"/>
  </w:num>
  <w:num w:numId="47" w16cid:durableId="1196238217">
    <w:abstractNumId w:val="21"/>
  </w:num>
  <w:num w:numId="48" w16cid:durableId="1998681147">
    <w:abstractNumId w:val="28"/>
  </w:num>
  <w:num w:numId="49" w16cid:durableId="205635245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CCB"/>
    <w:rsid w:val="00020EEC"/>
    <w:rsid w:val="00025650"/>
    <w:rsid w:val="00026FAB"/>
    <w:rsid w:val="00027B1F"/>
    <w:rsid w:val="0003088B"/>
    <w:rsid w:val="000325D9"/>
    <w:rsid w:val="000372B2"/>
    <w:rsid w:val="0003783A"/>
    <w:rsid w:val="0004079F"/>
    <w:rsid w:val="00045B87"/>
    <w:rsid w:val="00045C07"/>
    <w:rsid w:val="00055D43"/>
    <w:rsid w:val="00056FAC"/>
    <w:rsid w:val="00057751"/>
    <w:rsid w:val="00062E39"/>
    <w:rsid w:val="0006580E"/>
    <w:rsid w:val="00080E58"/>
    <w:rsid w:val="00083D99"/>
    <w:rsid w:val="00084428"/>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B8D"/>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26AF"/>
    <w:rsid w:val="001347F8"/>
    <w:rsid w:val="00137BB5"/>
    <w:rsid w:val="00137E05"/>
    <w:rsid w:val="001447F6"/>
    <w:rsid w:val="00147DE3"/>
    <w:rsid w:val="00150794"/>
    <w:rsid w:val="001608C4"/>
    <w:rsid w:val="00171418"/>
    <w:rsid w:val="00190913"/>
    <w:rsid w:val="001961CF"/>
    <w:rsid w:val="0019798F"/>
    <w:rsid w:val="001A59BB"/>
    <w:rsid w:val="001A6A51"/>
    <w:rsid w:val="001A79C4"/>
    <w:rsid w:val="001B16A0"/>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8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53CD"/>
    <w:rsid w:val="00446792"/>
    <w:rsid w:val="00446F80"/>
    <w:rsid w:val="00450C83"/>
    <w:rsid w:val="00451851"/>
    <w:rsid w:val="004521A0"/>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97EDA"/>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17927"/>
    <w:rsid w:val="00521123"/>
    <w:rsid w:val="00521221"/>
    <w:rsid w:val="00536FA9"/>
    <w:rsid w:val="005414F4"/>
    <w:rsid w:val="00546187"/>
    <w:rsid w:val="005463F1"/>
    <w:rsid w:val="00551D17"/>
    <w:rsid w:val="00557D77"/>
    <w:rsid w:val="00562EAA"/>
    <w:rsid w:val="00563B58"/>
    <w:rsid w:val="005640C4"/>
    <w:rsid w:val="00564C53"/>
    <w:rsid w:val="0056684C"/>
    <w:rsid w:val="0056746B"/>
    <w:rsid w:val="00574A0C"/>
    <w:rsid w:val="00576E4C"/>
    <w:rsid w:val="0057780F"/>
    <w:rsid w:val="00581E0A"/>
    <w:rsid w:val="00582870"/>
    <w:rsid w:val="00586D89"/>
    <w:rsid w:val="005916B8"/>
    <w:rsid w:val="00593D00"/>
    <w:rsid w:val="005A1B4C"/>
    <w:rsid w:val="005A1BA3"/>
    <w:rsid w:val="005A20B1"/>
    <w:rsid w:val="005A545C"/>
    <w:rsid w:val="005C1567"/>
    <w:rsid w:val="005C6CE5"/>
    <w:rsid w:val="005C753D"/>
    <w:rsid w:val="005C76DE"/>
    <w:rsid w:val="005D3F07"/>
    <w:rsid w:val="005D583E"/>
    <w:rsid w:val="005E13EA"/>
    <w:rsid w:val="005E53BD"/>
    <w:rsid w:val="00606E27"/>
    <w:rsid w:val="006108C9"/>
    <w:rsid w:val="00615C7E"/>
    <w:rsid w:val="0062158D"/>
    <w:rsid w:val="00624254"/>
    <w:rsid w:val="00630F39"/>
    <w:rsid w:val="00631128"/>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73F"/>
    <w:rsid w:val="006D5970"/>
    <w:rsid w:val="006E481E"/>
    <w:rsid w:val="006E795F"/>
    <w:rsid w:val="00700249"/>
    <w:rsid w:val="0070604C"/>
    <w:rsid w:val="007069CD"/>
    <w:rsid w:val="00710D69"/>
    <w:rsid w:val="007110E6"/>
    <w:rsid w:val="00711A70"/>
    <w:rsid w:val="00712E6F"/>
    <w:rsid w:val="00712E90"/>
    <w:rsid w:val="00713B7E"/>
    <w:rsid w:val="0071499F"/>
    <w:rsid w:val="007165D4"/>
    <w:rsid w:val="007203DA"/>
    <w:rsid w:val="007204AE"/>
    <w:rsid w:val="0072678F"/>
    <w:rsid w:val="00727C4C"/>
    <w:rsid w:val="00734809"/>
    <w:rsid w:val="0073644B"/>
    <w:rsid w:val="007406E1"/>
    <w:rsid w:val="00743E40"/>
    <w:rsid w:val="00751263"/>
    <w:rsid w:val="007522D6"/>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4DBC"/>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3AB5"/>
    <w:rsid w:val="008D5813"/>
    <w:rsid w:val="008D634E"/>
    <w:rsid w:val="008D778A"/>
    <w:rsid w:val="008E7418"/>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7D86"/>
    <w:rsid w:val="00A906AA"/>
    <w:rsid w:val="00A94C5E"/>
    <w:rsid w:val="00AA241A"/>
    <w:rsid w:val="00AA252C"/>
    <w:rsid w:val="00AA666E"/>
    <w:rsid w:val="00AB0B6D"/>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2CF"/>
    <w:rsid w:val="00B137BE"/>
    <w:rsid w:val="00B17FA0"/>
    <w:rsid w:val="00B22F99"/>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1480"/>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97217"/>
    <w:rsid w:val="00CA2745"/>
    <w:rsid w:val="00CA3593"/>
    <w:rsid w:val="00CA7F4F"/>
    <w:rsid w:val="00CB258E"/>
    <w:rsid w:val="00CB3C8F"/>
    <w:rsid w:val="00CB75CE"/>
    <w:rsid w:val="00CC02F1"/>
    <w:rsid w:val="00CC11A6"/>
    <w:rsid w:val="00CC135E"/>
    <w:rsid w:val="00CD5D3F"/>
    <w:rsid w:val="00CD6155"/>
    <w:rsid w:val="00CF10A7"/>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67743"/>
    <w:rsid w:val="00D70239"/>
    <w:rsid w:val="00D71201"/>
    <w:rsid w:val="00D720C7"/>
    <w:rsid w:val="00D77A04"/>
    <w:rsid w:val="00D81D06"/>
    <w:rsid w:val="00D8652C"/>
    <w:rsid w:val="00D876E6"/>
    <w:rsid w:val="00D95B10"/>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877D9"/>
    <w:rsid w:val="00E9107A"/>
    <w:rsid w:val="00E91F62"/>
    <w:rsid w:val="00E929FD"/>
    <w:rsid w:val="00E93240"/>
    <w:rsid w:val="00E9479B"/>
    <w:rsid w:val="00EA28F1"/>
    <w:rsid w:val="00EA4D48"/>
    <w:rsid w:val="00EB2173"/>
    <w:rsid w:val="00EB62E6"/>
    <w:rsid w:val="00ED1B30"/>
    <w:rsid w:val="00ED250E"/>
    <w:rsid w:val="00ED6535"/>
    <w:rsid w:val="00EE0784"/>
    <w:rsid w:val="00EE1AC1"/>
    <w:rsid w:val="00EE39D6"/>
    <w:rsid w:val="00EE413C"/>
    <w:rsid w:val="00EE52AD"/>
    <w:rsid w:val="00F01F92"/>
    <w:rsid w:val="00F10A08"/>
    <w:rsid w:val="00F139CF"/>
    <w:rsid w:val="00F22AC5"/>
    <w:rsid w:val="00F254D1"/>
    <w:rsid w:val="00F300D0"/>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521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crime-info/hate-crim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police-use-of-protective-measures-in-cases-of-violence-against-women-and-girls-a-duty-to-protect-police-use-of-protective-measures-in-cases-involving-violence-against-women-and-gir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hate-crime/responding-hate" TargetMode="External"/><Relationship Id="rId25" Type="http://schemas.openxmlformats.org/officeDocument/2006/relationships/hyperlink" Target="https://thamesvalleypartnership.org.uk/restorative-justice"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arrest-and-other-positive-approaches" TargetMode="External"/><Relationship Id="rId20" Type="http://schemas.openxmlformats.org/officeDocument/2006/relationships/hyperlink" Target="https://www.gov.uk/government/publications/hate-crime-action-plan-201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uth-wales.police.uk/advice/advice-and-information/hco/hate-crime/how-to-report-hate-crime/"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gov.uk/government/statistics/hate-crime-england-and-wales-2021-to-2022/hate-crime-england-and-wales-2021-to-2022"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cps.gov.uk/legal-guidance/restorative-jus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sentencingcouncil.org.uk/explanatory-material/magistrates-court/item/hate-crime/3-approach-to-sentenc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1142</TotalTime>
  <Pages>21</Pages>
  <Words>5561</Words>
  <Characters>33417</Characters>
  <Application>Microsoft Office Word</Application>
  <DocSecurity>0</DocSecurity>
  <Lines>278</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Mbunya,Stephen swp8263</cp:lastModifiedBy>
  <cp:revision>9</cp:revision>
  <cp:lastPrinted>2014-08-26T08:55:00Z</cp:lastPrinted>
  <dcterms:created xsi:type="dcterms:W3CDTF">2023-10-30T05:15:00Z</dcterms:created>
  <dcterms:modified xsi:type="dcterms:W3CDTF">2024-01-02T23:19:00Z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2023-10-30T05:12:17Z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70e910b1-f790-4369-91d6-619196714fe5</vt:lpwstr>
  </property>
  <property fmtid="{D5CDD505-2E9C-101B-9397-08002B2CF9AE}" pid="9" name="MSIP_Label_66cf8fe5-b7b7-4df7-b38d-1c61ac2f6639_ContentBits">
    <vt:lpwstr>0</vt:lpwstr>
  </property>
</Properties>
</file>