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jc w:val="center"/>
        <w:rPr>
          <w:b w:val="1"/>
          <w:sz w:val="48"/>
          <w:szCs w:val="48"/>
        </w:rPr>
      </w:pPr>
      <w:r w:rsidDel="00000000" w:rsidR="00000000" w:rsidRPr="00000000">
        <w:rPr>
          <w:b w:val="1"/>
          <w:sz w:val="48"/>
          <w:szCs w:val="48"/>
          <w:rtl w:val="0"/>
        </w:rPr>
        <w:t xml:space="preserve">Accounting Fundamentals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sectPr>
          <w:footerReference r:id="rId6" w:type="default"/>
          <w:pgSz w:h="16839" w:w="11907" w:orient="portrait"/>
          <w:pgMar w:bottom="1440" w:top="1440" w:left="1440" w:right="1440" w:header="720" w:footer="720"/>
          <w:pgNumType w:start="1"/>
          <w:titlePg w:val="1"/>
        </w:sectPr>
      </w:pPr>
      <w:r w:rsidDel="00000000" w:rsidR="00000000" w:rsidRPr="00000000">
        <w:rPr>
          <w:rtl w:val="0"/>
        </w:rPr>
      </w:r>
    </w:p>
    <w:p w:rsidR="00000000" w:rsidDel="00000000" w:rsidP="00000000" w:rsidRDefault="00000000" w:rsidRPr="00000000" w14:paraId="00000016">
      <w:pPr>
        <w:jc w:val="center"/>
        <w:rPr>
          <w:b w:val="1"/>
          <w:sz w:val="32"/>
          <w:szCs w:val="32"/>
        </w:rPr>
      </w:pPr>
      <w:r w:rsidDel="00000000" w:rsidR="00000000" w:rsidRPr="00000000">
        <w:rPr>
          <w:b w:val="1"/>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Question 1(a): Preparation of Financial Statements for Wales Plc</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Question 1(b): Universal Balance of Financial Position</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Question 2(a): Calculation of Ratios for Sweets Plc</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Question 2(b): Elaboration of Financial Performance and Position of Sweets Plc</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jc w:val="center"/>
        <w:rPr>
          <w:b w:val="1"/>
          <w:sz w:val="32"/>
          <w:szCs w:val="32"/>
        </w:rPr>
      </w:pPr>
      <w:r w:rsidDel="00000000" w:rsidR="00000000" w:rsidRPr="00000000">
        <w:rPr>
          <w:rtl w:val="0"/>
        </w:rPr>
      </w:r>
    </w:p>
    <w:p w:rsidR="00000000" w:rsidDel="00000000" w:rsidP="00000000" w:rsidRDefault="00000000" w:rsidRPr="00000000" w14:paraId="0000001E">
      <w:pPr>
        <w:jc w:val="center"/>
        <w:rPr>
          <w:b w:val="1"/>
          <w:sz w:val="32"/>
          <w:szCs w:val="32"/>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sectPr>
          <w:type w:val="nextPage"/>
          <w:pgSz w:h="16839" w:w="11907"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21">
      <w:pPr>
        <w:pStyle w:val="Heading1"/>
        <w:spacing w:before="0" w:lineRule="auto"/>
        <w:rPr/>
        <w:sectPr>
          <w:type w:val="continuous"/>
          <w:pgSz w:h="16839" w:w="11907"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22">
      <w:pPr>
        <w:pStyle w:val="Heading1"/>
        <w:spacing w:before="0" w:lineRule="auto"/>
        <w:rPr/>
      </w:pPr>
      <w:bookmarkStart w:colFirst="0" w:colLast="0" w:name="_gjdgxs" w:id="0"/>
      <w:bookmarkEnd w:id="0"/>
      <w:r w:rsidDel="00000000" w:rsidR="00000000" w:rsidRPr="00000000">
        <w:rPr>
          <w:rtl w:val="0"/>
        </w:rPr>
        <w:t xml:space="preserve">Question 1(a): Preparation of Financial Statements for Wales Plc</w:t>
      </w:r>
    </w:p>
    <w:p w:rsidR="00000000" w:rsidDel="00000000" w:rsidP="00000000" w:rsidRDefault="00000000" w:rsidRPr="00000000" w14:paraId="00000023">
      <w:pPr>
        <w:spacing w:after="0" w:lineRule="auto"/>
        <w:jc w:val="center"/>
        <w:rPr/>
      </w:pPr>
      <w:r w:rsidDel="00000000" w:rsidR="00000000" w:rsidRPr="00000000">
        <w:rPr>
          <w:rtl w:val="0"/>
        </w:rPr>
        <w:t xml:space="preserve">Wales Plc</w:t>
      </w:r>
    </w:p>
    <w:p w:rsidR="00000000" w:rsidDel="00000000" w:rsidP="00000000" w:rsidRDefault="00000000" w:rsidRPr="00000000" w14:paraId="00000024">
      <w:pPr>
        <w:spacing w:after="0" w:lineRule="auto"/>
        <w:jc w:val="center"/>
        <w:rPr/>
      </w:pPr>
      <w:r w:rsidDel="00000000" w:rsidR="00000000" w:rsidRPr="00000000">
        <w:rPr>
          <w:rtl w:val="0"/>
        </w:rPr>
        <w:t xml:space="preserve">Statement of Financial Performance</w:t>
      </w:r>
    </w:p>
    <w:p w:rsidR="00000000" w:rsidDel="00000000" w:rsidP="00000000" w:rsidRDefault="00000000" w:rsidRPr="00000000" w14:paraId="00000025">
      <w:pPr>
        <w:spacing w:after="0" w:lineRule="auto"/>
        <w:jc w:val="center"/>
        <w:rPr/>
      </w:pPr>
      <w:r w:rsidDel="00000000" w:rsidR="00000000" w:rsidRPr="00000000">
        <w:rPr>
          <w:rtl w:val="0"/>
        </w:rPr>
        <w:t xml:space="preserve">For the year ended on 31</w:t>
      </w:r>
      <w:r w:rsidDel="00000000" w:rsidR="00000000" w:rsidRPr="00000000">
        <w:rPr>
          <w:vertAlign w:val="superscript"/>
          <w:rtl w:val="0"/>
        </w:rPr>
        <w:t xml:space="preserve">st</w:t>
      </w:r>
      <w:r w:rsidDel="00000000" w:rsidR="00000000" w:rsidRPr="00000000">
        <w:rPr>
          <w:rtl w:val="0"/>
        </w:rPr>
        <w:t xml:space="preserve"> December 2021</w:t>
      </w:r>
    </w:p>
    <w:p w:rsidR="00000000" w:rsidDel="00000000" w:rsidP="00000000" w:rsidRDefault="00000000" w:rsidRPr="00000000" w14:paraId="00000026">
      <w:pPr>
        <w:spacing w:after="0" w:lineRule="auto"/>
        <w:jc w:val="center"/>
        <w:rPr/>
      </w:pPr>
      <w:r w:rsidDel="00000000" w:rsidR="00000000" w:rsidRPr="00000000">
        <w:rPr>
          <w:rtl w:val="0"/>
        </w:rPr>
        <w:t xml:space="preserve">(Amounts in </w:t>
      </w:r>
      <w:r w:rsidDel="00000000" w:rsidR="00000000" w:rsidRPr="00000000">
        <w:rPr>
          <w:color w:val="000000"/>
          <w:rtl w:val="0"/>
        </w:rPr>
        <w:t xml:space="preserve">£)</w:t>
      </w:r>
      <w:r w:rsidDel="00000000" w:rsidR="00000000" w:rsidRPr="00000000">
        <w:rPr>
          <w:rtl w:val="0"/>
        </w:rPr>
      </w:r>
    </w:p>
    <w:tbl>
      <w:tblPr>
        <w:tblStyle w:val="Table1"/>
        <w:tblW w:w="8131.0" w:type="dxa"/>
        <w:jc w:val="center"/>
        <w:tblLayout w:type="fixed"/>
        <w:tblLook w:val="0400"/>
      </w:tblPr>
      <w:tblGrid>
        <w:gridCol w:w="4418"/>
        <w:gridCol w:w="1422"/>
        <w:gridCol w:w="1110"/>
        <w:gridCol w:w="1181"/>
        <w:tblGridChange w:id="0">
          <w:tblGrid>
            <w:gridCol w:w="4418"/>
            <w:gridCol w:w="1422"/>
            <w:gridCol w:w="1110"/>
            <w:gridCol w:w="1181"/>
          </w:tblGrid>
        </w:tblGridChange>
      </w:tblGrid>
      <w:tr>
        <w:trPr>
          <w:cantSplit w:val="0"/>
          <w:trHeight w:val="320" w:hRule="atLeast"/>
          <w:tblHeader w:val="0"/>
        </w:trPr>
        <w:tc>
          <w:tcPr>
            <w:tcBorders>
              <w:top w:color="000000" w:space="0" w:sz="4" w:val="single"/>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27">
            <w:pPr>
              <w:spacing w:after="0" w:line="240" w:lineRule="auto"/>
              <w:jc w:val="left"/>
              <w:rPr>
                <w:color w:val="000000"/>
              </w:rPr>
            </w:pPr>
            <w:r w:rsidDel="00000000" w:rsidR="00000000" w:rsidRPr="00000000">
              <w:rPr>
                <w:color w:val="000000"/>
                <w:rtl w:val="0"/>
              </w:rPr>
              <w:t xml:space="preserve">Sales</w:t>
            </w:r>
          </w:p>
        </w:tc>
        <w:tc>
          <w:tcPr>
            <w:tcBorders>
              <w:top w:color="000000" w:space="0" w:sz="4" w:val="single"/>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28">
            <w:pPr>
              <w:spacing w:after="0" w:line="240" w:lineRule="auto"/>
              <w:jc w:val="left"/>
              <w:rPr>
                <w:color w:val="000000"/>
              </w:rPr>
            </w:pPr>
            <w:r w:rsidDel="00000000" w:rsidR="00000000" w:rsidRPr="00000000">
              <w:rPr>
                <w:color w:val="000000"/>
                <w:rtl w:val="0"/>
              </w:rPr>
              <w:t xml:space="preserve"> </w:t>
            </w:r>
          </w:p>
        </w:tc>
        <w:tc>
          <w:tcPr>
            <w:tcBorders>
              <w:top w:color="000000" w:space="0" w:sz="4" w:val="single"/>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29">
            <w:pPr>
              <w:spacing w:after="0" w:line="240" w:lineRule="auto"/>
              <w:jc w:val="right"/>
              <w:rPr>
                <w:color w:val="000000"/>
              </w:rPr>
            </w:pPr>
            <w:r w:rsidDel="00000000" w:rsidR="00000000" w:rsidRPr="00000000">
              <w:rPr>
                <w:color w:val="000000"/>
                <w:rtl w:val="0"/>
              </w:rPr>
              <w:t xml:space="preserve">800,000</w:t>
            </w:r>
          </w:p>
        </w:tc>
        <w:tc>
          <w:tcPr>
            <w:tcBorders>
              <w:top w:color="000000" w:space="0" w:sz="4" w:val="single"/>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2A">
            <w:pPr>
              <w:spacing w:after="0" w:line="240" w:lineRule="auto"/>
              <w:jc w:val="left"/>
              <w:rPr>
                <w:color w:val="000000"/>
              </w:rPr>
            </w:pPr>
            <w:r w:rsidDel="00000000" w:rsidR="00000000" w:rsidRPr="00000000">
              <w:rPr>
                <w:color w:val="000000"/>
                <w:rtl w:val="0"/>
              </w:rPr>
              <w:t xml:space="preserve"> </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2B">
            <w:pPr>
              <w:spacing w:after="0" w:line="240" w:lineRule="auto"/>
              <w:jc w:val="left"/>
              <w:rPr>
                <w:color w:val="000000"/>
              </w:rPr>
            </w:pPr>
            <w:r w:rsidDel="00000000" w:rsidR="00000000" w:rsidRPr="00000000">
              <w:rPr>
                <w:color w:val="000000"/>
                <w:rtl w:val="0"/>
              </w:rPr>
              <w:t xml:space="preserve">Add: Unrecorded sales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2C">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2D">
            <w:pPr>
              <w:spacing w:after="0" w:line="240" w:lineRule="auto"/>
              <w:jc w:val="right"/>
              <w:rPr>
                <w:color w:val="000000"/>
              </w:rPr>
            </w:pPr>
            <w:r w:rsidDel="00000000" w:rsidR="00000000" w:rsidRPr="00000000">
              <w:rPr>
                <w:color w:val="000000"/>
                <w:rtl w:val="0"/>
              </w:rPr>
              <w:t xml:space="preserve">980</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2E">
            <w:pPr>
              <w:spacing w:after="0" w:line="240" w:lineRule="auto"/>
              <w:jc w:val="left"/>
              <w:rPr>
                <w:color w:val="000000"/>
              </w:rPr>
            </w:pPr>
            <w:r w:rsidDel="00000000" w:rsidR="00000000" w:rsidRPr="00000000">
              <w:rPr>
                <w:color w:val="000000"/>
                <w:rtl w:val="0"/>
              </w:rPr>
              <w:t xml:space="preserve"> </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2F">
            <w:pPr>
              <w:spacing w:after="0" w:line="240" w:lineRule="auto"/>
              <w:jc w:val="left"/>
              <w:rPr>
                <w:b w:val="1"/>
                <w:color w:val="000000"/>
              </w:rPr>
            </w:pPr>
            <w:r w:rsidDel="00000000" w:rsidR="00000000" w:rsidRPr="00000000">
              <w:rPr>
                <w:b w:val="1"/>
                <w:color w:val="000000"/>
                <w:rtl w:val="0"/>
              </w:rPr>
              <w:t xml:space="preserve">Total sales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30">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31">
            <w:pPr>
              <w:spacing w:after="0" w:line="240" w:lineRule="auto"/>
              <w:jc w:val="right"/>
              <w:rPr>
                <w:b w:val="1"/>
                <w:color w:val="000000"/>
              </w:rPr>
            </w:pPr>
            <w:r w:rsidDel="00000000" w:rsidR="00000000" w:rsidRPr="00000000">
              <w:rPr>
                <w:b w:val="1"/>
                <w:color w:val="000000"/>
                <w:rtl w:val="0"/>
              </w:rPr>
              <w:t xml:space="preserve">800,980</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32">
            <w:pPr>
              <w:spacing w:after="0" w:line="240" w:lineRule="auto"/>
              <w:jc w:val="left"/>
              <w:rPr>
                <w:b w:val="1"/>
                <w:color w:val="000000"/>
              </w:rPr>
            </w:pPr>
            <w:r w:rsidDel="00000000" w:rsidR="00000000" w:rsidRPr="00000000">
              <w:rPr>
                <w:b w:val="1"/>
                <w:color w:val="000000"/>
                <w:rtl w:val="0"/>
              </w:rPr>
              <w:t xml:space="preserve"> </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33">
            <w:pPr>
              <w:spacing w:after="0" w:line="240" w:lineRule="auto"/>
              <w:jc w:val="left"/>
              <w:rPr>
                <w:color w:val="000000"/>
              </w:rPr>
            </w:pPr>
            <w:r w:rsidDel="00000000" w:rsidR="00000000" w:rsidRPr="00000000">
              <w:rPr>
                <w:color w:val="000000"/>
                <w:rtl w:val="0"/>
              </w:rPr>
              <w:t xml:space="preserve">Less: Sales commission</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34">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35">
            <w:pPr>
              <w:spacing w:after="0" w:line="240" w:lineRule="auto"/>
              <w:jc w:val="right"/>
              <w:rPr>
                <w:color w:val="000000"/>
              </w:rPr>
            </w:pPr>
            <w:r w:rsidDel="00000000" w:rsidR="00000000" w:rsidRPr="00000000">
              <w:rPr>
                <w:color w:val="000000"/>
                <w:rtl w:val="0"/>
              </w:rPr>
              <w:t xml:space="preserve">3,000</w:t>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36">
            <w:pPr>
              <w:spacing w:after="0" w:line="240" w:lineRule="auto"/>
              <w:jc w:val="left"/>
              <w:rPr>
                <w:color w:val="000000"/>
              </w:rPr>
            </w:pPr>
            <w:r w:rsidDel="00000000" w:rsidR="00000000" w:rsidRPr="00000000">
              <w:rPr>
                <w:color w:val="000000"/>
                <w:rtl w:val="0"/>
              </w:rPr>
              <w:t xml:space="preserve"> </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37">
            <w:pPr>
              <w:spacing w:after="0" w:line="240" w:lineRule="auto"/>
              <w:jc w:val="right"/>
              <w:rPr>
                <w:b w:val="1"/>
                <w:color w:val="000000"/>
              </w:rPr>
            </w:pPr>
            <w:r w:rsidDel="00000000" w:rsidR="00000000" w:rsidRPr="00000000">
              <w:rPr>
                <w:b w:val="1"/>
                <w:color w:val="000000"/>
                <w:rtl w:val="0"/>
              </w:rPr>
              <w:t xml:space="preserve">Net Sales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38">
            <w:pPr>
              <w:spacing w:after="0" w:line="240" w:lineRule="auto"/>
              <w:jc w:val="righ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39">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3A">
            <w:pPr>
              <w:spacing w:after="0" w:line="240" w:lineRule="auto"/>
              <w:jc w:val="right"/>
              <w:rPr>
                <w:b w:val="1"/>
                <w:color w:val="000000"/>
              </w:rPr>
            </w:pPr>
            <w:r w:rsidDel="00000000" w:rsidR="00000000" w:rsidRPr="00000000">
              <w:rPr>
                <w:b w:val="1"/>
                <w:color w:val="000000"/>
                <w:rtl w:val="0"/>
              </w:rPr>
              <w:t xml:space="preserve">797,980</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3B">
            <w:pPr>
              <w:spacing w:after="0" w:line="240" w:lineRule="auto"/>
              <w:jc w:val="left"/>
              <w:rPr>
                <w:color w:val="000000"/>
              </w:rPr>
            </w:pPr>
            <w:r w:rsidDel="00000000" w:rsidR="00000000" w:rsidRPr="00000000">
              <w:rPr>
                <w:color w:val="000000"/>
                <w:rtl w:val="0"/>
              </w:rPr>
              <w:t xml:space="preserve">Less: Cost of sales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3C">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3D">
            <w:pPr>
              <w:spacing w:after="0" w:line="240" w:lineRule="auto"/>
              <w:jc w:val="right"/>
              <w:rPr>
                <w:color w:val="000000"/>
              </w:rPr>
            </w:pPr>
            <w:r w:rsidDel="00000000" w:rsidR="00000000" w:rsidRPr="00000000">
              <w:rPr>
                <w:color w:val="000000"/>
                <w:rtl w:val="0"/>
              </w:rPr>
              <w:t xml:space="preserve">578,650</w:t>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3E">
            <w:pPr>
              <w:spacing w:after="0" w:line="240" w:lineRule="auto"/>
              <w:jc w:val="left"/>
              <w:rPr>
                <w:color w:val="000000"/>
              </w:rPr>
            </w:pPr>
            <w:r w:rsidDel="00000000" w:rsidR="00000000" w:rsidRPr="00000000">
              <w:rPr>
                <w:color w:val="000000"/>
                <w:rtl w:val="0"/>
              </w:rPr>
              <w:t xml:space="preserve"> </w:t>
            </w:r>
          </w:p>
        </w:tc>
      </w:tr>
      <w:tr>
        <w:trPr>
          <w:cantSplit w:val="0"/>
          <w:trHeight w:val="33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3F">
            <w:pPr>
              <w:spacing w:after="0" w:line="240" w:lineRule="auto"/>
              <w:jc w:val="right"/>
              <w:rPr>
                <w:b w:val="1"/>
                <w:color w:val="000000"/>
              </w:rPr>
            </w:pPr>
            <w:r w:rsidDel="00000000" w:rsidR="00000000" w:rsidRPr="00000000">
              <w:rPr>
                <w:b w:val="1"/>
                <w:color w:val="000000"/>
                <w:rtl w:val="0"/>
              </w:rPr>
              <w:t xml:space="preserve">Gross Proft</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40">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41">
            <w:pPr>
              <w:spacing w:after="0" w:line="240" w:lineRule="auto"/>
              <w:jc w:val="left"/>
              <w:rPr>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42">
            <w:pPr>
              <w:spacing w:after="0" w:line="240" w:lineRule="auto"/>
              <w:jc w:val="right"/>
              <w:rPr>
                <w:b w:val="1"/>
                <w:color w:val="000000"/>
              </w:rPr>
            </w:pPr>
            <w:r w:rsidDel="00000000" w:rsidR="00000000" w:rsidRPr="00000000">
              <w:rPr>
                <w:b w:val="1"/>
                <w:color w:val="000000"/>
                <w:rtl w:val="0"/>
              </w:rPr>
              <w:t xml:space="preserve">219,330</w:t>
            </w:r>
          </w:p>
        </w:tc>
      </w:tr>
      <w:tr>
        <w:trPr>
          <w:cantSplit w:val="0"/>
          <w:trHeight w:val="33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3">
            <w:pPr>
              <w:spacing w:after="0" w:line="240" w:lineRule="auto"/>
              <w:jc w:val="left"/>
              <w:rPr>
                <w:color w:val="000000"/>
              </w:rPr>
            </w:pPr>
            <w:r w:rsidDel="00000000" w:rsidR="00000000" w:rsidRPr="00000000">
              <w:rPr>
                <w:color w:val="000000"/>
                <w:rtl w:val="0"/>
              </w:rPr>
              <w:t xml:space="preserve"> </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44">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45">
            <w:pPr>
              <w:spacing w:after="0" w:line="240" w:lineRule="auto"/>
              <w:jc w:val="left"/>
              <w:rPr>
                <w:sz w:val="20"/>
                <w:szCs w:val="20"/>
              </w:rPr>
            </w:pPr>
            <w:r w:rsidDel="00000000" w:rsidR="00000000" w:rsidRPr="00000000">
              <w:rPr>
                <w:rtl w:val="0"/>
              </w:rPr>
            </w:r>
          </w:p>
        </w:tc>
        <w:tc>
          <w:tcPr>
            <w:tcBorders>
              <w:top w:color="000000" w:space="0" w:sz="4" w:val="single"/>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46">
            <w:pPr>
              <w:spacing w:after="0" w:line="240" w:lineRule="auto"/>
              <w:jc w:val="left"/>
              <w:rPr>
                <w:color w:val="000000"/>
              </w:rPr>
            </w:pPr>
            <w:r w:rsidDel="00000000" w:rsidR="00000000" w:rsidRPr="00000000">
              <w:rPr>
                <w:color w:val="000000"/>
                <w:rtl w:val="0"/>
              </w:rPr>
              <w:t xml:space="preserve"> </w:t>
            </w:r>
          </w:p>
        </w:tc>
      </w:tr>
      <w:tr>
        <w:trPr>
          <w:cantSplit w:val="0"/>
          <w:trHeight w:val="320" w:hRule="atLeast"/>
          <w:tblHeader w:val="0"/>
        </w:trPr>
        <w:tc>
          <w:tcPr>
            <w:gridSpan w:val="2"/>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47">
            <w:pPr>
              <w:spacing w:after="0" w:line="240" w:lineRule="auto"/>
              <w:jc w:val="left"/>
              <w:rPr>
                <w:b w:val="1"/>
                <w:color w:val="000000"/>
              </w:rPr>
            </w:pPr>
            <w:r w:rsidDel="00000000" w:rsidR="00000000" w:rsidRPr="00000000">
              <w:rPr>
                <w:b w:val="1"/>
                <w:color w:val="000000"/>
                <w:rtl w:val="0"/>
              </w:rPr>
              <w:t xml:space="preserve">Less: Operating expenses</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49">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4A">
            <w:pPr>
              <w:spacing w:after="0" w:line="240" w:lineRule="auto"/>
              <w:jc w:val="left"/>
              <w:rPr>
                <w:color w:val="000000"/>
              </w:rPr>
            </w:pPr>
            <w:r w:rsidDel="00000000" w:rsidR="00000000" w:rsidRPr="00000000">
              <w:rPr>
                <w:color w:val="000000"/>
                <w:rtl w:val="0"/>
              </w:rPr>
              <w:t xml:space="preserve"> </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B">
            <w:pPr>
              <w:spacing w:after="0" w:line="240" w:lineRule="auto"/>
              <w:jc w:val="left"/>
              <w:rPr>
                <w:color w:val="000000"/>
              </w:rPr>
            </w:pPr>
            <w:r w:rsidDel="00000000" w:rsidR="00000000" w:rsidRPr="00000000">
              <w:rPr>
                <w:color w:val="000000"/>
                <w:rtl w:val="0"/>
              </w:rPr>
              <w:t xml:space="preserve">Administrative expenses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4C">
            <w:pPr>
              <w:spacing w:after="0" w:line="240" w:lineRule="auto"/>
              <w:jc w:val="left"/>
              <w:rPr>
                <w:color w:val="000000"/>
              </w:rPr>
            </w:pPr>
            <w:r w:rsidDel="00000000" w:rsidR="00000000" w:rsidRPr="00000000">
              <w:rPr>
                <w:rtl w:val="0"/>
              </w:rPr>
            </w:r>
          </w:p>
        </w:tc>
        <w:tc>
          <w:tcPr>
            <w:tcBorders>
              <w:top w:color="000000" w:space="0" w:sz="0" w:val="nil"/>
              <w:left w:color="000000" w:space="0" w:sz="4" w:val="single"/>
              <w:right w:color="000000" w:space="0" w:sz="4" w:val="single"/>
            </w:tcBorders>
            <w:shd w:fill="auto" w:val="clear"/>
            <w:vAlign w:val="bottom"/>
          </w:tcPr>
          <w:p w:rsidR="00000000" w:rsidDel="00000000" w:rsidP="00000000" w:rsidRDefault="00000000" w:rsidRPr="00000000" w14:paraId="0000004D">
            <w:pPr>
              <w:spacing w:after="0" w:line="240" w:lineRule="auto"/>
              <w:jc w:val="right"/>
              <w:rPr>
                <w:color w:val="000000"/>
              </w:rPr>
            </w:pPr>
            <w:r w:rsidDel="00000000" w:rsidR="00000000" w:rsidRPr="00000000">
              <w:rPr>
                <w:color w:val="000000"/>
                <w:rtl w:val="0"/>
              </w:rPr>
              <w:t xml:space="preserve">30,000</w:t>
            </w:r>
          </w:p>
        </w:tc>
        <w:tc>
          <w:tcPr>
            <w:tcBorders>
              <w:top w:color="000000" w:space="0" w:sz="0" w:val="nil"/>
              <w:left w:color="000000" w:space="0" w:sz="4" w:val="single"/>
              <w:right w:color="000000" w:space="0" w:sz="4" w:val="single"/>
            </w:tcBorders>
            <w:shd w:fill="auto" w:val="clear"/>
            <w:vAlign w:val="bottom"/>
          </w:tcPr>
          <w:p w:rsidR="00000000" w:rsidDel="00000000" w:rsidP="00000000" w:rsidRDefault="00000000" w:rsidRPr="00000000" w14:paraId="0000004E">
            <w:pPr>
              <w:spacing w:after="0" w:line="240" w:lineRule="auto"/>
              <w:jc w:val="left"/>
              <w:rPr>
                <w:color w:val="000000"/>
              </w:rPr>
            </w:pPr>
            <w:r w:rsidDel="00000000" w:rsidR="00000000" w:rsidRPr="00000000">
              <w:rPr>
                <w:color w:val="000000"/>
                <w:rtl w:val="0"/>
              </w:rPr>
              <w:t xml:space="preserve"> </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F">
            <w:pPr>
              <w:spacing w:after="0" w:line="240" w:lineRule="auto"/>
              <w:jc w:val="left"/>
              <w:rPr>
                <w:color w:val="000000"/>
              </w:rPr>
            </w:pPr>
            <w:r w:rsidDel="00000000" w:rsidR="00000000" w:rsidRPr="00000000">
              <w:rPr>
                <w:color w:val="000000"/>
                <w:rtl w:val="0"/>
              </w:rPr>
              <w:t xml:space="preserve">Directors’ remuneration</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50">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1">
            <w:pPr>
              <w:spacing w:after="0" w:line="240" w:lineRule="auto"/>
              <w:jc w:val="right"/>
              <w:rPr>
                <w:color w:val="000000"/>
              </w:rPr>
            </w:pPr>
            <w:r w:rsidDel="00000000" w:rsidR="00000000" w:rsidRPr="00000000">
              <w:rPr>
                <w:color w:val="000000"/>
                <w:rtl w:val="0"/>
              </w:rPr>
              <w:t xml:space="preserve">5,000</w:t>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52">
            <w:pPr>
              <w:spacing w:after="0" w:line="240" w:lineRule="auto"/>
              <w:jc w:val="right"/>
              <w:rPr>
                <w:color w:val="000000"/>
              </w:rPr>
            </w:pPr>
            <w:r w:rsidDel="00000000" w:rsidR="00000000" w:rsidRPr="00000000">
              <w:rPr>
                <w:color w:val="000000"/>
                <w:rtl w:val="0"/>
              </w:rPr>
              <w:t xml:space="preserve">35,000</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53">
            <w:pPr>
              <w:spacing w:after="0" w:line="240" w:lineRule="auto"/>
              <w:jc w:val="right"/>
              <w:rPr>
                <w:b w:val="1"/>
                <w:color w:val="000000"/>
              </w:rPr>
            </w:pPr>
            <w:r w:rsidDel="00000000" w:rsidR="00000000" w:rsidRPr="00000000">
              <w:rPr>
                <w:b w:val="1"/>
                <w:color w:val="000000"/>
                <w:rtl w:val="0"/>
              </w:rPr>
              <w:t xml:space="preserve">Operating Income</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54">
            <w:pPr>
              <w:spacing w:after="0" w:line="240" w:lineRule="auto"/>
              <w:jc w:val="left"/>
              <w:rPr>
                <w:color w:val="000000"/>
              </w:rPr>
            </w:pPr>
            <w:r w:rsidDel="00000000" w:rsidR="00000000" w:rsidRPr="00000000">
              <w:rPr>
                <w:rtl w:val="0"/>
              </w:rPr>
            </w:r>
          </w:p>
        </w:tc>
        <w:tc>
          <w:tcPr>
            <w:tcBorders>
              <w:top w:color="000000" w:space="0" w:sz="4" w:val="single"/>
              <w:left w:color="000000" w:space="0" w:sz="4" w:val="single"/>
              <w:right w:color="000000" w:space="0" w:sz="4" w:val="single"/>
            </w:tcBorders>
            <w:shd w:fill="auto" w:val="clear"/>
            <w:vAlign w:val="bottom"/>
          </w:tcPr>
          <w:p w:rsidR="00000000" w:rsidDel="00000000" w:rsidP="00000000" w:rsidRDefault="00000000" w:rsidRPr="00000000" w14:paraId="00000055">
            <w:pPr>
              <w:spacing w:after="0" w:line="240" w:lineRule="auto"/>
              <w:jc w:val="right"/>
              <w:rPr>
                <w:color w:val="000000"/>
              </w:rPr>
            </w:pPr>
            <w:r w:rsidDel="00000000" w:rsidR="00000000" w:rsidRPr="00000000">
              <w:rPr>
                <w:rtl w:val="0"/>
              </w:rPr>
            </w:r>
          </w:p>
        </w:tc>
        <w:tc>
          <w:tcPr>
            <w:tcBorders>
              <w:top w:color="000000" w:space="0" w:sz="4" w:val="single"/>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56">
            <w:pPr>
              <w:spacing w:after="0" w:line="240" w:lineRule="auto"/>
              <w:jc w:val="right"/>
              <w:rPr>
                <w:b w:val="1"/>
                <w:color w:val="000000"/>
              </w:rPr>
            </w:pPr>
            <w:r w:rsidDel="00000000" w:rsidR="00000000" w:rsidRPr="00000000">
              <w:rPr>
                <w:b w:val="1"/>
                <w:color w:val="000000"/>
                <w:rtl w:val="0"/>
              </w:rPr>
              <w:t xml:space="preserve">184,330</w:t>
            </w:r>
          </w:p>
        </w:tc>
      </w:tr>
      <w:tr>
        <w:trPr>
          <w:cantSplit w:val="0"/>
          <w:trHeight w:val="320" w:hRule="atLeast"/>
          <w:tblHeader w:val="0"/>
        </w:trPr>
        <w:tc>
          <w:tcPr>
            <w:gridSpan w:val="2"/>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57">
            <w:pPr>
              <w:spacing w:after="0" w:line="240" w:lineRule="auto"/>
              <w:jc w:val="left"/>
              <w:rPr>
                <w:b w:val="1"/>
                <w:color w:val="000000"/>
              </w:rPr>
            </w:pPr>
            <w:r w:rsidDel="00000000" w:rsidR="00000000" w:rsidRPr="00000000">
              <w:rPr>
                <w:b w:val="1"/>
                <w:color w:val="000000"/>
                <w:rtl w:val="0"/>
              </w:rPr>
              <w:t xml:space="preserve">Less: Non-operating expenses</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59">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5A">
            <w:pPr>
              <w:spacing w:after="0" w:line="240" w:lineRule="auto"/>
              <w:jc w:val="left"/>
              <w:rPr>
                <w:color w:val="000000"/>
              </w:rPr>
            </w:pPr>
            <w:r w:rsidDel="00000000" w:rsidR="00000000" w:rsidRPr="00000000">
              <w:rPr>
                <w:color w:val="000000"/>
                <w:rtl w:val="0"/>
              </w:rPr>
              <w:t xml:space="preserve"> </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5B">
            <w:pPr>
              <w:spacing w:after="0" w:line="240" w:lineRule="auto"/>
              <w:jc w:val="left"/>
              <w:rPr>
                <w:color w:val="000000"/>
              </w:rPr>
            </w:pPr>
            <w:r w:rsidDel="00000000" w:rsidR="00000000" w:rsidRPr="00000000">
              <w:rPr>
                <w:color w:val="000000"/>
                <w:rtl w:val="0"/>
              </w:rPr>
              <w:t xml:space="preserve">Interest paid</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5C">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5D">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5E">
            <w:pPr>
              <w:spacing w:after="0" w:line="240" w:lineRule="auto"/>
              <w:jc w:val="right"/>
              <w:rPr>
                <w:color w:val="000000"/>
              </w:rPr>
            </w:pPr>
            <w:r w:rsidDel="00000000" w:rsidR="00000000" w:rsidRPr="00000000">
              <w:rPr>
                <w:color w:val="000000"/>
                <w:rtl w:val="0"/>
              </w:rPr>
              <w:t xml:space="preserve">2,000</w:t>
            </w:r>
          </w:p>
        </w:tc>
      </w:tr>
      <w:tr>
        <w:trPr>
          <w:cantSplit w:val="0"/>
          <w:trHeight w:val="320" w:hRule="atLeast"/>
          <w:tblHeader w:val="0"/>
        </w:trPr>
        <w:tc>
          <w:tcPr>
            <w:gridSpan w:val="2"/>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5F">
            <w:pPr>
              <w:spacing w:after="0" w:line="240" w:lineRule="auto"/>
              <w:jc w:val="left"/>
              <w:rPr>
                <w:b w:val="1"/>
                <w:color w:val="000000"/>
              </w:rPr>
            </w:pPr>
            <w:r w:rsidDel="00000000" w:rsidR="00000000" w:rsidRPr="00000000">
              <w:rPr>
                <w:b w:val="1"/>
                <w:color w:val="000000"/>
                <w:rtl w:val="0"/>
              </w:rPr>
              <w:t xml:space="preserve">Less: Selling expenses</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61">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62">
            <w:pPr>
              <w:spacing w:after="0" w:line="240" w:lineRule="auto"/>
              <w:jc w:val="left"/>
              <w:rPr>
                <w:color w:val="000000"/>
              </w:rPr>
            </w:pPr>
            <w:r w:rsidDel="00000000" w:rsidR="00000000" w:rsidRPr="00000000">
              <w:rPr>
                <w:color w:val="000000"/>
                <w:rtl w:val="0"/>
              </w:rPr>
              <w:t xml:space="preserve"> </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63">
            <w:pPr>
              <w:spacing w:after="0" w:line="240" w:lineRule="auto"/>
              <w:jc w:val="left"/>
              <w:rPr>
                <w:color w:val="000000"/>
              </w:rPr>
            </w:pPr>
            <w:r w:rsidDel="00000000" w:rsidR="00000000" w:rsidRPr="00000000">
              <w:rPr>
                <w:color w:val="000000"/>
                <w:rtl w:val="0"/>
              </w:rPr>
              <w:t xml:space="preserve">Distribution costs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64">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65">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6">
            <w:pPr>
              <w:spacing w:after="0" w:line="240" w:lineRule="auto"/>
              <w:jc w:val="right"/>
              <w:rPr>
                <w:color w:val="000000"/>
              </w:rPr>
            </w:pPr>
            <w:r w:rsidDel="00000000" w:rsidR="00000000" w:rsidRPr="00000000">
              <w:rPr>
                <w:color w:val="000000"/>
                <w:rtl w:val="0"/>
              </w:rPr>
              <w:t xml:space="preserve">28,000</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67">
            <w:pPr>
              <w:spacing w:after="0" w:line="240" w:lineRule="auto"/>
              <w:jc w:val="right"/>
              <w:rPr>
                <w:b w:val="1"/>
                <w:color w:val="000000"/>
              </w:rPr>
            </w:pPr>
            <w:r w:rsidDel="00000000" w:rsidR="00000000" w:rsidRPr="00000000">
              <w:rPr>
                <w:b w:val="1"/>
                <w:color w:val="000000"/>
                <w:rtl w:val="0"/>
              </w:rPr>
              <w:t xml:space="preserve">Profit before taxation</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68">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69">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6A">
            <w:pPr>
              <w:spacing w:after="0" w:line="240" w:lineRule="auto"/>
              <w:jc w:val="right"/>
              <w:rPr>
                <w:b w:val="1"/>
                <w:color w:val="000000"/>
              </w:rPr>
            </w:pPr>
            <w:r w:rsidDel="00000000" w:rsidR="00000000" w:rsidRPr="00000000">
              <w:rPr>
                <w:b w:val="1"/>
                <w:color w:val="000000"/>
                <w:rtl w:val="0"/>
              </w:rPr>
              <w:t xml:space="preserve">154,330</w:t>
            </w:r>
          </w:p>
        </w:tc>
      </w:tr>
      <w:tr>
        <w:trPr>
          <w:cantSplit w:val="0"/>
          <w:trHeight w:val="320"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6B">
            <w:pPr>
              <w:spacing w:after="0" w:line="240" w:lineRule="auto"/>
              <w:jc w:val="left"/>
              <w:rPr>
                <w:color w:val="000000"/>
              </w:rPr>
            </w:pPr>
            <w:r w:rsidDel="00000000" w:rsidR="00000000" w:rsidRPr="00000000">
              <w:rPr>
                <w:color w:val="000000"/>
                <w:rtl w:val="0"/>
              </w:rPr>
              <w:t xml:space="preserve">Tax estimation</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6C">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6D">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6E">
            <w:pPr>
              <w:spacing w:after="0" w:line="240" w:lineRule="auto"/>
              <w:jc w:val="right"/>
              <w:rPr>
                <w:color w:val="000000"/>
              </w:rPr>
            </w:pPr>
            <w:r w:rsidDel="00000000" w:rsidR="00000000" w:rsidRPr="00000000">
              <w:rPr>
                <w:color w:val="000000"/>
                <w:rtl w:val="0"/>
              </w:rPr>
              <w:t xml:space="preserve">100,000</w:t>
            </w:r>
          </w:p>
        </w:tc>
      </w:tr>
      <w:tr>
        <w:trPr>
          <w:cantSplit w:val="0"/>
          <w:trHeight w:val="320" w:hRule="atLeast"/>
          <w:tblHeader w:val="0"/>
        </w:trPr>
        <w:tc>
          <w:tcPr>
            <w:tcBorders>
              <w:top w:color="000000" w:space="0" w:sz="0" w:val="nil"/>
              <w:left w:color="000000" w:space="0" w:sz="4" w:val="single"/>
              <w:bottom w:color="000000" w:space="0" w:sz="4" w:val="single"/>
              <w:right w:color="000000" w:space="0" w:sz="0" w:val="nil"/>
            </w:tcBorders>
            <w:shd w:fill="auto" w:val="clear"/>
            <w:vAlign w:val="bottom"/>
          </w:tcPr>
          <w:p w:rsidR="00000000" w:rsidDel="00000000" w:rsidP="00000000" w:rsidRDefault="00000000" w:rsidRPr="00000000" w14:paraId="0000006F">
            <w:pPr>
              <w:spacing w:after="0" w:line="240" w:lineRule="auto"/>
              <w:jc w:val="right"/>
              <w:rPr>
                <w:b w:val="1"/>
                <w:color w:val="000000"/>
              </w:rPr>
            </w:pPr>
            <w:r w:rsidDel="00000000" w:rsidR="00000000" w:rsidRPr="00000000">
              <w:rPr>
                <w:b w:val="1"/>
                <w:color w:val="000000"/>
                <w:rtl w:val="0"/>
              </w:rPr>
              <w:t xml:space="preserve">Net Profit</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70">
            <w:pPr>
              <w:spacing w:after="0" w:line="240" w:lineRule="auto"/>
              <w:jc w:val="left"/>
              <w:rPr>
                <w:b w:val="1"/>
                <w:color w:val="000000"/>
              </w:rPr>
            </w:pPr>
            <w:r w:rsidDel="00000000" w:rsidR="00000000" w:rsidRPr="00000000">
              <w:rPr>
                <w:b w:val="1"/>
                <w:color w:val="000000"/>
                <w:rtl w:val="0"/>
              </w:rPr>
              <w:t xml:space="preserve"> </w:t>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1">
            <w:pPr>
              <w:spacing w:after="0" w:line="240" w:lineRule="auto"/>
              <w:jc w:val="left"/>
              <w:rPr>
                <w:b w:val="1"/>
                <w:color w:val="000000"/>
              </w:rPr>
            </w:pPr>
            <w:r w:rsidDel="00000000" w:rsidR="00000000" w:rsidRPr="00000000">
              <w:rPr>
                <w:b w:val="1"/>
                <w:color w:val="000000"/>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2">
            <w:pPr>
              <w:spacing w:after="0" w:line="240" w:lineRule="auto"/>
              <w:jc w:val="right"/>
              <w:rPr>
                <w:b w:val="1"/>
                <w:color w:val="000000"/>
              </w:rPr>
            </w:pPr>
            <w:r w:rsidDel="00000000" w:rsidR="00000000" w:rsidRPr="00000000">
              <w:rPr>
                <w:b w:val="1"/>
                <w:color w:val="000000"/>
                <w:rtl w:val="0"/>
              </w:rPr>
              <w:t xml:space="preserve">54,330</w:t>
            </w:r>
          </w:p>
        </w:tc>
      </w:tr>
    </w:tbl>
    <w:p w:rsidR="00000000" w:rsidDel="00000000" w:rsidP="00000000" w:rsidRDefault="00000000" w:rsidRPr="00000000" w14:paraId="00000073">
      <w:pPr>
        <w:jc w:val="center"/>
        <w:rPr/>
      </w:pPr>
      <w:r w:rsidDel="00000000" w:rsidR="00000000" w:rsidRPr="00000000">
        <w:rPr>
          <w:rtl w:val="0"/>
        </w:rPr>
      </w:r>
    </w:p>
    <w:p w:rsidR="00000000" w:rsidDel="00000000" w:rsidP="00000000" w:rsidRDefault="00000000" w:rsidRPr="00000000" w14:paraId="00000074">
      <w:pPr>
        <w:spacing w:after="0" w:lineRule="auto"/>
        <w:jc w:val="center"/>
        <w:rPr/>
      </w:pPr>
      <w:r w:rsidDel="00000000" w:rsidR="00000000" w:rsidRPr="00000000">
        <w:rPr>
          <w:rtl w:val="0"/>
        </w:rPr>
        <w:t xml:space="preserve">Wales Plc</w:t>
      </w:r>
    </w:p>
    <w:p w:rsidR="00000000" w:rsidDel="00000000" w:rsidP="00000000" w:rsidRDefault="00000000" w:rsidRPr="00000000" w14:paraId="00000075">
      <w:pPr>
        <w:spacing w:after="0" w:lineRule="auto"/>
        <w:jc w:val="center"/>
        <w:rPr/>
      </w:pPr>
      <w:r w:rsidDel="00000000" w:rsidR="00000000" w:rsidRPr="00000000">
        <w:rPr>
          <w:rtl w:val="0"/>
        </w:rPr>
        <w:t xml:space="preserve">Statement of Retained Earnings</w:t>
      </w:r>
    </w:p>
    <w:p w:rsidR="00000000" w:rsidDel="00000000" w:rsidP="00000000" w:rsidRDefault="00000000" w:rsidRPr="00000000" w14:paraId="00000076">
      <w:pPr>
        <w:spacing w:after="0" w:lineRule="auto"/>
        <w:jc w:val="center"/>
        <w:rPr/>
      </w:pPr>
      <w:r w:rsidDel="00000000" w:rsidR="00000000" w:rsidRPr="00000000">
        <w:rPr>
          <w:rtl w:val="0"/>
        </w:rPr>
        <w:t xml:space="preserve">For the year ended on 31</w:t>
      </w:r>
      <w:r w:rsidDel="00000000" w:rsidR="00000000" w:rsidRPr="00000000">
        <w:rPr>
          <w:vertAlign w:val="superscript"/>
          <w:rtl w:val="0"/>
        </w:rPr>
        <w:t xml:space="preserve">st</w:t>
      </w:r>
      <w:r w:rsidDel="00000000" w:rsidR="00000000" w:rsidRPr="00000000">
        <w:rPr>
          <w:rtl w:val="0"/>
        </w:rPr>
        <w:t xml:space="preserve"> December 2021</w:t>
      </w:r>
    </w:p>
    <w:p w:rsidR="00000000" w:rsidDel="00000000" w:rsidP="00000000" w:rsidRDefault="00000000" w:rsidRPr="00000000" w14:paraId="00000077">
      <w:pPr>
        <w:spacing w:after="0" w:lineRule="auto"/>
        <w:jc w:val="center"/>
        <w:rPr/>
      </w:pPr>
      <w:r w:rsidDel="00000000" w:rsidR="00000000" w:rsidRPr="00000000">
        <w:rPr>
          <w:rtl w:val="0"/>
        </w:rPr>
        <w:t xml:space="preserve">(Amounts in </w:t>
      </w:r>
      <w:r w:rsidDel="00000000" w:rsidR="00000000" w:rsidRPr="00000000">
        <w:rPr>
          <w:color w:val="000000"/>
          <w:rtl w:val="0"/>
        </w:rPr>
        <w:t xml:space="preserve">£)</w:t>
      </w:r>
      <w:r w:rsidDel="00000000" w:rsidR="00000000" w:rsidRPr="00000000">
        <w:rPr>
          <w:rtl w:val="0"/>
        </w:rPr>
      </w:r>
    </w:p>
    <w:tbl>
      <w:tblPr>
        <w:tblStyle w:val="Table2"/>
        <w:tblW w:w="6712.0" w:type="dxa"/>
        <w:jc w:val="center"/>
        <w:tblLayout w:type="fixed"/>
        <w:tblLook w:val="0400"/>
      </w:tblPr>
      <w:tblGrid>
        <w:gridCol w:w="5494"/>
        <w:gridCol w:w="222"/>
        <w:gridCol w:w="996"/>
        <w:tblGridChange w:id="0">
          <w:tblGrid>
            <w:gridCol w:w="5494"/>
            <w:gridCol w:w="222"/>
            <w:gridCol w:w="996"/>
          </w:tblGrid>
        </w:tblGridChange>
      </w:tblGrid>
      <w:tr>
        <w:trPr>
          <w:cantSplit w:val="0"/>
          <w:trHeight w:val="315" w:hRule="atLeast"/>
          <w:tblHeader w:val="0"/>
        </w:trPr>
        <w:tc>
          <w:tcPr>
            <w:gridSpan w:val="2"/>
            <w:tcBorders>
              <w:top w:color="000000" w:space="0" w:sz="4" w:val="single"/>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78">
            <w:pPr>
              <w:spacing w:after="0" w:line="240" w:lineRule="auto"/>
              <w:jc w:val="left"/>
              <w:rPr>
                <w:color w:val="000000"/>
              </w:rPr>
            </w:pPr>
            <w:r w:rsidDel="00000000" w:rsidR="00000000" w:rsidRPr="00000000">
              <w:rPr>
                <w:color w:val="000000"/>
                <w:rtl w:val="0"/>
              </w:rPr>
              <w:t xml:space="preserve">Retained profits on 1st January 2021</w:t>
            </w:r>
          </w:p>
        </w:tc>
        <w:tc>
          <w:tcPr>
            <w:tcBorders>
              <w:top w:color="000000" w:space="0" w:sz="4" w:val="single"/>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7A">
            <w:pPr>
              <w:spacing w:after="0" w:line="240" w:lineRule="auto"/>
              <w:jc w:val="right"/>
              <w:rPr>
                <w:color w:val="000000"/>
              </w:rPr>
            </w:pPr>
            <w:r w:rsidDel="00000000" w:rsidR="00000000" w:rsidRPr="00000000">
              <w:rPr>
                <w:color w:val="000000"/>
                <w:rtl w:val="0"/>
              </w:rPr>
              <w:t xml:space="preserve">132,000</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7B">
            <w:pPr>
              <w:spacing w:after="0" w:line="240" w:lineRule="auto"/>
              <w:jc w:val="left"/>
              <w:rPr>
                <w:color w:val="000000"/>
              </w:rPr>
            </w:pPr>
            <w:r w:rsidDel="00000000" w:rsidR="00000000" w:rsidRPr="00000000">
              <w:rPr>
                <w:color w:val="000000"/>
                <w:rtl w:val="0"/>
              </w:rPr>
              <w:t xml:space="preserve">Net profit from current year</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7C">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7D">
            <w:pPr>
              <w:spacing w:after="0" w:line="240" w:lineRule="auto"/>
              <w:jc w:val="right"/>
              <w:rPr>
                <w:color w:val="000000"/>
              </w:rPr>
            </w:pPr>
            <w:r w:rsidDel="00000000" w:rsidR="00000000" w:rsidRPr="00000000">
              <w:rPr>
                <w:color w:val="000000"/>
                <w:rtl w:val="0"/>
              </w:rPr>
              <w:t xml:space="preserve">54,330</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7E">
            <w:pPr>
              <w:spacing w:after="0" w:line="240" w:lineRule="auto"/>
              <w:jc w:val="left"/>
              <w:rPr>
                <w:color w:val="000000"/>
              </w:rPr>
            </w:pPr>
            <w:r w:rsidDel="00000000" w:rsidR="00000000" w:rsidRPr="00000000">
              <w:rPr>
                <w:color w:val="000000"/>
                <w:rtl w:val="0"/>
              </w:rPr>
              <w:t xml:space="preserve"> </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7F">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80">
            <w:pPr>
              <w:spacing w:after="0" w:line="240" w:lineRule="auto"/>
              <w:jc w:val="right"/>
              <w:rPr>
                <w:b w:val="1"/>
                <w:color w:val="000000"/>
              </w:rPr>
            </w:pPr>
            <w:r w:rsidDel="00000000" w:rsidR="00000000" w:rsidRPr="00000000">
              <w:rPr>
                <w:b w:val="1"/>
                <w:color w:val="000000"/>
                <w:rtl w:val="0"/>
              </w:rPr>
              <w:t xml:space="preserve">186,330</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81">
            <w:pPr>
              <w:spacing w:after="0" w:line="240" w:lineRule="auto"/>
              <w:jc w:val="left"/>
              <w:rPr>
                <w:color w:val="000000"/>
              </w:rPr>
            </w:pPr>
            <w:r w:rsidDel="00000000" w:rsidR="00000000" w:rsidRPr="00000000">
              <w:rPr>
                <w:color w:val="000000"/>
                <w:rtl w:val="0"/>
              </w:rPr>
              <w:t xml:space="preserve">Less: Ordinary dividend paid</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82">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83">
            <w:pPr>
              <w:spacing w:after="0" w:line="240" w:lineRule="auto"/>
              <w:jc w:val="right"/>
              <w:rPr>
                <w:color w:val="000000"/>
              </w:rPr>
            </w:pPr>
            <w:r w:rsidDel="00000000" w:rsidR="00000000" w:rsidRPr="00000000">
              <w:rPr>
                <w:color w:val="000000"/>
                <w:rtl w:val="0"/>
              </w:rPr>
              <w:t xml:space="preserve">20,000</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84">
            <w:pPr>
              <w:spacing w:after="0" w:line="240" w:lineRule="auto"/>
              <w:jc w:val="left"/>
              <w:rPr>
                <w:color w:val="000000"/>
              </w:rPr>
            </w:pPr>
            <w:r w:rsidDel="00000000" w:rsidR="00000000" w:rsidRPr="00000000">
              <w:rPr>
                <w:color w:val="000000"/>
                <w:rtl w:val="0"/>
              </w:rPr>
              <w:t xml:space="preserve">Less: Preference dividend paid</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85">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6">
            <w:pPr>
              <w:spacing w:after="0" w:line="240" w:lineRule="auto"/>
              <w:jc w:val="right"/>
              <w:rPr>
                <w:color w:val="000000"/>
              </w:rPr>
            </w:pPr>
            <w:r w:rsidDel="00000000" w:rsidR="00000000" w:rsidRPr="00000000">
              <w:rPr>
                <w:color w:val="000000"/>
                <w:rtl w:val="0"/>
              </w:rPr>
              <w:t xml:space="preserve">30,000</w:t>
            </w:r>
          </w:p>
        </w:tc>
      </w:tr>
      <w:tr>
        <w:trPr>
          <w:cantSplit w:val="0"/>
          <w:trHeight w:val="315" w:hRule="atLeast"/>
          <w:tblHeader w:val="0"/>
        </w:trPr>
        <w:tc>
          <w:tcPr>
            <w:gridSpan w:val="2"/>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7">
            <w:pPr>
              <w:spacing w:after="0" w:line="240" w:lineRule="auto"/>
              <w:jc w:val="left"/>
              <w:rPr>
                <w:b w:val="1"/>
                <w:color w:val="000000"/>
              </w:rPr>
            </w:pPr>
            <w:r w:rsidDel="00000000" w:rsidR="00000000" w:rsidRPr="00000000">
              <w:rPr>
                <w:b w:val="1"/>
                <w:color w:val="000000"/>
                <w:rtl w:val="0"/>
              </w:rPr>
              <w:t xml:space="preserve">Retained profit on 1st January 2022</w:t>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89">
            <w:pPr>
              <w:spacing w:after="0" w:line="240" w:lineRule="auto"/>
              <w:jc w:val="right"/>
              <w:rPr>
                <w:b w:val="1"/>
                <w:color w:val="000000"/>
              </w:rPr>
            </w:pPr>
            <w:r w:rsidDel="00000000" w:rsidR="00000000" w:rsidRPr="00000000">
              <w:rPr>
                <w:b w:val="1"/>
                <w:color w:val="000000"/>
                <w:rtl w:val="0"/>
              </w:rPr>
              <w:t xml:space="preserve">136,330</w:t>
            </w:r>
          </w:p>
        </w:tc>
      </w:tr>
    </w:tbl>
    <w:p w:rsidR="00000000" w:rsidDel="00000000" w:rsidP="00000000" w:rsidRDefault="00000000" w:rsidRPr="00000000" w14:paraId="0000008A">
      <w:pPr>
        <w:jc w:val="center"/>
        <w:rPr/>
      </w:pPr>
      <w:r w:rsidDel="00000000" w:rsidR="00000000" w:rsidRPr="00000000">
        <w:rPr>
          <w:rtl w:val="0"/>
        </w:rPr>
      </w:r>
    </w:p>
    <w:p w:rsidR="00000000" w:rsidDel="00000000" w:rsidP="00000000" w:rsidRDefault="00000000" w:rsidRPr="00000000" w14:paraId="0000008B">
      <w:pPr>
        <w:jc w:val="center"/>
        <w:rPr/>
      </w:pPr>
      <w:r w:rsidDel="00000000" w:rsidR="00000000" w:rsidRPr="00000000">
        <w:rPr>
          <w:rtl w:val="0"/>
        </w:rPr>
      </w:r>
    </w:p>
    <w:p w:rsidR="00000000" w:rsidDel="00000000" w:rsidP="00000000" w:rsidRDefault="00000000" w:rsidRPr="00000000" w14:paraId="0000008C">
      <w:pPr>
        <w:spacing w:after="0" w:lineRule="auto"/>
        <w:jc w:val="center"/>
        <w:rPr/>
      </w:pPr>
      <w:r w:rsidDel="00000000" w:rsidR="00000000" w:rsidRPr="00000000">
        <w:rPr>
          <w:rtl w:val="0"/>
        </w:rPr>
        <w:t xml:space="preserve">Wales Plc</w:t>
      </w:r>
    </w:p>
    <w:p w:rsidR="00000000" w:rsidDel="00000000" w:rsidP="00000000" w:rsidRDefault="00000000" w:rsidRPr="00000000" w14:paraId="0000008D">
      <w:pPr>
        <w:spacing w:after="0" w:lineRule="auto"/>
        <w:jc w:val="center"/>
        <w:rPr/>
      </w:pPr>
      <w:r w:rsidDel="00000000" w:rsidR="00000000" w:rsidRPr="00000000">
        <w:rPr>
          <w:rtl w:val="0"/>
        </w:rPr>
        <w:t xml:space="preserve">Statement of Financial Position</w:t>
      </w:r>
    </w:p>
    <w:p w:rsidR="00000000" w:rsidDel="00000000" w:rsidP="00000000" w:rsidRDefault="00000000" w:rsidRPr="00000000" w14:paraId="0000008E">
      <w:pPr>
        <w:spacing w:after="0" w:lineRule="auto"/>
        <w:jc w:val="center"/>
        <w:rPr/>
      </w:pPr>
      <w:r w:rsidDel="00000000" w:rsidR="00000000" w:rsidRPr="00000000">
        <w:rPr>
          <w:rtl w:val="0"/>
        </w:rPr>
        <w:t xml:space="preserve">31 December 2021</w:t>
      </w:r>
    </w:p>
    <w:p w:rsidR="00000000" w:rsidDel="00000000" w:rsidP="00000000" w:rsidRDefault="00000000" w:rsidRPr="00000000" w14:paraId="0000008F">
      <w:pPr>
        <w:spacing w:after="0" w:lineRule="auto"/>
        <w:jc w:val="center"/>
        <w:rPr/>
      </w:pPr>
      <w:r w:rsidDel="00000000" w:rsidR="00000000" w:rsidRPr="00000000">
        <w:rPr>
          <w:rtl w:val="0"/>
        </w:rPr>
        <w:t xml:space="preserve">(Amounts in </w:t>
      </w:r>
      <w:r w:rsidDel="00000000" w:rsidR="00000000" w:rsidRPr="00000000">
        <w:rPr>
          <w:color w:val="000000"/>
          <w:rtl w:val="0"/>
        </w:rPr>
        <w:t xml:space="preserve">£)</w:t>
      </w:r>
      <w:r w:rsidDel="00000000" w:rsidR="00000000" w:rsidRPr="00000000">
        <w:rPr>
          <w:rtl w:val="0"/>
        </w:rPr>
      </w:r>
    </w:p>
    <w:tbl>
      <w:tblPr>
        <w:tblStyle w:val="Table3"/>
        <w:tblW w:w="7732.0" w:type="dxa"/>
        <w:jc w:val="center"/>
        <w:tblLayout w:type="fixed"/>
        <w:tblLook w:val="0400"/>
      </w:tblPr>
      <w:tblGrid>
        <w:gridCol w:w="3280"/>
        <w:gridCol w:w="2280"/>
        <w:gridCol w:w="996"/>
        <w:gridCol w:w="1176"/>
        <w:tblGridChange w:id="0">
          <w:tblGrid>
            <w:gridCol w:w="3280"/>
            <w:gridCol w:w="2280"/>
            <w:gridCol w:w="996"/>
            <w:gridCol w:w="1176"/>
          </w:tblGrid>
        </w:tblGridChange>
      </w:tblGrid>
      <w:tr>
        <w:trPr>
          <w:cantSplit w:val="0"/>
          <w:trHeight w:val="315" w:hRule="atLeast"/>
          <w:tblHeader w:val="0"/>
        </w:trPr>
        <w:tc>
          <w:tcPr>
            <w:tcBorders>
              <w:top w:color="000000" w:space="0" w:sz="4" w:val="single"/>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90">
            <w:pPr>
              <w:spacing w:after="0" w:line="240" w:lineRule="auto"/>
              <w:jc w:val="left"/>
              <w:rPr>
                <w:b w:val="1"/>
                <w:color w:val="000000"/>
              </w:rPr>
            </w:pPr>
            <w:r w:rsidDel="00000000" w:rsidR="00000000" w:rsidRPr="00000000">
              <w:rPr>
                <w:b w:val="1"/>
                <w:color w:val="000000"/>
                <w:rtl w:val="0"/>
              </w:rPr>
              <w:t xml:space="preserve">Assets</w:t>
            </w:r>
          </w:p>
        </w:tc>
        <w:tc>
          <w:tcPr>
            <w:tcBorders>
              <w:top w:color="000000" w:space="0" w:sz="4" w:val="single"/>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91">
            <w:pPr>
              <w:spacing w:after="0" w:line="240" w:lineRule="auto"/>
              <w:jc w:val="left"/>
              <w:rPr>
                <w:color w:val="000000"/>
              </w:rPr>
            </w:pPr>
            <w:r w:rsidDel="00000000" w:rsidR="00000000" w:rsidRPr="00000000">
              <w:rPr>
                <w:color w:val="000000"/>
                <w:rtl w:val="0"/>
              </w:rPr>
              <w:t xml:space="preserve"> </w:t>
            </w:r>
          </w:p>
        </w:tc>
        <w:tc>
          <w:tcPr>
            <w:tcBorders>
              <w:top w:color="000000" w:space="0" w:sz="4" w:val="single"/>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92">
            <w:pPr>
              <w:spacing w:after="0" w:line="240" w:lineRule="auto"/>
              <w:jc w:val="left"/>
              <w:rPr>
                <w:color w:val="000000"/>
              </w:rPr>
            </w:pPr>
            <w:r w:rsidDel="00000000" w:rsidR="00000000" w:rsidRPr="00000000">
              <w:rPr>
                <w:color w:val="000000"/>
                <w:rtl w:val="0"/>
              </w:rPr>
              <w:t xml:space="preserve"> </w:t>
            </w:r>
          </w:p>
        </w:tc>
        <w:tc>
          <w:tcPr>
            <w:tcBorders>
              <w:top w:color="000000" w:space="0" w:sz="4" w:val="single"/>
              <w:left w:color="000000" w:space="0" w:sz="4" w:val="single"/>
              <w:right w:color="000000" w:space="0" w:sz="4" w:val="single"/>
            </w:tcBorders>
            <w:shd w:fill="auto" w:val="clear"/>
            <w:vAlign w:val="bottom"/>
          </w:tcPr>
          <w:p w:rsidR="00000000" w:rsidDel="00000000" w:rsidP="00000000" w:rsidRDefault="00000000" w:rsidRPr="00000000" w14:paraId="00000093">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94">
            <w:pPr>
              <w:spacing w:after="0" w:line="240" w:lineRule="auto"/>
              <w:jc w:val="left"/>
              <w:rPr>
                <w:b w:val="1"/>
                <w:color w:val="000000"/>
              </w:rPr>
            </w:pPr>
            <w:r w:rsidDel="00000000" w:rsidR="00000000" w:rsidRPr="00000000">
              <w:rPr>
                <w:b w:val="1"/>
                <w:color w:val="000000"/>
                <w:rtl w:val="0"/>
              </w:rPr>
              <w:t xml:space="preserve">Fixed Assets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95">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96">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97">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98">
            <w:pPr>
              <w:spacing w:after="0" w:line="240" w:lineRule="auto"/>
              <w:jc w:val="left"/>
              <w:rPr>
                <w:color w:val="000000"/>
              </w:rPr>
            </w:pPr>
            <w:r w:rsidDel="00000000" w:rsidR="00000000" w:rsidRPr="00000000">
              <w:rPr>
                <w:color w:val="000000"/>
                <w:rtl w:val="0"/>
              </w:rPr>
              <w:t xml:space="preserve">Plant and equipment</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99">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9A">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9B">
            <w:pPr>
              <w:spacing w:after="0" w:line="240" w:lineRule="auto"/>
              <w:jc w:val="right"/>
              <w:rPr>
                <w:color w:val="000000"/>
              </w:rPr>
            </w:pPr>
            <w:r w:rsidDel="00000000" w:rsidR="00000000" w:rsidRPr="00000000">
              <w:rPr>
                <w:color w:val="000000"/>
                <w:rtl w:val="0"/>
              </w:rPr>
              <w:t xml:space="preserve">650,000</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9C">
            <w:pPr>
              <w:spacing w:after="0" w:line="240" w:lineRule="auto"/>
              <w:jc w:val="left"/>
              <w:rPr>
                <w:color w:val="000000"/>
              </w:rPr>
            </w:pPr>
            <w:r w:rsidDel="00000000" w:rsidR="00000000" w:rsidRPr="00000000">
              <w:rPr>
                <w:color w:val="000000"/>
                <w:rtl w:val="0"/>
              </w:rPr>
              <w:t xml:space="preserve"> </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9D">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9E">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9F">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A0">
            <w:pPr>
              <w:spacing w:after="0" w:line="240" w:lineRule="auto"/>
              <w:jc w:val="left"/>
              <w:rPr>
                <w:b w:val="1"/>
                <w:color w:val="000000"/>
              </w:rPr>
            </w:pPr>
            <w:r w:rsidDel="00000000" w:rsidR="00000000" w:rsidRPr="00000000">
              <w:rPr>
                <w:b w:val="1"/>
                <w:color w:val="000000"/>
                <w:rtl w:val="0"/>
              </w:rPr>
              <w:t xml:space="preserve">Current Assets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A1">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A2">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A3">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A4">
            <w:pPr>
              <w:spacing w:after="0" w:line="240" w:lineRule="auto"/>
              <w:jc w:val="left"/>
              <w:rPr>
                <w:color w:val="000000"/>
              </w:rPr>
            </w:pPr>
            <w:r w:rsidDel="00000000" w:rsidR="00000000" w:rsidRPr="00000000">
              <w:rPr>
                <w:color w:val="000000"/>
                <w:rtl w:val="0"/>
              </w:rPr>
              <w:t xml:space="preserve">Stock at 31st December 2021</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A5">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A6">
            <w:pPr>
              <w:spacing w:after="0" w:line="240" w:lineRule="auto"/>
              <w:jc w:val="right"/>
              <w:rPr>
                <w:color w:val="000000"/>
              </w:rPr>
            </w:pPr>
            <w:r w:rsidDel="00000000" w:rsidR="00000000" w:rsidRPr="00000000">
              <w:rPr>
                <w:color w:val="000000"/>
                <w:rtl w:val="0"/>
              </w:rPr>
              <w:t xml:space="preserve">330,600</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A7">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A8">
            <w:pPr>
              <w:spacing w:after="0" w:line="240" w:lineRule="auto"/>
              <w:jc w:val="left"/>
              <w:rPr>
                <w:color w:val="000000"/>
              </w:rPr>
            </w:pPr>
            <w:r w:rsidDel="00000000" w:rsidR="00000000" w:rsidRPr="00000000">
              <w:rPr>
                <w:color w:val="000000"/>
                <w:rtl w:val="0"/>
              </w:rPr>
              <w:t xml:space="preserve">Trade receivable</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A9">
            <w:pPr>
              <w:spacing w:after="0" w:line="240" w:lineRule="auto"/>
              <w:jc w:val="right"/>
              <w:rPr>
                <w:color w:val="000000"/>
              </w:rPr>
            </w:pPr>
            <w:r w:rsidDel="00000000" w:rsidR="00000000" w:rsidRPr="00000000">
              <w:rPr>
                <w:color w:val="000000"/>
                <w:rtl w:val="0"/>
              </w:rPr>
              <w:t xml:space="preserve">170,125</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AA">
            <w:pPr>
              <w:spacing w:after="0" w:line="240" w:lineRule="auto"/>
              <w:jc w:val="righ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AB">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AC">
            <w:pPr>
              <w:spacing w:after="0" w:line="240" w:lineRule="auto"/>
              <w:jc w:val="left"/>
              <w:rPr>
                <w:color w:val="000000"/>
              </w:rPr>
            </w:pPr>
            <w:r w:rsidDel="00000000" w:rsidR="00000000" w:rsidRPr="00000000">
              <w:rPr>
                <w:color w:val="000000"/>
                <w:rtl w:val="0"/>
              </w:rPr>
              <w:t xml:space="preserve">Less: Commission</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AD">
            <w:pPr>
              <w:spacing w:after="0" w:line="240" w:lineRule="auto"/>
              <w:jc w:val="right"/>
              <w:rPr>
                <w:color w:val="000000"/>
              </w:rPr>
            </w:pPr>
            <w:r w:rsidDel="00000000" w:rsidR="00000000" w:rsidRPr="00000000">
              <w:rPr>
                <w:color w:val="000000"/>
                <w:rtl w:val="0"/>
              </w:rPr>
              <w:t xml:space="preserve">3,000</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AE">
            <w:pPr>
              <w:spacing w:after="0" w:line="240" w:lineRule="auto"/>
              <w:jc w:val="righ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AF">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B0">
            <w:pPr>
              <w:spacing w:after="0" w:line="240" w:lineRule="auto"/>
              <w:jc w:val="left"/>
              <w:rPr>
                <w:color w:val="000000"/>
              </w:rPr>
            </w:pPr>
            <w:r w:rsidDel="00000000" w:rsidR="00000000" w:rsidRPr="00000000">
              <w:rPr>
                <w:color w:val="000000"/>
                <w:rtl w:val="0"/>
              </w:rPr>
              <w:t xml:space="preserve"> </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B1">
            <w:pPr>
              <w:spacing w:after="0" w:line="240" w:lineRule="auto"/>
              <w:jc w:val="right"/>
              <w:rPr>
                <w:color w:val="000000"/>
              </w:rPr>
            </w:pPr>
            <w:r w:rsidDel="00000000" w:rsidR="00000000" w:rsidRPr="00000000">
              <w:rPr>
                <w:color w:val="000000"/>
                <w:rtl w:val="0"/>
              </w:rPr>
              <w:t xml:space="preserve">167,125</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B2">
            <w:pPr>
              <w:spacing w:after="0" w:line="240" w:lineRule="auto"/>
              <w:jc w:val="righ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B3">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B4">
            <w:pPr>
              <w:spacing w:after="0" w:line="240" w:lineRule="auto"/>
              <w:jc w:val="left"/>
              <w:rPr>
                <w:color w:val="000000"/>
              </w:rPr>
            </w:pPr>
            <w:r w:rsidDel="00000000" w:rsidR="00000000" w:rsidRPr="00000000">
              <w:rPr>
                <w:color w:val="000000"/>
                <w:rtl w:val="0"/>
              </w:rPr>
              <w:t xml:space="preserve">Add: Unrecorded sales</w:t>
            </w:r>
          </w:p>
        </w:tc>
        <w:tc>
          <w:tcPr>
            <w:tcBorders>
              <w:top w:color="000000" w:space="0" w:sz="0" w:val="nil"/>
              <w:left w:color="000000" w:space="0" w:sz="0" w:val="nil"/>
              <w:bottom w:color="000000" w:space="0" w:sz="4" w:val="single"/>
              <w:right w:color="000000" w:space="0" w:sz="4" w:val="single"/>
            </w:tcBorders>
            <w:shd w:fill="auto" w:val="clear"/>
            <w:vAlign w:val="bottom"/>
          </w:tcPr>
          <w:p w:rsidR="00000000" w:rsidDel="00000000" w:rsidP="00000000" w:rsidRDefault="00000000" w:rsidRPr="00000000" w14:paraId="000000B5">
            <w:pPr>
              <w:spacing w:after="0" w:line="240" w:lineRule="auto"/>
              <w:jc w:val="right"/>
              <w:rPr>
                <w:color w:val="000000"/>
              </w:rPr>
            </w:pPr>
            <w:r w:rsidDel="00000000" w:rsidR="00000000" w:rsidRPr="00000000">
              <w:rPr>
                <w:color w:val="000000"/>
                <w:rtl w:val="0"/>
              </w:rPr>
              <w:t xml:space="preserve">980</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B6">
            <w:pPr>
              <w:spacing w:after="0" w:line="240" w:lineRule="auto"/>
              <w:jc w:val="right"/>
              <w:rPr>
                <w:color w:val="000000"/>
              </w:rPr>
            </w:pPr>
            <w:r w:rsidDel="00000000" w:rsidR="00000000" w:rsidRPr="00000000">
              <w:rPr>
                <w:color w:val="000000"/>
                <w:rtl w:val="0"/>
              </w:rPr>
              <w:t xml:space="preserve">168,105</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B7">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B8">
            <w:pPr>
              <w:spacing w:after="0" w:line="240" w:lineRule="auto"/>
              <w:jc w:val="left"/>
              <w:rPr>
                <w:color w:val="000000"/>
              </w:rPr>
            </w:pPr>
            <w:r w:rsidDel="00000000" w:rsidR="00000000" w:rsidRPr="00000000">
              <w:rPr>
                <w:color w:val="000000"/>
                <w:rtl w:val="0"/>
              </w:rPr>
              <w:t xml:space="preserve">Cash and bank</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B9">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A">
            <w:pPr>
              <w:spacing w:after="0" w:line="240" w:lineRule="auto"/>
              <w:jc w:val="right"/>
              <w:rPr>
                <w:color w:val="000000"/>
              </w:rPr>
            </w:pPr>
            <w:r w:rsidDel="00000000" w:rsidR="00000000" w:rsidRPr="00000000">
              <w:rPr>
                <w:color w:val="000000"/>
                <w:rtl w:val="0"/>
              </w:rPr>
              <w:t xml:space="preserve">76,250</w:t>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B">
            <w:pPr>
              <w:spacing w:after="0" w:line="240" w:lineRule="auto"/>
              <w:jc w:val="right"/>
              <w:rPr>
                <w:color w:val="000000"/>
              </w:rPr>
            </w:pPr>
            <w:r w:rsidDel="00000000" w:rsidR="00000000" w:rsidRPr="00000000">
              <w:rPr>
                <w:color w:val="000000"/>
                <w:rtl w:val="0"/>
              </w:rPr>
              <w:t xml:space="preserve">574,955</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BC">
            <w:pPr>
              <w:spacing w:after="0" w:line="240" w:lineRule="auto"/>
              <w:jc w:val="left"/>
              <w:rPr>
                <w:b w:val="1"/>
                <w:color w:val="000000"/>
              </w:rPr>
            </w:pPr>
            <w:r w:rsidDel="00000000" w:rsidR="00000000" w:rsidRPr="00000000">
              <w:rPr>
                <w:b w:val="1"/>
                <w:color w:val="000000"/>
                <w:rtl w:val="0"/>
              </w:rPr>
              <w:t xml:space="preserve">Total Assets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BD">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BE">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BF">
            <w:pPr>
              <w:spacing w:after="0" w:line="240" w:lineRule="auto"/>
              <w:jc w:val="right"/>
              <w:rPr>
                <w:b w:val="1"/>
                <w:color w:val="000000"/>
              </w:rPr>
            </w:pPr>
            <w:r w:rsidDel="00000000" w:rsidR="00000000" w:rsidRPr="00000000">
              <w:rPr>
                <w:b w:val="1"/>
                <w:color w:val="000000"/>
                <w:rtl w:val="0"/>
              </w:rPr>
              <w:t xml:space="preserve">1,224,955</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C0">
            <w:pPr>
              <w:spacing w:after="0" w:line="240" w:lineRule="auto"/>
              <w:jc w:val="left"/>
              <w:rPr>
                <w:color w:val="000000"/>
              </w:rPr>
            </w:pPr>
            <w:r w:rsidDel="00000000" w:rsidR="00000000" w:rsidRPr="00000000">
              <w:rPr>
                <w:color w:val="000000"/>
                <w:rtl w:val="0"/>
              </w:rPr>
              <w:t xml:space="preserve"> </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C1">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C2">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C3">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C4">
            <w:pPr>
              <w:spacing w:after="0" w:line="240" w:lineRule="auto"/>
              <w:jc w:val="left"/>
              <w:rPr>
                <w:b w:val="1"/>
                <w:color w:val="000000"/>
              </w:rPr>
            </w:pPr>
            <w:r w:rsidDel="00000000" w:rsidR="00000000" w:rsidRPr="00000000">
              <w:rPr>
                <w:b w:val="1"/>
                <w:color w:val="000000"/>
                <w:rtl w:val="0"/>
              </w:rPr>
              <w:t xml:space="preserve">Liabilities and Owner's Equity</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C5">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C6">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C7">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C8">
            <w:pPr>
              <w:spacing w:after="0" w:line="240" w:lineRule="auto"/>
              <w:jc w:val="left"/>
              <w:rPr>
                <w:color w:val="000000"/>
              </w:rPr>
            </w:pPr>
            <w:r w:rsidDel="00000000" w:rsidR="00000000" w:rsidRPr="00000000">
              <w:rPr>
                <w:color w:val="000000"/>
                <w:rtl w:val="0"/>
              </w:rPr>
              <w:t xml:space="preserve">£1 ordinary shares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C9">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CA">
            <w:pPr>
              <w:spacing w:after="0" w:line="240" w:lineRule="auto"/>
              <w:jc w:val="right"/>
              <w:rPr>
                <w:color w:val="000000"/>
              </w:rPr>
            </w:pPr>
            <w:r w:rsidDel="00000000" w:rsidR="00000000" w:rsidRPr="00000000">
              <w:rPr>
                <w:color w:val="000000"/>
                <w:rtl w:val="0"/>
              </w:rPr>
              <w:t xml:space="preserve">500,000</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CB">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CC">
            <w:pPr>
              <w:spacing w:after="0" w:line="240" w:lineRule="auto"/>
              <w:jc w:val="left"/>
              <w:rPr>
                <w:color w:val="000000"/>
              </w:rPr>
            </w:pPr>
            <w:r w:rsidDel="00000000" w:rsidR="00000000" w:rsidRPr="00000000">
              <w:rPr>
                <w:color w:val="000000"/>
                <w:rtl w:val="0"/>
              </w:rPr>
              <w:t xml:space="preserve">10% £1 preference shares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CD">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CE">
            <w:pPr>
              <w:spacing w:after="0" w:line="240" w:lineRule="auto"/>
              <w:jc w:val="right"/>
              <w:rPr>
                <w:color w:val="000000"/>
              </w:rPr>
            </w:pPr>
            <w:r w:rsidDel="00000000" w:rsidR="00000000" w:rsidRPr="00000000">
              <w:rPr>
                <w:color w:val="000000"/>
                <w:rtl w:val="0"/>
              </w:rPr>
              <w:t xml:space="preserve">200,000</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CF">
            <w:pPr>
              <w:spacing w:after="0" w:line="240" w:lineRule="auto"/>
              <w:jc w:val="right"/>
              <w:rPr>
                <w:color w:val="000000"/>
              </w:rPr>
            </w:pPr>
            <w:r w:rsidDel="00000000" w:rsidR="00000000" w:rsidRPr="00000000">
              <w:rPr>
                <w:color w:val="000000"/>
                <w:rtl w:val="0"/>
              </w:rPr>
              <w:t xml:space="preserve">700,000</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D0">
            <w:pPr>
              <w:spacing w:after="0" w:line="240" w:lineRule="auto"/>
              <w:jc w:val="left"/>
              <w:rPr>
                <w:color w:val="000000"/>
              </w:rPr>
            </w:pPr>
            <w:r w:rsidDel="00000000" w:rsidR="00000000" w:rsidRPr="00000000">
              <w:rPr>
                <w:color w:val="000000"/>
                <w:rtl w:val="0"/>
              </w:rPr>
              <w:t xml:space="preserve"> </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D1">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D2">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D3">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D4">
            <w:pPr>
              <w:spacing w:after="0" w:line="240" w:lineRule="auto"/>
              <w:jc w:val="left"/>
              <w:rPr>
                <w:b w:val="1"/>
                <w:color w:val="000000"/>
              </w:rPr>
            </w:pPr>
            <w:r w:rsidDel="00000000" w:rsidR="00000000" w:rsidRPr="00000000">
              <w:rPr>
                <w:b w:val="1"/>
                <w:color w:val="000000"/>
                <w:rtl w:val="0"/>
              </w:rPr>
              <w:t xml:space="preserve">Long-term Liabilities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D5">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D6">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D7">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D8">
            <w:pPr>
              <w:spacing w:after="0" w:line="240" w:lineRule="auto"/>
              <w:jc w:val="left"/>
              <w:rPr>
                <w:color w:val="000000"/>
              </w:rPr>
            </w:pPr>
            <w:r w:rsidDel="00000000" w:rsidR="00000000" w:rsidRPr="00000000">
              <w:rPr>
                <w:color w:val="000000"/>
                <w:rtl w:val="0"/>
              </w:rPr>
              <w:t xml:space="preserve">4% debentures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D9">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DA">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DB">
            <w:pPr>
              <w:spacing w:after="0" w:line="240" w:lineRule="auto"/>
              <w:jc w:val="right"/>
              <w:rPr>
                <w:color w:val="000000"/>
              </w:rPr>
            </w:pPr>
            <w:r w:rsidDel="00000000" w:rsidR="00000000" w:rsidRPr="00000000">
              <w:rPr>
                <w:color w:val="000000"/>
                <w:rtl w:val="0"/>
              </w:rPr>
              <w:t xml:space="preserve">100,000</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DC">
            <w:pPr>
              <w:spacing w:after="0" w:line="240" w:lineRule="auto"/>
              <w:jc w:val="left"/>
              <w:rPr>
                <w:color w:val="000000"/>
              </w:rPr>
            </w:pPr>
            <w:r w:rsidDel="00000000" w:rsidR="00000000" w:rsidRPr="00000000">
              <w:rPr>
                <w:color w:val="000000"/>
                <w:rtl w:val="0"/>
              </w:rPr>
              <w:t xml:space="preserve"> </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DD">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DE">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DF">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E0">
            <w:pPr>
              <w:spacing w:after="0" w:line="240" w:lineRule="auto"/>
              <w:jc w:val="left"/>
              <w:rPr>
                <w:b w:val="1"/>
                <w:color w:val="000000"/>
              </w:rPr>
            </w:pPr>
            <w:r w:rsidDel="00000000" w:rsidR="00000000" w:rsidRPr="00000000">
              <w:rPr>
                <w:b w:val="1"/>
                <w:color w:val="000000"/>
                <w:rtl w:val="0"/>
              </w:rPr>
              <w:t xml:space="preserve">Funds and Balances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E1">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E2">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E3">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gridSpan w:val="2"/>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E4">
            <w:pPr>
              <w:spacing w:after="0" w:line="240" w:lineRule="auto"/>
              <w:jc w:val="left"/>
              <w:rPr>
                <w:color w:val="000000"/>
              </w:rPr>
            </w:pPr>
            <w:r w:rsidDel="00000000" w:rsidR="00000000" w:rsidRPr="00000000">
              <w:rPr>
                <w:color w:val="000000"/>
                <w:rtl w:val="0"/>
              </w:rPr>
              <w:t xml:space="preserve">Retained profits on 1st January 2022</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E6">
            <w:pPr>
              <w:spacing w:after="0" w:line="240" w:lineRule="auto"/>
              <w:jc w:val="right"/>
              <w:rPr>
                <w:color w:val="000000"/>
              </w:rPr>
            </w:pPr>
            <w:r w:rsidDel="00000000" w:rsidR="00000000" w:rsidRPr="00000000">
              <w:rPr>
                <w:color w:val="000000"/>
                <w:rtl w:val="0"/>
              </w:rPr>
              <w:t xml:space="preserve">136,330</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E7">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E8">
            <w:pPr>
              <w:spacing w:after="0" w:line="240" w:lineRule="auto"/>
              <w:jc w:val="left"/>
              <w:rPr>
                <w:color w:val="000000"/>
              </w:rPr>
            </w:pPr>
            <w:r w:rsidDel="00000000" w:rsidR="00000000" w:rsidRPr="00000000">
              <w:rPr>
                <w:color w:val="000000"/>
                <w:rtl w:val="0"/>
              </w:rPr>
              <w:t xml:space="preserve">Estimated tax</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E9">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EA">
            <w:pPr>
              <w:spacing w:after="0" w:line="240" w:lineRule="auto"/>
              <w:jc w:val="right"/>
              <w:rPr>
                <w:color w:val="000000"/>
              </w:rPr>
            </w:pPr>
            <w:r w:rsidDel="00000000" w:rsidR="00000000" w:rsidRPr="00000000">
              <w:rPr>
                <w:color w:val="000000"/>
                <w:rtl w:val="0"/>
              </w:rPr>
              <w:t xml:space="preserve">100,000</w:t>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EB">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EC">
            <w:pPr>
              <w:spacing w:after="0" w:line="240" w:lineRule="auto"/>
              <w:jc w:val="left"/>
              <w:rPr>
                <w:color w:val="000000"/>
              </w:rPr>
            </w:pPr>
            <w:r w:rsidDel="00000000" w:rsidR="00000000" w:rsidRPr="00000000">
              <w:rPr>
                <w:color w:val="000000"/>
                <w:rtl w:val="0"/>
              </w:rPr>
              <w:t xml:space="preserve"> </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ED">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EE">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EF">
            <w:pPr>
              <w:spacing w:after="0" w:line="240" w:lineRule="auto"/>
              <w:jc w:val="right"/>
              <w:rPr>
                <w:color w:val="000000"/>
              </w:rPr>
            </w:pPr>
            <w:r w:rsidDel="00000000" w:rsidR="00000000" w:rsidRPr="00000000">
              <w:rPr>
                <w:color w:val="000000"/>
                <w:rtl w:val="0"/>
              </w:rPr>
              <w:t xml:space="preserve">236,330</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F0">
            <w:pPr>
              <w:spacing w:after="0" w:line="240" w:lineRule="auto"/>
              <w:jc w:val="left"/>
              <w:rPr>
                <w:b w:val="1"/>
                <w:color w:val="000000"/>
              </w:rPr>
            </w:pPr>
            <w:r w:rsidDel="00000000" w:rsidR="00000000" w:rsidRPr="00000000">
              <w:rPr>
                <w:b w:val="1"/>
                <w:color w:val="000000"/>
                <w:rtl w:val="0"/>
              </w:rPr>
              <w:t xml:space="preserve">Current Liabilities</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F1">
            <w:pPr>
              <w:spacing w:after="0" w:line="240" w:lineRule="auto"/>
              <w:jc w:val="left"/>
              <w:rPr>
                <w:b w:val="1"/>
                <w:color w:val="000000"/>
              </w:rPr>
            </w:pPr>
            <w:r w:rsidDel="00000000" w:rsidR="00000000" w:rsidRPr="00000000">
              <w:rPr>
                <w:rtl w:val="0"/>
              </w:rPr>
            </w:r>
          </w:p>
        </w:tc>
        <w:tc>
          <w:tcPr>
            <w:tcBorders>
              <w:top w:color="000000" w:space="0" w:sz="0" w:val="nil"/>
              <w:left w:color="000000" w:space="0" w:sz="4" w:val="single"/>
              <w:right w:color="000000" w:space="0" w:sz="4" w:val="single"/>
            </w:tcBorders>
            <w:shd w:fill="auto" w:val="clear"/>
            <w:vAlign w:val="bottom"/>
          </w:tcPr>
          <w:p w:rsidR="00000000" w:rsidDel="00000000" w:rsidP="00000000" w:rsidRDefault="00000000" w:rsidRPr="00000000" w14:paraId="000000F2">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F3">
            <w:pPr>
              <w:spacing w:after="0" w:line="240" w:lineRule="auto"/>
              <w:jc w:val="left"/>
              <w:rPr>
                <w:color w:val="000000"/>
              </w:rPr>
            </w:pPr>
            <w:r w:rsidDel="00000000" w:rsidR="00000000" w:rsidRPr="00000000">
              <w:rPr>
                <w:color w:val="000000"/>
                <w:rtl w:val="0"/>
              </w:rPr>
              <w:t xml:space="preserve"> </w:t>
            </w:r>
          </w:p>
        </w:tc>
      </w:tr>
      <w:tr>
        <w:trPr>
          <w:cantSplit w:val="0"/>
          <w:trHeight w:val="315" w:hRule="atLeast"/>
          <w:tblHeader w:val="0"/>
        </w:trPr>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F4">
            <w:pPr>
              <w:spacing w:after="0" w:line="240" w:lineRule="auto"/>
              <w:jc w:val="left"/>
              <w:rPr>
                <w:color w:val="000000"/>
              </w:rPr>
            </w:pPr>
            <w:r w:rsidDel="00000000" w:rsidR="00000000" w:rsidRPr="00000000">
              <w:rPr>
                <w:color w:val="000000"/>
                <w:rtl w:val="0"/>
              </w:rPr>
              <w:t xml:space="preserve">Trade payable</w:t>
            </w:r>
          </w:p>
        </w:tc>
        <w:tc>
          <w:tcPr>
            <w:tcBorders>
              <w:top w:color="000000" w:space="0" w:sz="0" w:val="nil"/>
              <w:left w:color="000000" w:space="0" w:sz="0" w:val="nil"/>
              <w:bottom w:color="000000" w:space="0" w:sz="0" w:val="nil"/>
              <w:right w:color="000000" w:space="0" w:sz="4" w:val="single"/>
            </w:tcBorders>
            <w:shd w:fill="auto" w:val="clear"/>
            <w:vAlign w:val="bottom"/>
          </w:tcPr>
          <w:p w:rsidR="00000000" w:rsidDel="00000000" w:rsidP="00000000" w:rsidRDefault="00000000" w:rsidRPr="00000000" w14:paraId="000000F5">
            <w:pPr>
              <w:spacing w:after="0" w:line="240" w:lineRule="auto"/>
              <w:jc w:val="left"/>
              <w:rPr>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4" w:val="single"/>
            </w:tcBorders>
            <w:shd w:fill="auto" w:val="clear"/>
            <w:vAlign w:val="bottom"/>
          </w:tcPr>
          <w:p w:rsidR="00000000" w:rsidDel="00000000" w:rsidP="00000000" w:rsidRDefault="00000000" w:rsidRPr="00000000" w14:paraId="000000F6">
            <w:pPr>
              <w:spacing w:after="0" w:line="240" w:lineRule="auto"/>
              <w:jc w:val="left"/>
              <w:rPr>
                <w:sz w:val="20"/>
                <w:szCs w:val="20"/>
              </w:rPr>
            </w:pPr>
            <w:r w:rsidDel="00000000" w:rsidR="00000000" w:rsidRPr="00000000">
              <w:rPr>
                <w:rtl w:val="0"/>
              </w:rPr>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7">
            <w:pPr>
              <w:spacing w:after="0" w:line="240" w:lineRule="auto"/>
              <w:jc w:val="right"/>
              <w:rPr>
                <w:color w:val="000000"/>
              </w:rPr>
            </w:pPr>
            <w:r w:rsidDel="00000000" w:rsidR="00000000" w:rsidRPr="00000000">
              <w:rPr>
                <w:color w:val="000000"/>
                <w:rtl w:val="0"/>
              </w:rPr>
              <w:t xml:space="preserve">188,625</w:t>
            </w:r>
          </w:p>
        </w:tc>
      </w:tr>
      <w:tr>
        <w:trPr>
          <w:cantSplit w:val="0"/>
          <w:trHeight w:val="315" w:hRule="atLeast"/>
          <w:tblHeader w:val="0"/>
        </w:trPr>
        <w:tc>
          <w:tcPr>
            <w:gridSpan w:val="2"/>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8">
            <w:pPr>
              <w:spacing w:after="0" w:line="240" w:lineRule="auto"/>
              <w:jc w:val="left"/>
              <w:rPr>
                <w:b w:val="1"/>
                <w:color w:val="000000"/>
              </w:rPr>
            </w:pPr>
            <w:r w:rsidDel="00000000" w:rsidR="00000000" w:rsidRPr="00000000">
              <w:rPr>
                <w:b w:val="1"/>
                <w:color w:val="000000"/>
                <w:rtl w:val="0"/>
              </w:rPr>
              <w:t xml:space="preserve">Total Liabilities and Owner's Equity</w:t>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A">
            <w:pPr>
              <w:spacing w:after="0" w:line="240" w:lineRule="auto"/>
              <w:jc w:val="left"/>
              <w:rPr>
                <w:b w:val="1"/>
                <w:color w:val="000000"/>
              </w:rPr>
            </w:pPr>
            <w:r w:rsidDel="00000000" w:rsidR="00000000" w:rsidRPr="00000000">
              <w:rPr>
                <w:b w:val="1"/>
                <w:color w:val="000000"/>
                <w:rtl w:val="0"/>
              </w:rPr>
              <w:t xml:space="preserve"> </w:t>
            </w:r>
          </w:p>
        </w:tc>
        <w:tc>
          <w:tcPr>
            <w:tcBorders>
              <w:top w:color="000000" w:space="0" w:sz="0" w:val="nil"/>
              <w:left w:color="000000" w:space="0" w:sz="4" w:val="single"/>
              <w:bottom w:color="000000" w:space="0" w:sz="4" w:val="single"/>
              <w:right w:color="000000" w:space="0" w:sz="4" w:val="single"/>
            </w:tcBorders>
            <w:shd w:fill="auto" w:val="clear"/>
            <w:vAlign w:val="bottom"/>
          </w:tcPr>
          <w:p w:rsidR="00000000" w:rsidDel="00000000" w:rsidP="00000000" w:rsidRDefault="00000000" w:rsidRPr="00000000" w14:paraId="000000FB">
            <w:pPr>
              <w:spacing w:after="0" w:line="240" w:lineRule="auto"/>
              <w:jc w:val="right"/>
              <w:rPr>
                <w:b w:val="1"/>
                <w:color w:val="000000"/>
              </w:rPr>
            </w:pPr>
            <w:r w:rsidDel="00000000" w:rsidR="00000000" w:rsidRPr="00000000">
              <w:rPr>
                <w:b w:val="1"/>
                <w:color w:val="000000"/>
                <w:rtl w:val="0"/>
              </w:rPr>
              <w:t xml:space="preserve">1,224,955</w:t>
            </w:r>
          </w:p>
        </w:tc>
      </w:tr>
    </w:tbl>
    <w:p w:rsidR="00000000" w:rsidDel="00000000" w:rsidP="00000000" w:rsidRDefault="00000000" w:rsidRPr="00000000" w14:paraId="000000FC">
      <w:pPr>
        <w:jc w:val="cente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sectPr>
          <w:type w:val="nextPage"/>
          <w:pgSz w:h="16839" w:w="11907"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100">
      <w:pPr>
        <w:pStyle w:val="Heading1"/>
        <w:rPr/>
      </w:pPr>
      <w:bookmarkStart w:colFirst="0" w:colLast="0" w:name="_30j0zll" w:id="1"/>
      <w:bookmarkEnd w:id="1"/>
      <w:r w:rsidDel="00000000" w:rsidR="00000000" w:rsidRPr="00000000">
        <w:rPr>
          <w:rtl w:val="0"/>
        </w:rPr>
        <w:t xml:space="preserve">Question 1(b): Universal Balance of Financial Position</w:t>
      </w:r>
    </w:p>
    <w:p w:rsidR="00000000" w:rsidDel="00000000" w:rsidP="00000000" w:rsidRDefault="00000000" w:rsidRPr="00000000" w14:paraId="00000101">
      <w:pPr>
        <w:rPr/>
      </w:pPr>
      <w:r w:rsidDel="00000000" w:rsidR="00000000" w:rsidRPr="00000000">
        <w:rPr>
          <w:rtl w:val="0"/>
        </w:rPr>
        <w:t xml:space="preserve">Statement of financial position represents two parts named assets, liabilities, and shareholders’ equity. Here, assets represent the ownership of necessary properties, instruments or stock or anything measurable that the company will receive in future (Franklin et al., 2019). On the contrary, liabilities are what a company owes to different stakeholders such as suppliers, lenders, government, etc. (McLaney and Atrill, 2016) Additionally, the capital invested by shareholders, loans provided by lenders and all the funds is stated in the shareholders’ equity section. Balance of financial position, hence, refers to the equity of assets and liabilities and owners’ equity. On another note, the assets are capable of paying off all the liabilities and owners can get back investments with efficient profitability when a balance sheet turns balanced.</w:t>
      </w:r>
    </w:p>
    <w:p w:rsidR="00000000" w:rsidDel="00000000" w:rsidP="00000000" w:rsidRDefault="00000000" w:rsidRPr="00000000" w14:paraId="00000102">
      <w:pPr>
        <w:rPr>
          <w:color w:val="000000"/>
        </w:rPr>
      </w:pPr>
      <w:r w:rsidDel="00000000" w:rsidR="00000000" w:rsidRPr="00000000">
        <w:rPr>
          <w:rtl w:val="0"/>
        </w:rPr>
        <w:t xml:space="preserve">The major reason behind the balancing of a statement of financial position lies in the accounting principle of double entry. The double entry system states that every transaction in accounting should have equal and opposite effects on at least two accounts which usually equals the asset portion with liabilities and shareholders’ equity (Smith, 2018). Consistency of such entries is checked to confirm the entries are reported accurately across debit and credit portions. An example can make the balance further transparent. Wales Plc purchased a car with a bank loan. This transaction will create an asset account for the car and a liabilities account for the loan. If the price of the car is </w:t>
      </w:r>
      <w:r w:rsidDel="00000000" w:rsidR="00000000" w:rsidRPr="00000000">
        <w:rPr>
          <w:color w:val="000000"/>
          <w:rtl w:val="0"/>
        </w:rPr>
        <w:t xml:space="preserve">£25,000, holding everything else constant, the double entry to liability and asset creates a balance in the financial position. Similarly, all the transactions are recorded which makes a balance in the statement of financial position. It confirms the efficient performance of the firm to continue towards eternity. The imbalance here indicates something has been recorded wrongfully which needs to be discovered and solved. </w:t>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pStyle w:val="Heading1"/>
        <w:rPr/>
      </w:pPr>
      <w:bookmarkStart w:colFirst="0" w:colLast="0" w:name="_1fob9te" w:id="2"/>
      <w:bookmarkEnd w:id="2"/>
      <w:r w:rsidDel="00000000" w:rsidR="00000000" w:rsidRPr="00000000">
        <w:rPr>
          <w:rtl w:val="0"/>
        </w:rPr>
        <w:t xml:space="preserve">Question 2(a): Calculation of Ratios for Sweets Plc</w:t>
      </w:r>
    </w:p>
    <w:p w:rsidR="00000000" w:rsidDel="00000000" w:rsidP="00000000" w:rsidRDefault="00000000" w:rsidRPr="00000000" w14:paraId="000001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ROCE</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ROCE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Earnings before Interest and Tax</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Capital Employed</m:t>
            </m:r>
          </m:den>
        </m:f>
      </m:oMath>
      <w:r w:rsidDel="00000000" w:rsidR="00000000" w:rsidRPr="00000000">
        <w:rPr>
          <w:rtl w:val="0"/>
        </w:rPr>
      </w:r>
    </w:p>
    <w:tbl>
      <w:tblPr>
        <w:tblStyle w:val="Table4"/>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796"/>
        <w:gridCol w:w="1134"/>
        <w:gridCol w:w="1367"/>
        <w:tblGridChange w:id="0">
          <w:tblGrid>
            <w:gridCol w:w="5796"/>
            <w:gridCol w:w="1134"/>
            <w:gridCol w:w="1367"/>
          </w:tblGrid>
        </w:tblGridChange>
      </w:tblGrid>
      <w:tr>
        <w:trPr>
          <w:cantSplit w:val="0"/>
          <w:tblHeader w:val="0"/>
        </w:trPr>
        <w:tc>
          <w:tcPr/>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Earnings before interest and taxes</w:t>
            </w:r>
          </w:p>
        </w:tc>
        <w:tc>
          <w:tcPr/>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805</w:t>
            </w:r>
          </w:p>
        </w:tc>
        <w:tc>
          <w:tcPr/>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699</w:t>
            </w:r>
          </w:p>
        </w:tc>
      </w:tr>
      <w:tr>
        <w:trPr>
          <w:cantSplit w:val="0"/>
          <w:tblHeader w:val="0"/>
        </w:trPr>
        <w:tc>
          <w:tcPr/>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Total assets</w:t>
            </w:r>
          </w:p>
        </w:tc>
        <w:tc>
          <w:tcPr/>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9,736</w:t>
            </w:r>
          </w:p>
        </w:tc>
        <w:tc>
          <w:tcPr/>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10,087</w:t>
            </w:r>
          </w:p>
        </w:tc>
      </w:tr>
      <w:tr>
        <w:trPr>
          <w:cantSplit w:val="0"/>
          <w:tblHeader w:val="0"/>
        </w:trPr>
        <w:tc>
          <w:tcPr/>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Current Liabilities</w:t>
            </w:r>
          </w:p>
        </w:tc>
        <w:tc>
          <w:tcPr/>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2,511</w:t>
            </w:r>
          </w:p>
        </w:tc>
        <w:tc>
          <w:tcPr/>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3,048</w:t>
            </w:r>
          </w:p>
        </w:tc>
      </w:tr>
      <w:tr>
        <w:trPr>
          <w:cantSplit w:val="0"/>
          <w:tblHeader w:val="0"/>
        </w:trPr>
        <w:tc>
          <w:tcPr/>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Capital employed = (Total assets – Current liabilities)</w:t>
            </w:r>
          </w:p>
        </w:tc>
        <w:tc>
          <w:tcPr/>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7,225</w:t>
            </w:r>
          </w:p>
        </w:tc>
        <w:tc>
          <w:tcPr/>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7,039</w:t>
            </w:r>
          </w:p>
        </w:tc>
      </w:tr>
      <w:tr>
        <w:trPr>
          <w:cantSplit w:val="0"/>
          <w:tblHeader w:val="0"/>
        </w:trPr>
        <w:tc>
          <w:tcPr/>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ROCE</w:t>
            </w:r>
          </w:p>
        </w:tc>
        <w:tc>
          <w:tcPr/>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11.14%</w:t>
            </w:r>
          </w:p>
        </w:tc>
        <w:tc>
          <w:tcPr/>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9.93%</w:t>
            </w:r>
          </w:p>
        </w:tc>
      </w:tr>
    </w:tbl>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ROE</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ROE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Net Income</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Shareholde</m:t>
            </m:r>
            <m:sSup>
              <m:sSupPr>
                <m:ctrlPr>
                  <w:rPr>
                    <w:rFonts w:ascii="Cambria Math" w:cs="Cambria Math" w:eastAsia="Cambria Math" w:hAnsi="Cambria Math"/>
                    <w:b w:val="0"/>
                    <w:i w:val="0"/>
                    <w:smallCaps w:val="0"/>
                    <w:strike w:val="0"/>
                    <w:color w:val="000000"/>
                    <w:sz w:val="24"/>
                    <w:szCs w:val="24"/>
                    <w:u w:val="none"/>
                    <w:shd w:fill="auto" w:val="clear"/>
                    <w:vertAlign w:val="baseline"/>
                  </w:rPr>
                </m:ctrlPr>
              </m:sSupPr>
              <m:e>
                <m:r>
                  <w:rPr>
                    <w:rFonts w:ascii="Cambria Math" w:cs="Cambria Math" w:eastAsia="Cambria Math" w:hAnsi="Cambria Math"/>
                    <w:b w:val="0"/>
                    <w:i w:val="0"/>
                    <w:smallCaps w:val="0"/>
                    <w:strike w:val="0"/>
                    <w:color w:val="000000"/>
                    <w:sz w:val="24"/>
                    <w:szCs w:val="24"/>
                    <w:u w:val="none"/>
                    <w:shd w:fill="auto" w:val="clear"/>
                    <w:vertAlign w:val="baseline"/>
                  </w:rPr>
                  <m:t xml:space="preserve">r</m:t>
                </m:r>
              </m:e>
              <m:sup>
                <m:r>
                  <w:rPr>
                    <w:rFonts w:ascii="Cambria Math" w:cs="Cambria Math" w:eastAsia="Cambria Math" w:hAnsi="Cambria Math"/>
                    <w:b w:val="0"/>
                    <w:i w:val="0"/>
                    <w:smallCaps w:val="0"/>
                    <w:strike w:val="0"/>
                    <w:color w:val="000000"/>
                    <w:sz w:val="24"/>
                    <w:szCs w:val="24"/>
                    <w:u w:val="none"/>
                    <w:shd w:fill="auto" w:val="clear"/>
                    <w:vertAlign w:val="baseline"/>
                  </w:rPr>
                  <m:t xml:space="preserve">'</m:t>
                </m:r>
              </m:sup>
            </m:sSup>
            <m:r>
              <w:rPr>
                <w:rFonts w:ascii="Cambria Math" w:cs="Cambria Math" w:eastAsia="Cambria Math" w:hAnsi="Cambria Math"/>
                <w:b w:val="0"/>
                <w:i w:val="0"/>
                <w:smallCaps w:val="0"/>
                <w:strike w:val="0"/>
                <w:color w:val="000000"/>
                <w:sz w:val="24"/>
                <w:szCs w:val="24"/>
                <w:u w:val="none"/>
                <w:shd w:fill="auto" w:val="clear"/>
                <w:vertAlign w:val="baseline"/>
              </w:rPr>
              <m:t xml:space="preserve">s Equity</m:t>
            </m:r>
          </m:den>
        </m:f>
      </m:oMath>
      <w:r w:rsidDel="00000000" w:rsidR="00000000" w:rsidRPr="00000000">
        <w:rPr>
          <w:rtl w:val="0"/>
        </w:rPr>
      </w:r>
    </w:p>
    <w:tbl>
      <w:tblPr>
        <w:tblStyle w:val="Table5"/>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11"/>
        <w:gridCol w:w="2268"/>
        <w:gridCol w:w="2218"/>
        <w:tblGridChange w:id="0">
          <w:tblGrid>
            <w:gridCol w:w="3811"/>
            <w:gridCol w:w="2268"/>
            <w:gridCol w:w="2218"/>
          </w:tblGrid>
        </w:tblGridChange>
      </w:tblGrid>
      <w:tr>
        <w:trPr>
          <w:cantSplit w:val="0"/>
          <w:tblHeader w:val="0"/>
        </w:trPr>
        <w:tc>
          <w:tcPr/>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Net income</w:t>
            </w:r>
          </w:p>
        </w:tc>
        <w:tc>
          <w:tcPr/>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431</w:t>
            </w:r>
          </w:p>
        </w:tc>
        <w:tc>
          <w:tcPr/>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366</w:t>
            </w:r>
          </w:p>
        </w:tc>
      </w:tr>
      <w:tr>
        <w:trPr>
          <w:cantSplit w:val="0"/>
          <w:tblHeader w:val="0"/>
        </w:trPr>
        <w:tc>
          <w:tcPr/>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Shareholder’s Equity</w:t>
            </w:r>
          </w:p>
        </w:tc>
        <w:tc>
          <w:tcPr/>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3,088</w:t>
            </w:r>
          </w:p>
        </w:tc>
        <w:tc>
          <w:tcPr/>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2,912</w:t>
            </w:r>
          </w:p>
        </w:tc>
      </w:tr>
      <w:tr>
        <w:trPr>
          <w:cantSplit w:val="0"/>
          <w:tblHeader w:val="0"/>
        </w:trPr>
        <w:tc>
          <w:tcPr/>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ROE</w:t>
            </w:r>
          </w:p>
        </w:tc>
        <w:tc>
          <w:tcPr/>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13.96%</w:t>
            </w:r>
          </w:p>
        </w:tc>
        <w:tc>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12.57%</w:t>
            </w:r>
          </w:p>
        </w:tc>
      </w:tr>
    </w:tbl>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Earnings Per Share</w:t>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Earnings per share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Net Income-Preferred Dividends</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Weighted Average Shares Outstanding</m:t>
            </m:r>
          </m:den>
        </m:f>
      </m:oMath>
      <w:r w:rsidDel="00000000" w:rsidR="00000000" w:rsidRPr="00000000">
        <w:rPr>
          <w:rtl w:val="0"/>
        </w:rPr>
      </w:r>
    </w:p>
    <w:tbl>
      <w:tblPr>
        <w:tblStyle w:val="Table6"/>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11"/>
        <w:gridCol w:w="2268"/>
        <w:gridCol w:w="2218"/>
        <w:tblGridChange w:id="0">
          <w:tblGrid>
            <w:gridCol w:w="3811"/>
            <w:gridCol w:w="2268"/>
            <w:gridCol w:w="2218"/>
          </w:tblGrid>
        </w:tblGridChange>
      </w:tblGrid>
      <w:tr>
        <w:trPr>
          <w:cantSplit w:val="0"/>
          <w:tblHeader w:val="0"/>
        </w:trPr>
        <w:tc>
          <w:tcPr/>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Net income</w:t>
            </w:r>
          </w:p>
        </w:tc>
        <w:tc>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431</w:t>
            </w:r>
          </w:p>
        </w:tc>
        <w:tc>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366</w:t>
            </w:r>
          </w:p>
        </w:tc>
      </w:tr>
      <w:tr>
        <w:trPr>
          <w:cantSplit w:val="0"/>
          <w:tblHeader w:val="0"/>
        </w:trPr>
        <w:tc>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Ordinary share capital in amount</w:t>
            </w:r>
          </w:p>
        </w:tc>
        <w:tc>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300</w:t>
            </w:r>
          </w:p>
        </w:tc>
        <w:tc>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300</w:t>
            </w:r>
          </w:p>
        </w:tc>
      </w:tr>
      <w:tr>
        <w:trPr>
          <w:cantSplit w:val="0"/>
          <w:tblHeader w:val="0"/>
        </w:trPr>
        <w:tc>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Price per share</w:t>
            </w:r>
          </w:p>
        </w:tc>
        <w:tc>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0.5</w:t>
            </w:r>
          </w:p>
        </w:tc>
        <w:tc>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0.5</w:t>
            </w:r>
          </w:p>
        </w:tc>
      </w:tr>
      <w:tr>
        <w:trPr>
          <w:cantSplit w:val="0"/>
          <w:tblHeader w:val="0"/>
        </w:trPr>
        <w:tc>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Number of shares outstanding</w:t>
            </w:r>
          </w:p>
        </w:tc>
        <w:tc>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600</w:t>
            </w:r>
          </w:p>
        </w:tc>
        <w:tc>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600</w:t>
            </w:r>
          </w:p>
        </w:tc>
      </w:tr>
      <w:tr>
        <w:trPr>
          <w:cantSplit w:val="0"/>
          <w:tblHeader w:val="0"/>
        </w:trPr>
        <w:tc>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Earnings per share</w:t>
            </w:r>
          </w:p>
        </w:tc>
        <w:tc>
          <w:tcPr/>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0.72</w:t>
            </w:r>
          </w:p>
        </w:tc>
        <w:tc>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0.61</w:t>
            </w:r>
          </w:p>
        </w:tc>
      </w:tr>
    </w:tbl>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Net Profit Margin</w:t>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Net profit margin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Net profit for the year</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Revenue</m:t>
            </m:r>
          </m:den>
        </m:f>
      </m:oMath>
      <w:r w:rsidDel="00000000" w:rsidR="00000000" w:rsidRPr="00000000">
        <w:rPr>
          <w:rtl w:val="0"/>
        </w:rPr>
      </w:r>
    </w:p>
    <w:tbl>
      <w:tblPr>
        <w:tblStyle w:val="Table7"/>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11"/>
        <w:gridCol w:w="2268"/>
        <w:gridCol w:w="2218"/>
        <w:tblGridChange w:id="0">
          <w:tblGrid>
            <w:gridCol w:w="3811"/>
            <w:gridCol w:w="2268"/>
            <w:gridCol w:w="2218"/>
          </w:tblGrid>
        </w:tblGridChange>
      </w:tblGrid>
      <w:tr>
        <w:trPr>
          <w:cantSplit w:val="0"/>
          <w:tblHeader w:val="0"/>
        </w:trPr>
        <w:tc>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Net profit for the year</w:t>
            </w:r>
          </w:p>
        </w:tc>
        <w:tc>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431</w:t>
            </w:r>
          </w:p>
        </w:tc>
        <w:tc>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366</w:t>
            </w:r>
          </w:p>
        </w:tc>
      </w:tr>
      <w:tr>
        <w:trPr>
          <w:cantSplit w:val="0"/>
          <w:tblHeader w:val="0"/>
        </w:trPr>
        <w:tc>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Revenue</w:t>
            </w:r>
          </w:p>
        </w:tc>
        <w:tc>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6,738</w:t>
            </w:r>
          </w:p>
        </w:tc>
        <w:tc>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6,441</w:t>
            </w:r>
          </w:p>
        </w:tc>
      </w:tr>
      <w:tr>
        <w:trPr>
          <w:cantSplit w:val="0"/>
          <w:tblHeader w:val="0"/>
        </w:trPr>
        <w:tc>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Net profit margin</w:t>
            </w:r>
          </w:p>
        </w:tc>
        <w:tc>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6.40%</w:t>
            </w:r>
          </w:p>
        </w:tc>
        <w:tc>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5.68%</w:t>
            </w:r>
          </w:p>
        </w:tc>
      </w:tr>
    </w:tbl>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Asset Turnover</w:t>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Asset turnover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Revenue</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Average total assets</m:t>
            </m:r>
          </m:den>
        </m:f>
      </m:oMath>
      <w:r w:rsidDel="00000000" w:rsidR="00000000" w:rsidRPr="00000000">
        <w:rPr>
          <w:rtl w:val="0"/>
        </w:rPr>
      </w:r>
    </w:p>
    <w:tbl>
      <w:tblPr>
        <w:tblStyle w:val="Table8"/>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11"/>
        <w:gridCol w:w="2268"/>
        <w:gridCol w:w="2218"/>
        <w:tblGridChange w:id="0">
          <w:tblGrid>
            <w:gridCol w:w="3811"/>
            <w:gridCol w:w="2268"/>
            <w:gridCol w:w="2218"/>
          </w:tblGrid>
        </w:tblGridChange>
      </w:tblGrid>
      <w:tr>
        <w:trPr>
          <w:cantSplit w:val="0"/>
          <w:tblHeader w:val="0"/>
        </w:trPr>
        <w:tc>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Revenue</w:t>
            </w:r>
          </w:p>
        </w:tc>
        <w:tc>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6,738</w:t>
            </w:r>
          </w:p>
        </w:tc>
        <w:tc>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6,441</w:t>
            </w:r>
          </w:p>
        </w:tc>
      </w:tr>
      <w:tr>
        <w:trPr>
          <w:cantSplit w:val="0"/>
          <w:tblHeader w:val="0"/>
        </w:trPr>
        <w:tc>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Total assets</w:t>
            </w:r>
            <w:r w:rsidDel="00000000" w:rsidR="00000000" w:rsidRPr="00000000">
              <w:rPr>
                <w:rtl w:val="0"/>
              </w:rPr>
            </w:r>
          </w:p>
        </w:tc>
        <w:tc>
          <w:tcPr/>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9,736</w:t>
            </w:r>
            <w:r w:rsidDel="00000000" w:rsidR="00000000" w:rsidRPr="00000000">
              <w:rPr>
                <w:rtl w:val="0"/>
              </w:rPr>
            </w:r>
          </w:p>
        </w:tc>
        <w:tc>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10,087</w:t>
            </w:r>
            <w:r w:rsidDel="00000000" w:rsidR="00000000" w:rsidRPr="00000000">
              <w:rPr>
                <w:rtl w:val="0"/>
              </w:rPr>
            </w:r>
          </w:p>
        </w:tc>
      </w:tr>
      <w:tr>
        <w:trPr>
          <w:cantSplit w:val="0"/>
          <w:tblHeader w:val="0"/>
        </w:trPr>
        <w:tc>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Average total assets = {(Current total assets + Total asset of previous year)/ 2}</w:t>
            </w:r>
          </w:p>
        </w:tc>
        <w:tc>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9,912</w:t>
            </w:r>
          </w:p>
        </w:tc>
        <w:tc>
          <w:tcPr/>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10,087</w:t>
            </w:r>
          </w:p>
        </w:tc>
      </w:tr>
      <w:tr>
        <w:trPr>
          <w:cantSplit w:val="0"/>
          <w:tblHeader w:val="0"/>
        </w:trPr>
        <w:tc>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Asset turnover</w:t>
            </w:r>
          </w:p>
        </w:tc>
        <w:tc>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0.68 times</w:t>
            </w:r>
          </w:p>
        </w:tc>
        <w:tc>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0.64 times</w:t>
            </w:r>
          </w:p>
        </w:tc>
      </w:tr>
    </w:tbl>
    <w:p w:rsidR="00000000" w:rsidDel="00000000" w:rsidP="00000000" w:rsidRDefault="00000000" w:rsidRPr="00000000" w14:paraId="0000015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Stock Holding Days</w:t>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Stock holding days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Average inventory</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Cost of sales</m:t>
            </m:r>
          </m:den>
        </m:f>
        <m:r>
          <w:rPr>
            <w:rFonts w:ascii="Cambria Math" w:cs="Cambria Math" w:eastAsia="Cambria Math" w:hAnsi="Cambria Math"/>
            <w:b w:val="0"/>
            <w:i w:val="0"/>
            <w:smallCaps w:val="0"/>
            <w:strike w:val="0"/>
            <w:color w:val="000000"/>
            <w:sz w:val="24"/>
            <w:szCs w:val="24"/>
            <w:u w:val="none"/>
            <w:shd w:fill="auto" w:val="clear"/>
            <w:vertAlign w:val="baseline"/>
          </w:rPr>
          <m:t xml:space="preserve"> x 365</m:t>
        </m:r>
      </m:oMath>
      <w:r w:rsidDel="00000000" w:rsidR="00000000" w:rsidRPr="00000000">
        <w:rPr>
          <w:rtl w:val="0"/>
        </w:rPr>
      </w:r>
    </w:p>
    <w:tbl>
      <w:tblPr>
        <w:tblStyle w:val="Table9"/>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11"/>
        <w:gridCol w:w="2268"/>
        <w:gridCol w:w="2218"/>
        <w:tblGridChange w:id="0">
          <w:tblGrid>
            <w:gridCol w:w="3811"/>
            <w:gridCol w:w="2268"/>
            <w:gridCol w:w="2218"/>
          </w:tblGrid>
        </w:tblGridChange>
      </w:tblGrid>
      <w:tr>
        <w:trPr>
          <w:cantSplit w:val="0"/>
          <w:tblHeader w:val="0"/>
        </w:trPr>
        <w:tc>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Inventory</w:t>
            </w:r>
          </w:p>
        </w:tc>
        <w:tc>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708</w:t>
            </w:r>
          </w:p>
        </w:tc>
        <w:tc>
          <w:tcPr/>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659</w:t>
            </w:r>
          </w:p>
        </w:tc>
      </w:tr>
      <w:tr>
        <w:trPr>
          <w:cantSplit w:val="0"/>
          <w:tblHeader w:val="0"/>
        </w:trPr>
        <w:tc>
          <w:tcPr/>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Average inventory = {(Beginning inventory + Closing Inventory)/ 2}</w:t>
            </w:r>
          </w:p>
        </w:tc>
        <w:tc>
          <w:tcPr/>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684</w:t>
            </w:r>
          </w:p>
        </w:tc>
        <w:tc>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659</w:t>
            </w:r>
          </w:p>
        </w:tc>
      </w:tr>
      <w:tr>
        <w:trPr>
          <w:cantSplit w:val="0"/>
          <w:tblHeader w:val="0"/>
        </w:trPr>
        <w:tc>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Cost of sales</w:t>
            </w:r>
          </w:p>
        </w:tc>
        <w:tc>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3,235</w:t>
            </w:r>
          </w:p>
        </w:tc>
        <w:tc>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3,096</w:t>
            </w:r>
          </w:p>
        </w:tc>
      </w:tr>
      <w:tr>
        <w:trPr>
          <w:cantSplit w:val="0"/>
          <w:tblHeader w:val="0"/>
        </w:trPr>
        <w:tc>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Stock holding days</w:t>
            </w:r>
          </w:p>
        </w:tc>
        <w:tc>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77 days</w:t>
            </w:r>
          </w:p>
        </w:tc>
        <w:tc>
          <w:tcPr/>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78 days</w:t>
            </w:r>
          </w:p>
        </w:tc>
      </w:tr>
    </w:tbl>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7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Debtors Collection Period</w:t>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Debtors’ collection period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Average accounts receivable</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Revenue</m:t>
            </m:r>
          </m:den>
        </m:f>
        <m:r>
          <w:rPr>
            <w:rFonts w:ascii="Cambria Math" w:cs="Cambria Math" w:eastAsia="Cambria Math" w:hAnsi="Cambria Math"/>
            <w:b w:val="0"/>
            <w:i w:val="0"/>
            <w:smallCaps w:val="0"/>
            <w:strike w:val="0"/>
            <w:color w:val="000000"/>
            <w:sz w:val="24"/>
            <w:szCs w:val="24"/>
            <w:u w:val="none"/>
            <w:shd w:fill="auto" w:val="clear"/>
            <w:vertAlign w:val="baseline"/>
          </w:rPr>
          <m:t xml:space="preserve"> x 365</m:t>
        </m:r>
      </m:oMath>
      <w:r w:rsidDel="00000000" w:rsidR="00000000" w:rsidRPr="00000000">
        <w:rPr>
          <w:rtl w:val="0"/>
        </w:rPr>
      </w:r>
    </w:p>
    <w:tbl>
      <w:tblPr>
        <w:tblStyle w:val="Table10"/>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11"/>
        <w:gridCol w:w="2268"/>
        <w:gridCol w:w="2218"/>
        <w:tblGridChange w:id="0">
          <w:tblGrid>
            <w:gridCol w:w="3811"/>
            <w:gridCol w:w="2268"/>
            <w:gridCol w:w="2218"/>
          </w:tblGrid>
        </w:tblGridChange>
      </w:tblGrid>
      <w:tr>
        <w:trPr>
          <w:cantSplit w:val="0"/>
          <w:tblHeader w:val="0"/>
        </w:trPr>
        <w:tc>
          <w:tcPr/>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Accounts receivable</w:t>
            </w:r>
          </w:p>
        </w:tc>
        <w:tc>
          <w:tcPr/>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1,249</w:t>
            </w:r>
          </w:p>
        </w:tc>
        <w:tc>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1,287</w:t>
            </w:r>
          </w:p>
        </w:tc>
      </w:tr>
      <w:tr>
        <w:trPr>
          <w:cantSplit w:val="0"/>
          <w:tblHeader w:val="0"/>
        </w:trPr>
        <w:tc>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Average accounts receivable = {(Beginning accounts receivable + Closing accounts receivable)/ 2}</w:t>
            </w:r>
          </w:p>
        </w:tc>
        <w:tc>
          <w:tcPr/>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1,268</w:t>
            </w:r>
          </w:p>
        </w:tc>
        <w:tc>
          <w:tcPr/>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1,287</w:t>
            </w:r>
          </w:p>
        </w:tc>
      </w:tr>
      <w:tr>
        <w:trPr>
          <w:cantSplit w:val="0"/>
          <w:tblHeader w:val="0"/>
        </w:trPr>
        <w:tc>
          <w:tcPr/>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Revenue</w:t>
            </w:r>
          </w:p>
        </w:tc>
        <w:tc>
          <w:tcPr/>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6,738</w:t>
            </w:r>
          </w:p>
        </w:tc>
        <w:tc>
          <w:tcPr/>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6,441</w:t>
            </w:r>
          </w:p>
        </w:tc>
      </w:tr>
      <w:tr>
        <w:trPr>
          <w:cantSplit w:val="0"/>
          <w:tblHeader w:val="0"/>
        </w:trPr>
        <w:tc>
          <w:tcPr/>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Debtors collection period</w:t>
            </w:r>
          </w:p>
        </w:tc>
        <w:tc>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69 days</w:t>
            </w:r>
          </w:p>
        </w:tc>
        <w:tc>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73 days</w:t>
            </w:r>
          </w:p>
        </w:tc>
      </w:tr>
    </w:tbl>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8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Current Ratio</w:t>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Current ratio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Current assets</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Current liabilities</m:t>
            </m:r>
          </m:den>
        </m:f>
      </m:oMath>
      <w:r w:rsidDel="00000000" w:rsidR="00000000" w:rsidRPr="00000000">
        <w:rPr>
          <w:rtl w:val="0"/>
        </w:rPr>
      </w:r>
    </w:p>
    <w:tbl>
      <w:tblPr>
        <w:tblStyle w:val="Table11"/>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11"/>
        <w:gridCol w:w="2268"/>
        <w:gridCol w:w="2218"/>
        <w:tblGridChange w:id="0">
          <w:tblGrid>
            <w:gridCol w:w="3811"/>
            <w:gridCol w:w="2268"/>
            <w:gridCol w:w="2218"/>
          </w:tblGrid>
        </w:tblGridChange>
      </w:tblGrid>
      <w:tr>
        <w:trPr>
          <w:cantSplit w:val="0"/>
          <w:tblHeader w:val="0"/>
        </w:trPr>
        <w:tc>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Current assets</w:t>
            </w:r>
          </w:p>
        </w:tc>
        <w:tc>
          <w:tcPr/>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2,303</w:t>
            </w:r>
          </w:p>
        </w:tc>
        <w:tc>
          <w:tcPr/>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2,355</w:t>
            </w:r>
          </w:p>
        </w:tc>
      </w:tr>
      <w:tr>
        <w:trPr>
          <w:cantSplit w:val="0"/>
          <w:tblHeader w:val="0"/>
        </w:trPr>
        <w:tc>
          <w:tcPr/>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Current liabilities</w:t>
            </w:r>
          </w:p>
        </w:tc>
        <w:tc>
          <w:tcPr/>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2,511</w:t>
            </w:r>
          </w:p>
        </w:tc>
        <w:tc>
          <w:tcPr/>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3,046</w:t>
            </w:r>
          </w:p>
        </w:tc>
      </w:tr>
      <w:tr>
        <w:trPr>
          <w:cantSplit w:val="0"/>
          <w:tblHeader w:val="0"/>
        </w:trPr>
        <w:tc>
          <w:tcPr/>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Current ratio</w:t>
            </w:r>
          </w:p>
        </w:tc>
        <w:tc>
          <w:tcPr/>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0.91 times</w:t>
            </w:r>
          </w:p>
        </w:tc>
        <w:tc>
          <w:tcPr/>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0.77 times</w:t>
            </w:r>
          </w:p>
        </w:tc>
      </w:tr>
    </w:tbl>
    <w:p w:rsidR="00000000" w:rsidDel="00000000" w:rsidP="00000000" w:rsidRDefault="00000000" w:rsidRPr="00000000" w14:paraId="00000191">
      <w:pPr>
        <w:rPr>
          <w:b w:val="1"/>
        </w:rPr>
      </w:pPr>
      <w:r w:rsidDel="00000000" w:rsidR="00000000" w:rsidRPr="00000000">
        <w:rPr>
          <w:rtl w:val="0"/>
        </w:rPr>
      </w:r>
    </w:p>
    <w:p w:rsidR="00000000" w:rsidDel="00000000" w:rsidP="00000000" w:rsidRDefault="00000000" w:rsidRPr="00000000" w14:paraId="0000019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Gearing Ratio</w:t>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Gearing ratios let the concerns inform about firm capital employment from a different aspect. Here, the debt-to-equity ratio, debt ratio and equity ratio are analyzed to understand the financial position of sweets plc.</w:t>
      </w:r>
    </w:p>
    <w:tbl>
      <w:tblPr>
        <w:tblStyle w:val="Table12"/>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71"/>
        <w:gridCol w:w="1559"/>
        <w:gridCol w:w="1367"/>
        <w:tblGridChange w:id="0">
          <w:tblGrid>
            <w:gridCol w:w="5371"/>
            <w:gridCol w:w="1559"/>
            <w:gridCol w:w="1367"/>
          </w:tblGrid>
        </w:tblGridChange>
      </w:tblGrid>
      <w:tr>
        <w:trPr>
          <w:cantSplit w:val="0"/>
          <w:tblHeader w:val="0"/>
        </w:trPr>
        <w:tc>
          <w:tcPr/>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Total debt</w:t>
            </w:r>
          </w:p>
        </w:tc>
        <w:tc>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4,137</w:t>
            </w:r>
          </w:p>
        </w:tc>
        <w:tc>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4,129</w:t>
            </w:r>
          </w:p>
        </w:tc>
      </w:tr>
      <w:tr>
        <w:trPr>
          <w:cantSplit w:val="0"/>
          <w:tblHeader w:val="0"/>
        </w:trPr>
        <w:tc>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Total equity</w:t>
            </w:r>
          </w:p>
        </w:tc>
        <w:tc>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3,088</w:t>
            </w:r>
          </w:p>
        </w:tc>
        <w:tc>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2,912</w:t>
            </w:r>
          </w:p>
        </w:tc>
      </w:tr>
      <w:tr>
        <w:trPr>
          <w:cantSplit w:val="0"/>
          <w:tblHeader w:val="0"/>
        </w:trPr>
        <w:tc>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Total assets</w:t>
            </w:r>
          </w:p>
        </w:tc>
        <w:tc>
          <w:tcPr/>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9,736</w:t>
            </w:r>
          </w:p>
        </w:tc>
        <w:tc>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10,087</w:t>
            </w:r>
          </w:p>
        </w:tc>
      </w:tr>
      <w:tr>
        <w:trPr>
          <w:cantSplit w:val="0"/>
          <w:tblHeader w:val="0"/>
        </w:trPr>
        <w:tc>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Debt-to-equity ratio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Total debt</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Total equity</m:t>
                  </m:r>
                </m:den>
              </m:f>
            </m:oMath>
            <w:r w:rsidDel="00000000" w:rsidR="00000000" w:rsidRPr="00000000">
              <w:rPr>
                <w:rtl w:val="0"/>
              </w:rPr>
            </w:r>
          </w:p>
        </w:tc>
        <w:tc>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1.34</w:t>
            </w:r>
          </w:p>
        </w:tc>
        <w:tc>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1.42</w:t>
            </w:r>
          </w:p>
        </w:tc>
      </w:tr>
      <w:tr>
        <w:trPr>
          <w:cantSplit w:val="0"/>
          <w:tblHeader w:val="0"/>
        </w:trPr>
        <w:tc>
          <w:tcPr/>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Debt ratio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Total debt</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Total assets</m:t>
                  </m:r>
                </m:den>
              </m:f>
            </m:oMath>
            <w:r w:rsidDel="00000000" w:rsidR="00000000" w:rsidRPr="00000000">
              <w:rPr>
                <w:rtl w:val="0"/>
              </w:rPr>
            </w:r>
          </w:p>
        </w:tc>
        <w:tc>
          <w:tcPr/>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0.42</w:t>
            </w:r>
          </w:p>
        </w:tc>
        <w:tc>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0.41</w:t>
            </w:r>
          </w:p>
        </w:tc>
      </w:tr>
      <w:tr>
        <w:trPr>
          <w:cantSplit w:val="0"/>
          <w:tblHeader w:val="0"/>
        </w:trPr>
        <w:tc>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Equity ratio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Total equity</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Total assets</m:t>
                  </m:r>
                </m:den>
              </m:f>
            </m:oMath>
            <w:r w:rsidDel="00000000" w:rsidR="00000000" w:rsidRPr="00000000">
              <w:rPr>
                <w:rtl w:val="0"/>
              </w:rPr>
            </w:r>
          </w:p>
        </w:tc>
        <w:tc>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0.32</w:t>
            </w:r>
          </w:p>
        </w:tc>
        <w:tc>
          <w:tcPr/>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0.29</w:t>
            </w:r>
          </w:p>
        </w:tc>
      </w:tr>
    </w:tbl>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A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Interest Cover</w:t>
      </w:r>
    </w:p>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Interest cover = </w:t>
      </w:r>
      <m:oMath>
        <m:f>
          <m:fPr>
            <m:ctrlPr>
              <w:rPr>
                <w:rFonts w:ascii="Cambria Math" w:cs="Cambria Math" w:eastAsia="Cambria Math" w:hAnsi="Cambria Math"/>
                <w:b w:val="0"/>
                <w:i w:val="0"/>
                <w:smallCaps w:val="0"/>
                <w:strike w:val="0"/>
                <w:color w:val="000000"/>
                <w:sz w:val="24"/>
                <w:szCs w:val="24"/>
                <w:u w:val="none"/>
                <w:shd w:fill="auto" w:val="clear"/>
                <w:vertAlign w:val="baseline"/>
              </w:rPr>
            </m:ctrlPr>
          </m:fPr>
          <m:num>
            <m:r>
              <w:rPr>
                <w:rFonts w:ascii="Cambria Math" w:cs="Cambria Math" w:eastAsia="Cambria Math" w:hAnsi="Cambria Math"/>
                <w:b w:val="0"/>
                <w:i w:val="0"/>
                <w:smallCaps w:val="0"/>
                <w:strike w:val="0"/>
                <w:color w:val="000000"/>
                <w:sz w:val="24"/>
                <w:szCs w:val="24"/>
                <w:u w:val="none"/>
                <w:shd w:fill="auto" w:val="clear"/>
                <w:vertAlign w:val="baseline"/>
              </w:rPr>
              <m:t xml:space="preserve">Earnings before interest and taxes</m:t>
            </m:r>
          </m:num>
          <m:den>
            <m:r>
              <w:rPr>
                <w:rFonts w:ascii="Cambria Math" w:cs="Cambria Math" w:eastAsia="Cambria Math" w:hAnsi="Cambria Math"/>
                <w:b w:val="0"/>
                <w:i w:val="0"/>
                <w:smallCaps w:val="0"/>
                <w:strike w:val="0"/>
                <w:color w:val="000000"/>
                <w:sz w:val="24"/>
                <w:szCs w:val="24"/>
                <w:u w:val="none"/>
                <w:shd w:fill="auto" w:val="clear"/>
                <w:vertAlign w:val="baseline"/>
              </w:rPr>
              <m:t xml:space="preserve">Interest expense</m:t>
            </m:r>
          </m:den>
        </m:f>
      </m:oMath>
      <w:r w:rsidDel="00000000" w:rsidR="00000000" w:rsidRPr="00000000">
        <w:rPr>
          <w:rtl w:val="0"/>
        </w:rPr>
      </w:r>
    </w:p>
    <w:tbl>
      <w:tblPr>
        <w:tblStyle w:val="Table13"/>
        <w:tblW w:w="8297.0" w:type="dxa"/>
        <w:jc w:val="left"/>
        <w:tblInd w:w="7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11"/>
        <w:gridCol w:w="2268"/>
        <w:gridCol w:w="2218"/>
        <w:tblGridChange w:id="0">
          <w:tblGrid>
            <w:gridCol w:w="3811"/>
            <w:gridCol w:w="2268"/>
            <w:gridCol w:w="2218"/>
          </w:tblGrid>
        </w:tblGridChange>
      </w:tblGrid>
      <w:tr>
        <w:trPr>
          <w:cantSplit w:val="0"/>
          <w:tblHeader w:val="0"/>
        </w:trPr>
        <w:tc>
          <w:tcPr/>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2021</w:t>
            </w:r>
          </w:p>
        </w:tc>
        <w:tc>
          <w:tcPr/>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2020</w:t>
            </w:r>
          </w:p>
        </w:tc>
      </w:tr>
      <w:tr>
        <w:trPr>
          <w:cantSplit w:val="0"/>
          <w:tblHeader w:val="0"/>
        </w:trPr>
        <w:tc>
          <w:tcPr/>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Earnings before interest and taxes</w:t>
            </w:r>
          </w:p>
        </w:tc>
        <w:tc>
          <w:tcPr/>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805</w:t>
            </w:r>
          </w:p>
        </w:tc>
        <w:tc>
          <w:tcPr/>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699</w:t>
            </w:r>
          </w:p>
        </w:tc>
      </w:tr>
      <w:tr>
        <w:trPr>
          <w:cantSplit w:val="0"/>
          <w:tblHeader w:val="0"/>
        </w:trPr>
        <w:tc>
          <w:tcPr/>
          <w:p w:rsidR="00000000" w:rsidDel="00000000" w:rsidP="00000000" w:rsidRDefault="00000000" w:rsidRPr="00000000" w14:paraId="000001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Interest expense</w:t>
            </w:r>
          </w:p>
        </w:tc>
        <w:tc>
          <w:tcPr/>
          <w:p w:rsidR="00000000" w:rsidDel="00000000" w:rsidP="00000000" w:rsidRDefault="00000000" w:rsidRPr="00000000" w14:paraId="000001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226</w:t>
            </w:r>
          </w:p>
        </w:tc>
        <w:tc>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181</w:t>
            </w:r>
          </w:p>
        </w:tc>
      </w:tr>
      <w:tr>
        <w:trPr>
          <w:cantSplit w:val="0"/>
          <w:tblHeader w:val="0"/>
        </w:trPr>
        <w:tc>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Interest cover</w:t>
            </w:r>
          </w:p>
        </w:tc>
        <w:tc>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3.56 times</w:t>
            </w:r>
          </w:p>
        </w:tc>
        <w:tc>
          <w:tcPr/>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3.86 times</w:t>
            </w:r>
          </w:p>
        </w:tc>
      </w:tr>
    </w:tbl>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A">
      <w:pPr>
        <w:pStyle w:val="Heading1"/>
        <w:rPr/>
      </w:pPr>
      <w:bookmarkStart w:colFirst="0" w:colLast="0" w:name="_3znysh7" w:id="3"/>
      <w:bookmarkEnd w:id="3"/>
      <w:r w:rsidDel="00000000" w:rsidR="00000000" w:rsidRPr="00000000">
        <w:rPr>
          <w:rtl w:val="0"/>
        </w:rPr>
        <w:t xml:space="preserve">Question 2(b): Elaboration of Financial Performance and Position of Sweets Plc</w:t>
      </w:r>
    </w:p>
    <w:p w:rsidR="00000000" w:rsidDel="00000000" w:rsidP="00000000" w:rsidRDefault="00000000" w:rsidRPr="00000000" w14:paraId="000001BB">
      <w:pPr>
        <w:rPr>
          <w:color w:val="000000"/>
        </w:rPr>
      </w:pPr>
      <w:r w:rsidDel="00000000" w:rsidR="00000000" w:rsidRPr="00000000">
        <w:rPr>
          <w:rtl w:val="0"/>
        </w:rPr>
        <w:t xml:space="preserve">Sweets plc is a confectionery manufacturer which managed to perform better than COVID stricken the year 2020. In 2021, this firm attained a 4.61% increase in revenue streams making revenue reach a record high of more than </w:t>
      </w:r>
      <w:r w:rsidDel="00000000" w:rsidR="00000000" w:rsidRPr="00000000">
        <w:rPr>
          <w:color w:val="000000"/>
          <w:rtl w:val="0"/>
        </w:rPr>
        <w:t xml:space="preserve">£</w:t>
      </w:r>
      <w:r w:rsidDel="00000000" w:rsidR="00000000" w:rsidRPr="00000000">
        <w:rPr>
          <w:rtl w:val="0"/>
        </w:rPr>
        <w:t xml:space="preserve">6 billion and a half. In the current financial year, there is no substantial improvement in direct cost management directly. Since the COVID hit has an impact on the price hike, it can be concluded that Sweets Plc performed perfectly to retain the earlier direct cost ratio resulting in no impact on the sales price. It helps to retain customers at the end of the day. However, the confectionary manufacturing firm managed to experience an upheaval in the attainment of operating profit. In 2021, Sweets Plc gained an </w:t>
      </w:r>
      <w:r w:rsidDel="00000000" w:rsidR="00000000" w:rsidRPr="00000000">
        <w:rPr>
          <w:color w:val="000000"/>
          <w:rtl w:val="0"/>
        </w:rPr>
        <w:t xml:space="preserve">£805 million operating profit compared to the 2020 operating profit of £699 million. It represents a 1% rise in operating profit from 10.9% to 11.9% with a similar percentage of gross profit. This achievement is praiseworthy since getting operational expenses cut is the hard thing a firm can do. The savings majorly came from marketing and selling costs. It can be assumed that the enhancement of the online presence of customers reduced the cost along with the increased practice of having online delivery reduced the selling expenses.</w:t>
      </w:r>
    </w:p>
    <w:p w:rsidR="00000000" w:rsidDel="00000000" w:rsidP="00000000" w:rsidRDefault="00000000" w:rsidRPr="00000000" w14:paraId="000001BC">
      <w:pPr>
        <w:rPr>
          <w:color w:val="000000"/>
        </w:rPr>
      </w:pPr>
      <w:r w:rsidDel="00000000" w:rsidR="00000000" w:rsidRPr="00000000">
        <w:rPr>
          <w:color w:val="000000"/>
          <w:rtl w:val="0"/>
        </w:rPr>
        <w:t xml:space="preserve">Additionally, Sweets Plc made a £19 million profit selling fixed assets and earned £22 million from investments. Although the investment income lowered, the interest expenses have increased substantially, by £30 million approximately. However, Sweets Plc still has lots of profit available to carry on the interest expenses. Although the interest coverage has been reduced by 0.30 times from 2020 to 2021, a 3.56 times coverage is considered sufficient not to get burdened with interest expenditures obligations. In general, lenders, investors and concerned stakeholders quantify riskiness following interest cover ratio measurements (Needles et al., 2013). Since interest expense is a fixed obligation, the firm cannot escape it and non-payment for a continuous period can lead to restriction of operating activities as well bankruptcy. On this aspect, Sweets Plc is in the risk-free zone in terms of interest cover.</w:t>
      </w:r>
    </w:p>
    <w:p w:rsidR="00000000" w:rsidDel="00000000" w:rsidP="00000000" w:rsidRDefault="00000000" w:rsidRPr="00000000" w14:paraId="000001BD">
      <w:pPr>
        <w:rPr>
          <w:color w:val="000000"/>
        </w:rPr>
      </w:pPr>
      <w:r w:rsidDel="00000000" w:rsidR="00000000" w:rsidRPr="00000000">
        <w:rPr>
          <w:color w:val="000000"/>
          <w:rtl w:val="0"/>
        </w:rPr>
        <w:t xml:space="preserve">Finally, Sweet Plc attained a 0.70% increase in net profit earnings in the year 2021 which is a £431 million profitability. Overall the performance of this firm turned better compared to that of the previous year. Considering 2020 is a COVID-stricken year, such a few rises in revenue and profitability are not satisfactory.</w:t>
      </w:r>
    </w:p>
    <w:p w:rsidR="00000000" w:rsidDel="00000000" w:rsidP="00000000" w:rsidRDefault="00000000" w:rsidRPr="00000000" w14:paraId="000001BE">
      <w:pPr>
        <w:rPr>
          <w:color w:val="000000"/>
        </w:rPr>
      </w:pPr>
      <w:r w:rsidDel="00000000" w:rsidR="00000000" w:rsidRPr="00000000">
        <w:rPr>
          <w:color w:val="000000"/>
          <w:rtl w:val="0"/>
        </w:rPr>
        <w:t xml:space="preserve">State of financial position of Sweets Plc represents opposite to financial performance which is a £300 million sterling pound contraction compared to the previous year. The fall in balance sheet size is mostly contributed by a fall in intangible assets. Intangible assets have a £5.5 billion value now compared to a £5.8 billion value in the preceding year. Otherwise, PPE, short-term investment, long-term investments and cash has a slight rise in total balance which portrays a growing picture of Sweets Plc. It makes the asset turnover almost constant for the firm. Since asset turnover is calculated relative to revenue generation, it indicates how much revenue a firm can generate using its asset (Rashid, 2018). The comparison is made with the times ratio and the larger ratios are considered better. There is a slight increase in the asset turnover ratio of Sweets Plc. </w:t>
      </w:r>
    </w:p>
    <w:p w:rsidR="00000000" w:rsidDel="00000000" w:rsidP="00000000" w:rsidRDefault="00000000" w:rsidRPr="00000000" w14:paraId="000001BF">
      <w:pPr>
        <w:rPr>
          <w:color w:val="000000"/>
        </w:rPr>
      </w:pPr>
      <w:r w:rsidDel="00000000" w:rsidR="00000000" w:rsidRPr="00000000">
        <w:rPr>
          <w:color w:val="000000"/>
          <w:rtl w:val="0"/>
        </w:rPr>
        <w:t xml:space="preserve">Besides, additional sales are presumed to increase inventories while better management of cash collection reduced accounts receivables. More specific analyses through stock holding days explain that 2021 stock holding days are one day lower than 2020 meaning it is 77 days in 2021. It refers to the confectionary firm taking 77 days on average to sell off inventory. The day's number indicates the efficiency of inventory management and sales in a certain organization (Delen et al., 2013). The greater the number of days is, the more time it takes to sell off inventory and the more inefficient the firm is. In terms of Sweets Plc, the firm is moderately efficient as it is selling off all the inventories really quick. Besides, confectionary items cannot be stored for longer and so firms either need to lower the inventory or increase sales and gets efficient in either way.</w:t>
      </w:r>
    </w:p>
    <w:p w:rsidR="00000000" w:rsidDel="00000000" w:rsidP="00000000" w:rsidRDefault="00000000" w:rsidRPr="00000000" w14:paraId="000001C0">
      <w:pPr>
        <w:rPr>
          <w:color w:val="000000"/>
        </w:rPr>
      </w:pPr>
      <w:r w:rsidDel="00000000" w:rsidR="00000000" w:rsidRPr="00000000">
        <w:rPr>
          <w:color w:val="000000"/>
          <w:rtl w:val="0"/>
        </w:rPr>
        <w:t xml:space="preserve">Besides, Sweets Plc is in a better position this year compared to the previous year from the aspect of cash collection or accounts receivable. The average collection of funds reduced from 73 days to 69 days which is a 4 days reduction. The average collection period is calculated by internal stakeholders mostly to ensure the liquidity of the firm based on cash collection as a part of working capital management (Franklin et al., 2019). Hence, now the firm has a more effective and faster debtors collection system compared to the previous year.</w:t>
      </w:r>
    </w:p>
    <w:p w:rsidR="00000000" w:rsidDel="00000000" w:rsidP="00000000" w:rsidRDefault="00000000" w:rsidRPr="00000000" w14:paraId="000001C1">
      <w:pPr>
        <w:rPr>
          <w:color w:val="000000"/>
        </w:rPr>
      </w:pPr>
      <w:r w:rsidDel="00000000" w:rsidR="00000000" w:rsidRPr="00000000">
        <w:rPr>
          <w:color w:val="000000"/>
          <w:rtl w:val="0"/>
        </w:rPr>
        <w:t xml:space="preserve">Beginning with equity and liabilities analyses, Sweets Plc has no substantial addition of equity or debt in 2021 or the past twelve months more specifically. Along with a faster collection of cash, the firm is also paying the liabilities faster which has reduced the level of trade creditors and other creditors on 31</w:t>
      </w:r>
      <w:r w:rsidDel="00000000" w:rsidR="00000000" w:rsidRPr="00000000">
        <w:rPr>
          <w:color w:val="000000"/>
          <w:vertAlign w:val="superscript"/>
          <w:rtl w:val="0"/>
        </w:rPr>
        <w:t xml:space="preserve">st</w:t>
      </w:r>
      <w:r w:rsidDel="00000000" w:rsidR="00000000" w:rsidRPr="00000000">
        <w:rPr>
          <w:color w:val="000000"/>
          <w:rtl w:val="0"/>
        </w:rPr>
        <w:t xml:space="preserve"> December in 2021 in comparison with 2020. It refers to the business of Sweets Plc being faster and more efficient in the current year with a quick money-making system as concluded by cash cycle reduction estimation (McLaney and Atrill, 2016).</w:t>
      </w:r>
    </w:p>
    <w:p w:rsidR="00000000" w:rsidDel="00000000" w:rsidP="00000000" w:rsidRDefault="00000000" w:rsidRPr="00000000" w14:paraId="000001C2">
      <w:pPr>
        <w:rPr>
          <w:color w:val="000000"/>
        </w:rPr>
      </w:pPr>
      <w:r w:rsidDel="00000000" w:rsidR="00000000" w:rsidRPr="00000000">
        <w:rPr>
          <w:color w:val="000000"/>
          <w:rtl w:val="0"/>
        </w:rPr>
        <w:t xml:space="preserve">The efficiency is also seen in measurement systems of ROCE and ROE. ROCE and ROE are financial ratios used to assess the profitability of a firm in terms of capital efficiency (Rashid, 2018). In other words, how well Sweets Plc is using capital to generate profit can be revealed by these two ratios. Here, ROCE is considered a superior measure for understanding profitability since it not only counts equity but also considered debt and other investments to analyze profitability (Faello, 2015). From both ROE and ROCE aspects, Sweets Plc has additional 1.5% profitability approximately. 13.96% ROE and 11.14% ROCE convey the good financial performance of the firm. Considering debt and preferred shares in profitability efficiency measurements reduced the efficiency by 250 basis points approximately for Sweets Plc.</w:t>
      </w:r>
    </w:p>
    <w:p w:rsidR="00000000" w:rsidDel="00000000" w:rsidP="00000000" w:rsidRDefault="00000000" w:rsidRPr="00000000" w14:paraId="000001C3">
      <w:pPr>
        <w:rPr>
          <w:color w:val="000000"/>
        </w:rPr>
      </w:pPr>
      <w:r w:rsidDel="00000000" w:rsidR="00000000" w:rsidRPr="00000000">
        <w:rPr>
          <w:color w:val="000000"/>
          <w:rtl w:val="0"/>
        </w:rPr>
        <w:t xml:space="preserve">The investment sources are majorly divided into two groups i.e., equity and debt. Here, debtholders get the advantage of having priority in getting funds back unlike shareholders in terms of a firm's financial depression. Gearing ratios are measured to find riskiness of firm based on source of funds collected (Weygandt et al., 2019). Sweets Plc has huge debt investment compared to equity meaning the firm is highly risky with more fixed obligations. But the firm also has sufficient regular earnings to cover the fixed obligations regularly. This is the measurement of debt portions compared to equity. Otherwise, how much asset of a firm is financed by debt or equity is calculated using the metrics of debt ratio and equity ratio respectively. In 2021, 42% assets are financed by long-term debt while 32% of the assets are financed by equity only. </w:t>
      </w:r>
    </w:p>
    <w:p w:rsidR="00000000" w:rsidDel="00000000" w:rsidP="00000000" w:rsidRDefault="00000000" w:rsidRPr="00000000" w14:paraId="000001C4">
      <w:pPr>
        <w:rPr>
          <w:color w:val="000000"/>
        </w:rPr>
      </w:pPr>
      <w:r w:rsidDel="00000000" w:rsidR="00000000" w:rsidRPr="00000000">
        <w:rPr>
          <w:color w:val="000000"/>
          <w:rtl w:val="0"/>
        </w:rPr>
        <w:t xml:space="preserve">The earlier discussion was profitability measurement in terms of capital employed. A similar measurement of profitability is measured in terms of revenue to accelerate further operating and non-operating activities (Delen et al., 2013). It is also considered an overall financial health metric and is expected to be less volatile. Sweet Plc has no significant rise in net profitability in the current year as it generated only 0.70% growth in net profit resulting in 6.40% profitability for the year. Considering the overall case of profitability, the percentage indicates the efficient profitability of the firm.</w:t>
      </w:r>
    </w:p>
    <w:p w:rsidR="00000000" w:rsidDel="00000000" w:rsidP="00000000" w:rsidRDefault="00000000" w:rsidRPr="00000000" w14:paraId="000001C5">
      <w:pPr>
        <w:rPr>
          <w:color w:val="000000"/>
        </w:rPr>
      </w:pPr>
      <w:r w:rsidDel="00000000" w:rsidR="00000000" w:rsidRPr="00000000">
        <w:rPr>
          <w:color w:val="000000"/>
          <w:rtl w:val="0"/>
        </w:rPr>
        <w:t xml:space="preserve">Another metric is the liquidity of the firm to understand if the firm has sufficient cash to carry on daily expenses or short-term obligations. One of the prominent metrics is the current ratio calculated by dividing current assets by current liabilities (Franklin et al., 2019). Although the standard value varies here based on industry, a general standard of having a current ratio of more than 1 is fine. The current ratio of Sweets Plc is 0.91 now which is close to 1 and can be considered fine but the ratio was not up to the mark such as 0.77 times only in 2020.</w:t>
      </w:r>
    </w:p>
    <w:p w:rsidR="00000000" w:rsidDel="00000000" w:rsidP="00000000" w:rsidRDefault="00000000" w:rsidRPr="00000000" w14:paraId="000001C6">
      <w:pPr>
        <w:rPr>
          <w:color w:val="000000"/>
        </w:rPr>
      </w:pPr>
      <w:r w:rsidDel="00000000" w:rsidR="00000000" w:rsidRPr="00000000">
        <w:rPr>
          <w:color w:val="000000"/>
          <w:rtl w:val="0"/>
        </w:rPr>
        <w:t xml:space="preserve">The entire better performance and firm state situation are reflected in the market price of share which has risen to £5.12 from £4.00. The firm also provided an additional dividend of £13 million this year than 2020. The additional dividends came from additional earnings per share by £0.10 sterling pound from the year 2020 to 2021.</w:t>
      </w:r>
    </w:p>
    <w:p w:rsidR="00000000" w:rsidDel="00000000" w:rsidP="00000000" w:rsidRDefault="00000000" w:rsidRPr="00000000" w14:paraId="000001C7">
      <w:pPr>
        <w:rPr>
          <w:color w:val="000000"/>
        </w:rPr>
      </w:pPr>
      <w:r w:rsidDel="00000000" w:rsidR="00000000" w:rsidRPr="00000000">
        <w:rPr>
          <w:rtl w:val="0"/>
        </w:rPr>
      </w:r>
    </w:p>
    <w:p w:rsidR="00000000" w:rsidDel="00000000" w:rsidP="00000000" w:rsidRDefault="00000000" w:rsidRPr="00000000" w14:paraId="000001C8">
      <w:pPr>
        <w:rPr/>
      </w:pPr>
      <w:r w:rsidDel="00000000" w:rsidR="00000000" w:rsidRPr="00000000">
        <w:rPr>
          <w:rtl w:val="0"/>
        </w:rPr>
      </w:r>
    </w:p>
    <w:p w:rsidR="00000000" w:rsidDel="00000000" w:rsidP="00000000" w:rsidRDefault="00000000" w:rsidRPr="00000000" w14:paraId="000001C9">
      <w:pPr>
        <w:rPr/>
        <w:sectPr>
          <w:type w:val="nextPage"/>
          <w:pgSz w:h="16839" w:w="11907"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1CA">
      <w:pPr>
        <w:pStyle w:val="Heading1"/>
        <w:spacing w:before="0" w:lineRule="auto"/>
        <w:rPr/>
        <w:sectPr>
          <w:type w:val="continuous"/>
          <w:pgSz w:h="16839" w:w="11907"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1CB">
      <w:pPr>
        <w:pStyle w:val="Heading1"/>
        <w:spacing w:before="0" w:lineRule="auto"/>
        <w:rPr/>
      </w:pPr>
      <w:bookmarkStart w:colFirst="0" w:colLast="0" w:name="_2et92p0" w:id="4"/>
      <w:bookmarkEnd w:id="4"/>
      <w:r w:rsidDel="00000000" w:rsidR="00000000" w:rsidRPr="00000000">
        <w:rPr>
          <w:rtl w:val="0"/>
        </w:rPr>
        <w:t xml:space="preserve">References</w:t>
      </w:r>
    </w:p>
    <w:p w:rsidR="00000000" w:rsidDel="00000000" w:rsidP="00000000" w:rsidRDefault="00000000" w:rsidRPr="00000000" w14:paraId="000001CC">
      <w:pPr>
        <w:rPr>
          <w:color w:val="222222"/>
          <w:highlight w:val="white"/>
        </w:rPr>
      </w:pPr>
      <w:r w:rsidDel="00000000" w:rsidR="00000000" w:rsidRPr="00000000">
        <w:rPr>
          <w:color w:val="222222"/>
          <w:highlight w:val="white"/>
          <w:rtl w:val="0"/>
        </w:rPr>
        <w:t xml:space="preserve">Delen, D., Kuzey, C. and Uyar, A., 2013. Measuring firm performance using financial ratios: A decision tree approach. </w:t>
      </w:r>
      <w:r w:rsidDel="00000000" w:rsidR="00000000" w:rsidRPr="00000000">
        <w:rPr>
          <w:i w:val="1"/>
          <w:color w:val="222222"/>
          <w:highlight w:val="white"/>
          <w:rtl w:val="0"/>
        </w:rPr>
        <w:t xml:space="preserve">Expert systems with applications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40</w:t>
      </w:r>
      <w:r w:rsidDel="00000000" w:rsidR="00000000" w:rsidRPr="00000000">
        <w:rPr>
          <w:color w:val="222222"/>
          <w:highlight w:val="white"/>
          <w:rtl w:val="0"/>
        </w:rPr>
        <w:t xml:space="preserve">(10), pp.3970-3983.</w:t>
      </w:r>
    </w:p>
    <w:p w:rsidR="00000000" w:rsidDel="00000000" w:rsidP="00000000" w:rsidRDefault="00000000" w:rsidRPr="00000000" w14:paraId="000001CD">
      <w:pPr>
        <w:rPr>
          <w:color w:val="222222"/>
          <w:highlight w:val="white"/>
        </w:rPr>
      </w:pPr>
      <w:r w:rsidDel="00000000" w:rsidR="00000000" w:rsidRPr="00000000">
        <w:rPr>
          <w:color w:val="222222"/>
          <w:highlight w:val="white"/>
          <w:rtl w:val="0"/>
        </w:rPr>
        <w:t xml:space="preserve">Faello, J., 2015. Understanding the limitations of financial ratios. </w:t>
      </w:r>
      <w:r w:rsidDel="00000000" w:rsidR="00000000" w:rsidRPr="00000000">
        <w:rPr>
          <w:i w:val="1"/>
          <w:color w:val="222222"/>
          <w:highlight w:val="white"/>
          <w:rtl w:val="0"/>
        </w:rPr>
        <w:t xml:space="preserve">Academy of accounting and financial studies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19</w:t>
      </w:r>
      <w:r w:rsidDel="00000000" w:rsidR="00000000" w:rsidRPr="00000000">
        <w:rPr>
          <w:color w:val="222222"/>
          <w:highlight w:val="white"/>
          <w:rtl w:val="0"/>
        </w:rPr>
        <w:t xml:space="preserve">(3), p.75.</w:t>
      </w:r>
    </w:p>
    <w:p w:rsidR="00000000" w:rsidDel="00000000" w:rsidP="00000000" w:rsidRDefault="00000000" w:rsidRPr="00000000" w14:paraId="000001CE">
      <w:pPr>
        <w:rPr>
          <w:color w:val="222222"/>
          <w:highlight w:val="white"/>
        </w:rPr>
      </w:pPr>
      <w:r w:rsidDel="00000000" w:rsidR="00000000" w:rsidRPr="00000000">
        <w:rPr>
          <w:color w:val="222222"/>
          <w:highlight w:val="white"/>
          <w:rtl w:val="0"/>
        </w:rPr>
        <w:t xml:space="preserve">Franklin, M., Graybeal, P. and Cooper, D., 2019. </w:t>
      </w:r>
      <w:r w:rsidDel="00000000" w:rsidR="00000000" w:rsidRPr="00000000">
        <w:rPr>
          <w:i w:val="1"/>
          <w:color w:val="222222"/>
          <w:highlight w:val="white"/>
          <w:rtl w:val="0"/>
        </w:rPr>
        <w:t xml:space="preserve">Principles of Accounting Volume 2 Managerial Accounting</w:t>
      </w:r>
      <w:r w:rsidDel="00000000" w:rsidR="00000000" w:rsidRPr="00000000">
        <w:rPr>
          <w:color w:val="222222"/>
          <w:highlight w:val="white"/>
          <w:rtl w:val="0"/>
        </w:rPr>
        <w:t xml:space="preserve">. OpenStax, Rice University.</w:t>
      </w:r>
    </w:p>
    <w:p w:rsidR="00000000" w:rsidDel="00000000" w:rsidP="00000000" w:rsidRDefault="00000000" w:rsidRPr="00000000" w14:paraId="000001CF">
      <w:pPr>
        <w:rPr>
          <w:color w:val="222222"/>
          <w:highlight w:val="white"/>
        </w:rPr>
      </w:pPr>
      <w:r w:rsidDel="00000000" w:rsidR="00000000" w:rsidRPr="00000000">
        <w:rPr>
          <w:color w:val="222222"/>
          <w:highlight w:val="white"/>
          <w:rtl w:val="0"/>
        </w:rPr>
        <w:t xml:space="preserve">McLaney, E. and Atrill, P., 2016. </w:t>
      </w:r>
      <w:r w:rsidDel="00000000" w:rsidR="00000000" w:rsidRPr="00000000">
        <w:rPr>
          <w:i w:val="1"/>
          <w:color w:val="222222"/>
          <w:highlight w:val="white"/>
          <w:rtl w:val="0"/>
        </w:rPr>
        <w:t xml:space="preserve">Accounting and finance: an introduction</w:t>
      </w:r>
      <w:r w:rsidDel="00000000" w:rsidR="00000000" w:rsidRPr="00000000">
        <w:rPr>
          <w:color w:val="222222"/>
          <w:highlight w:val="white"/>
          <w:rtl w:val="0"/>
        </w:rPr>
        <w:t xml:space="preserve">. Prentice Hill.</w:t>
      </w:r>
    </w:p>
    <w:p w:rsidR="00000000" w:rsidDel="00000000" w:rsidP="00000000" w:rsidRDefault="00000000" w:rsidRPr="00000000" w14:paraId="000001D0">
      <w:pPr>
        <w:rPr>
          <w:color w:val="222222"/>
          <w:highlight w:val="white"/>
        </w:rPr>
      </w:pPr>
      <w:r w:rsidDel="00000000" w:rsidR="00000000" w:rsidRPr="00000000">
        <w:rPr>
          <w:color w:val="222222"/>
          <w:highlight w:val="white"/>
          <w:rtl w:val="0"/>
        </w:rPr>
        <w:t xml:space="preserve">Needles, B.E., Powers, M. and Crosson, S.V., 2013. </w:t>
      </w:r>
      <w:r w:rsidDel="00000000" w:rsidR="00000000" w:rsidRPr="00000000">
        <w:rPr>
          <w:i w:val="1"/>
          <w:color w:val="222222"/>
          <w:highlight w:val="white"/>
          <w:rtl w:val="0"/>
        </w:rPr>
        <w:t xml:space="preserve">Principles of accounting</w:t>
      </w:r>
      <w:r w:rsidDel="00000000" w:rsidR="00000000" w:rsidRPr="00000000">
        <w:rPr>
          <w:color w:val="222222"/>
          <w:highlight w:val="white"/>
          <w:rtl w:val="0"/>
        </w:rPr>
        <w:t xml:space="preserve">. Cengage Learning.</w:t>
      </w:r>
    </w:p>
    <w:p w:rsidR="00000000" w:rsidDel="00000000" w:rsidP="00000000" w:rsidRDefault="00000000" w:rsidRPr="00000000" w14:paraId="000001D1">
      <w:pPr>
        <w:rPr>
          <w:color w:val="222222"/>
          <w:highlight w:val="white"/>
        </w:rPr>
      </w:pPr>
      <w:r w:rsidDel="00000000" w:rsidR="00000000" w:rsidRPr="00000000">
        <w:rPr>
          <w:color w:val="222222"/>
          <w:highlight w:val="white"/>
          <w:rtl w:val="0"/>
        </w:rPr>
        <w:t xml:space="preserve">Rashid, C.A., 2018. Efficiency of financial ratios analysis for evaluating companies’ liquidity. </w:t>
      </w:r>
      <w:r w:rsidDel="00000000" w:rsidR="00000000" w:rsidRPr="00000000">
        <w:rPr>
          <w:i w:val="1"/>
          <w:color w:val="222222"/>
          <w:highlight w:val="white"/>
          <w:rtl w:val="0"/>
        </w:rPr>
        <w:t xml:space="preserve">International Journal of Social Sciences &amp; Educational Studies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w:t>
      </w:r>
      <w:r w:rsidDel="00000000" w:rsidR="00000000" w:rsidRPr="00000000">
        <w:rPr>
          <w:color w:val="222222"/>
          <w:highlight w:val="white"/>
          <w:rtl w:val="0"/>
        </w:rPr>
        <w:t xml:space="preserve">(4), p.110.</w:t>
      </w:r>
    </w:p>
    <w:p w:rsidR="00000000" w:rsidDel="00000000" w:rsidP="00000000" w:rsidRDefault="00000000" w:rsidRPr="00000000" w14:paraId="000001D2">
      <w:pPr>
        <w:rPr>
          <w:color w:val="222222"/>
          <w:highlight w:val="white"/>
        </w:rPr>
      </w:pPr>
      <w:r w:rsidDel="00000000" w:rsidR="00000000" w:rsidRPr="00000000">
        <w:rPr>
          <w:color w:val="222222"/>
          <w:highlight w:val="white"/>
          <w:rtl w:val="0"/>
        </w:rPr>
        <w:t xml:space="preserve">Smith, M., 2018. Luca Pacioli: The father of accounting. </w:t>
      </w:r>
      <w:r w:rsidDel="00000000" w:rsidR="00000000" w:rsidRPr="00000000">
        <w:rPr>
          <w:i w:val="1"/>
          <w:color w:val="222222"/>
          <w:highlight w:val="white"/>
          <w:rtl w:val="0"/>
        </w:rPr>
        <w:t xml:space="preserve">Available at SSRN 2320658</w:t>
      </w:r>
      <w:r w:rsidDel="00000000" w:rsidR="00000000" w:rsidRPr="00000000">
        <w:rPr>
          <w:color w:val="222222"/>
          <w:highlight w:val="white"/>
          <w:rtl w:val="0"/>
        </w:rPr>
        <w:t xml:space="preserve">.</w:t>
      </w:r>
    </w:p>
    <w:p w:rsidR="00000000" w:rsidDel="00000000" w:rsidP="00000000" w:rsidRDefault="00000000" w:rsidRPr="00000000" w14:paraId="000001D3">
      <w:pPr>
        <w:rPr>
          <w:b w:val="1"/>
        </w:rPr>
      </w:pPr>
      <w:r w:rsidDel="00000000" w:rsidR="00000000" w:rsidRPr="00000000">
        <w:rPr>
          <w:color w:val="222222"/>
          <w:highlight w:val="white"/>
          <w:rtl w:val="0"/>
        </w:rPr>
        <w:t xml:space="preserve">Weygandt, J.J., Kieso, D.E., Kimmel, P.D., Trenholm, B., Warren, V. and Novak, L., 2019. </w:t>
      </w:r>
      <w:r w:rsidDel="00000000" w:rsidR="00000000" w:rsidRPr="00000000">
        <w:rPr>
          <w:i w:val="1"/>
          <w:color w:val="222222"/>
          <w:highlight w:val="white"/>
          <w:rtl w:val="0"/>
        </w:rPr>
        <w:t xml:space="preserve">Accounting Principles, Volume 2</w:t>
      </w:r>
      <w:r w:rsidDel="00000000" w:rsidR="00000000" w:rsidRPr="00000000">
        <w:rPr>
          <w:color w:val="222222"/>
          <w:highlight w:val="white"/>
          <w:rtl w:val="0"/>
        </w:rPr>
        <w:t xml:space="preserve">. John Wiley &amp; Sons.</w:t>
      </w:r>
      <w:r w:rsidDel="00000000" w:rsidR="00000000" w:rsidRPr="00000000">
        <w:rPr>
          <w:rtl w:val="0"/>
        </w:rPr>
      </w:r>
    </w:p>
    <w:p w:rsidR="00000000" w:rsidDel="00000000" w:rsidP="00000000" w:rsidRDefault="00000000" w:rsidRPr="00000000" w14:paraId="000001D4">
      <w:pPr>
        <w:rPr/>
      </w:pPr>
      <w:r w:rsidDel="00000000" w:rsidR="00000000" w:rsidRPr="00000000">
        <w:rPr>
          <w:rtl w:val="0"/>
        </w:rPr>
      </w:r>
    </w:p>
    <w:sectPr>
      <w:footerReference r:id="rId7" w:type="default"/>
      <w:type w:val="nextPage"/>
      <w:pgSz w:h="16839" w:w="11907"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D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2.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