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EE3E7B" w14:textId="11FF8858" w:rsidR="000A7D37" w:rsidRDefault="000A7D37" w:rsidP="000A7D37">
      <w:pPr>
        <w:pStyle w:val="ListParagraph"/>
        <w:jc w:val="center"/>
        <w:rPr>
          <w:rFonts w:ascii="Times New Roman" w:hAnsi="Times New Roman" w:cs="Times New Roman"/>
          <w:u w:val="single"/>
        </w:rPr>
      </w:pPr>
      <w:r w:rsidRPr="000A7D37">
        <w:rPr>
          <w:rFonts w:ascii="Times New Roman" w:hAnsi="Times New Roman" w:cs="Times New Roman"/>
          <w:u w:val="single"/>
        </w:rPr>
        <w:t>Describe and critically assess Rousseau’s account of the ‘General Will’.</w:t>
      </w:r>
    </w:p>
    <w:p w14:paraId="131E58A3" w14:textId="0E3B0F54" w:rsidR="000A7D37" w:rsidRDefault="000A7D37" w:rsidP="000A7D37">
      <w:pPr>
        <w:pStyle w:val="ListParagraph"/>
        <w:jc w:val="both"/>
        <w:rPr>
          <w:rFonts w:ascii="Times New Roman" w:hAnsi="Times New Roman" w:cs="Times New Roman"/>
        </w:rPr>
      </w:pPr>
    </w:p>
    <w:p w14:paraId="6F471237" w14:textId="6773EDFC" w:rsidR="001750CE" w:rsidRDefault="001750CE" w:rsidP="000A7D37">
      <w:pPr>
        <w:pStyle w:val="ListParagraph"/>
        <w:ind w:left="0"/>
        <w:jc w:val="both"/>
        <w:rPr>
          <w:rFonts w:ascii="Times New Roman" w:hAnsi="Times New Roman" w:cs="Times New Roman"/>
        </w:rPr>
      </w:pPr>
      <w:r>
        <w:rPr>
          <w:rFonts w:ascii="Times New Roman" w:hAnsi="Times New Roman" w:cs="Times New Roman"/>
        </w:rPr>
        <w:t>In Rousseau’s view of politics, all citizens ought to take an active democratic role</w:t>
      </w:r>
      <w:r w:rsidR="00FA7BBA">
        <w:rPr>
          <w:rFonts w:ascii="Times New Roman" w:hAnsi="Times New Roman" w:cs="Times New Roman"/>
        </w:rPr>
        <w:t xml:space="preserve"> in the state</w:t>
      </w:r>
      <w:r>
        <w:rPr>
          <w:rFonts w:ascii="Times New Roman" w:hAnsi="Times New Roman" w:cs="Times New Roman"/>
        </w:rPr>
        <w:t>, as part of the Sovereign (‘the body of citizens acting collectively, with authority over themselves’</w:t>
      </w:r>
      <w:r>
        <w:rPr>
          <w:rStyle w:val="FootnoteReference"/>
          <w:rFonts w:ascii="Times New Roman" w:hAnsi="Times New Roman" w:cs="Times New Roman"/>
        </w:rPr>
        <w:footnoteReference w:id="1"/>
      </w:r>
      <w:r w:rsidR="00FA7BBA">
        <w:rPr>
          <w:rFonts w:ascii="Times New Roman" w:hAnsi="Times New Roman" w:cs="Times New Roman"/>
        </w:rPr>
        <w:t>)</w:t>
      </w:r>
      <w:r w:rsidR="00C57414">
        <w:rPr>
          <w:rFonts w:ascii="Times New Roman" w:hAnsi="Times New Roman" w:cs="Times New Roman"/>
        </w:rPr>
        <w:t>. Great stock is put on education of citizens to a high level, so that they are trained to ‘will nothing contrary to the will of society’</w:t>
      </w:r>
      <w:r w:rsidR="00C57414">
        <w:rPr>
          <w:rStyle w:val="FootnoteReference"/>
          <w:rFonts w:ascii="Times New Roman" w:hAnsi="Times New Roman" w:cs="Times New Roman"/>
        </w:rPr>
        <w:footnoteReference w:id="2"/>
      </w:r>
      <w:r w:rsidR="00FA7BBA">
        <w:rPr>
          <w:rFonts w:ascii="Times New Roman" w:hAnsi="Times New Roman" w:cs="Times New Roman"/>
        </w:rPr>
        <w:t xml:space="preserve">. </w:t>
      </w:r>
    </w:p>
    <w:p w14:paraId="657DD5DB" w14:textId="77777777" w:rsidR="00FA7BBA" w:rsidRDefault="00FA7BBA" w:rsidP="000A7D37">
      <w:pPr>
        <w:pStyle w:val="ListParagraph"/>
        <w:ind w:left="0"/>
        <w:jc w:val="both"/>
        <w:rPr>
          <w:rFonts w:ascii="Times New Roman" w:hAnsi="Times New Roman" w:cs="Times New Roman"/>
        </w:rPr>
      </w:pPr>
    </w:p>
    <w:p w14:paraId="0D4B3D20" w14:textId="4D14B6A4" w:rsidR="00C57414" w:rsidRDefault="001750CE" w:rsidP="000A7D37">
      <w:pPr>
        <w:pStyle w:val="ListParagraph"/>
        <w:ind w:left="0"/>
        <w:jc w:val="both"/>
        <w:rPr>
          <w:rFonts w:ascii="Times New Roman" w:hAnsi="Times New Roman" w:cs="Times New Roman"/>
        </w:rPr>
      </w:pPr>
      <w:r>
        <w:rPr>
          <w:rFonts w:ascii="Times New Roman" w:hAnsi="Times New Roman" w:cs="Times New Roman"/>
        </w:rPr>
        <w:tab/>
      </w:r>
      <w:r w:rsidR="000A7D37">
        <w:rPr>
          <w:rFonts w:ascii="Times New Roman" w:hAnsi="Times New Roman" w:cs="Times New Roman"/>
        </w:rPr>
        <w:t>Rousseau posits t</w:t>
      </w:r>
      <w:r w:rsidR="00C57414">
        <w:rPr>
          <w:rFonts w:ascii="Times New Roman" w:hAnsi="Times New Roman" w:cs="Times New Roman"/>
        </w:rPr>
        <w:t>wo distinct wills as having the possibility to govern in politics: the</w:t>
      </w:r>
      <w:r w:rsidR="000A7D37">
        <w:rPr>
          <w:rFonts w:ascii="Times New Roman" w:hAnsi="Times New Roman" w:cs="Times New Roman"/>
        </w:rPr>
        <w:t xml:space="preserve"> </w:t>
      </w:r>
      <w:r w:rsidR="000A7D37">
        <w:rPr>
          <w:rFonts w:ascii="Times New Roman" w:hAnsi="Times New Roman" w:cs="Times New Roman"/>
          <w:i/>
        </w:rPr>
        <w:t>volonte de tous</w:t>
      </w:r>
      <w:r w:rsidR="00C57414">
        <w:rPr>
          <w:rFonts w:ascii="Times New Roman" w:hAnsi="Times New Roman" w:cs="Times New Roman"/>
        </w:rPr>
        <w:t xml:space="preserve"> (the will of all)</w:t>
      </w:r>
      <w:r w:rsidR="000A7D37">
        <w:rPr>
          <w:rFonts w:ascii="Times New Roman" w:hAnsi="Times New Roman" w:cs="Times New Roman"/>
        </w:rPr>
        <w:t>, which is the sum of the wills of all individuals, ‘and is almost never unanimous’</w:t>
      </w:r>
      <w:r w:rsidR="000A7D37">
        <w:rPr>
          <w:rStyle w:val="FootnoteReference"/>
          <w:rFonts w:ascii="Times New Roman" w:hAnsi="Times New Roman" w:cs="Times New Roman"/>
        </w:rPr>
        <w:footnoteReference w:id="3"/>
      </w:r>
      <w:r w:rsidR="000A7D37">
        <w:rPr>
          <w:rFonts w:ascii="Times New Roman" w:hAnsi="Times New Roman" w:cs="Times New Roman"/>
        </w:rPr>
        <w:t xml:space="preserve">; and that of the </w:t>
      </w:r>
      <w:r w:rsidR="000A7D37">
        <w:rPr>
          <w:rFonts w:ascii="Times New Roman" w:hAnsi="Times New Roman" w:cs="Times New Roman"/>
          <w:i/>
        </w:rPr>
        <w:t>volonte generale</w:t>
      </w:r>
      <w:r w:rsidR="00C57414">
        <w:rPr>
          <w:rFonts w:ascii="Times New Roman" w:hAnsi="Times New Roman" w:cs="Times New Roman"/>
          <w:i/>
        </w:rPr>
        <w:t xml:space="preserve"> </w:t>
      </w:r>
      <w:r w:rsidR="00C57414">
        <w:rPr>
          <w:rFonts w:ascii="Times New Roman" w:hAnsi="Times New Roman" w:cs="Times New Roman"/>
        </w:rPr>
        <w:t xml:space="preserve">(the general will). This latter will </w:t>
      </w:r>
      <w:proofErr w:type="gramStart"/>
      <w:r w:rsidR="00C57414">
        <w:rPr>
          <w:rFonts w:ascii="Times New Roman" w:hAnsi="Times New Roman" w:cs="Times New Roman"/>
        </w:rPr>
        <w:t>is</w:t>
      </w:r>
      <w:proofErr w:type="gramEnd"/>
      <w:r w:rsidR="00C57414">
        <w:rPr>
          <w:rFonts w:ascii="Times New Roman" w:hAnsi="Times New Roman" w:cs="Times New Roman"/>
        </w:rPr>
        <w:t>, to Rousseau,</w:t>
      </w:r>
      <w:r w:rsidR="000A7D37">
        <w:rPr>
          <w:rFonts w:ascii="Times New Roman" w:hAnsi="Times New Roman" w:cs="Times New Roman"/>
        </w:rPr>
        <w:t xml:space="preserve"> </w:t>
      </w:r>
      <w:r w:rsidR="00DE2796">
        <w:rPr>
          <w:rFonts w:ascii="Times New Roman" w:hAnsi="Times New Roman" w:cs="Times New Roman"/>
        </w:rPr>
        <w:t>the most important to uphold, as it</w:t>
      </w:r>
      <w:r w:rsidR="000A7D37">
        <w:rPr>
          <w:rFonts w:ascii="Times New Roman" w:hAnsi="Times New Roman" w:cs="Times New Roman"/>
        </w:rPr>
        <w:t xml:space="preserve"> is the will of the majority,</w:t>
      </w:r>
      <w:r w:rsidR="00DE2796">
        <w:rPr>
          <w:rFonts w:ascii="Times New Roman" w:hAnsi="Times New Roman" w:cs="Times New Roman"/>
        </w:rPr>
        <w:t xml:space="preserve"> and therefore its being upheld means the Sovereign has authority over itself</w:t>
      </w:r>
      <w:r w:rsidR="000A7D37">
        <w:rPr>
          <w:rFonts w:ascii="Times New Roman" w:hAnsi="Times New Roman" w:cs="Times New Roman"/>
        </w:rPr>
        <w:t>. Th</w:t>
      </w:r>
      <w:r w:rsidR="00DE2796">
        <w:rPr>
          <w:rFonts w:ascii="Times New Roman" w:hAnsi="Times New Roman" w:cs="Times New Roman"/>
        </w:rPr>
        <w:t xml:space="preserve">e </w:t>
      </w:r>
      <w:r w:rsidR="000A7D37">
        <w:rPr>
          <w:rFonts w:ascii="Times New Roman" w:hAnsi="Times New Roman" w:cs="Times New Roman"/>
        </w:rPr>
        <w:t xml:space="preserve">general will, </w:t>
      </w:r>
      <w:proofErr w:type="gramStart"/>
      <w:r w:rsidR="000A7D37">
        <w:rPr>
          <w:rFonts w:ascii="Times New Roman" w:hAnsi="Times New Roman" w:cs="Times New Roman"/>
        </w:rPr>
        <w:t>by virtue of</w:t>
      </w:r>
      <w:proofErr w:type="gramEnd"/>
      <w:r w:rsidR="000A7D37">
        <w:rPr>
          <w:rFonts w:ascii="Times New Roman" w:hAnsi="Times New Roman" w:cs="Times New Roman"/>
        </w:rPr>
        <w:t xml:space="preserve"> being the will of the majority</w:t>
      </w:r>
      <w:r w:rsidR="00FA7BBA">
        <w:rPr>
          <w:rFonts w:ascii="Times New Roman" w:hAnsi="Times New Roman" w:cs="Times New Roman"/>
        </w:rPr>
        <w:t xml:space="preserve"> (as all are trained to will it)</w:t>
      </w:r>
      <w:r w:rsidR="000A7D37">
        <w:rPr>
          <w:rFonts w:ascii="Times New Roman" w:hAnsi="Times New Roman" w:cs="Times New Roman"/>
        </w:rPr>
        <w:t xml:space="preserve">, is </w:t>
      </w:r>
      <w:r w:rsidR="00FA7BBA">
        <w:rPr>
          <w:rFonts w:ascii="Times New Roman" w:hAnsi="Times New Roman" w:cs="Times New Roman"/>
        </w:rPr>
        <w:t xml:space="preserve">thought to be </w:t>
      </w:r>
      <w:r w:rsidR="000A7D37">
        <w:rPr>
          <w:rFonts w:ascii="Times New Roman" w:hAnsi="Times New Roman" w:cs="Times New Roman"/>
        </w:rPr>
        <w:t>the will of all in the community; for those who might disagree with it, it</w:t>
      </w:r>
      <w:r w:rsidR="000A7D37" w:rsidRPr="00DE2796">
        <w:rPr>
          <w:rFonts w:ascii="Times New Roman" w:hAnsi="Times New Roman" w:cs="Times New Roman"/>
          <w:i/>
        </w:rPr>
        <w:t xml:space="preserve"> remains</w:t>
      </w:r>
      <w:r w:rsidR="000A7D37">
        <w:rPr>
          <w:rFonts w:ascii="Times New Roman" w:hAnsi="Times New Roman" w:cs="Times New Roman"/>
        </w:rPr>
        <w:t xml:space="preserve"> their will as members of the state. </w:t>
      </w:r>
    </w:p>
    <w:p w14:paraId="0AC7C024" w14:textId="7139D6ED" w:rsidR="000A7D37" w:rsidRDefault="00C57414" w:rsidP="000A7D37">
      <w:pPr>
        <w:pStyle w:val="ListParagraph"/>
        <w:ind w:left="0"/>
        <w:jc w:val="both"/>
        <w:rPr>
          <w:rFonts w:ascii="Times New Roman" w:hAnsi="Times New Roman" w:cs="Times New Roman"/>
        </w:rPr>
      </w:pPr>
      <w:r>
        <w:rPr>
          <w:rFonts w:ascii="Times New Roman" w:hAnsi="Times New Roman" w:cs="Times New Roman"/>
        </w:rPr>
        <w:tab/>
      </w:r>
    </w:p>
    <w:p w14:paraId="71C20C7E" w14:textId="05DAD0D1" w:rsidR="00AD728E" w:rsidRDefault="000A7D37" w:rsidP="000A7D37">
      <w:pPr>
        <w:pStyle w:val="ListParagraph"/>
        <w:ind w:left="0"/>
        <w:jc w:val="both"/>
        <w:rPr>
          <w:rFonts w:ascii="Times New Roman" w:hAnsi="Times New Roman" w:cs="Times New Roman"/>
        </w:rPr>
      </w:pPr>
      <w:r>
        <w:rPr>
          <w:rFonts w:ascii="Times New Roman" w:hAnsi="Times New Roman" w:cs="Times New Roman"/>
        </w:rPr>
        <w:tab/>
        <w:t>There may then be said to be two interpretations of th</w:t>
      </w:r>
      <w:r w:rsidR="00FA7BBA">
        <w:rPr>
          <w:rFonts w:ascii="Times New Roman" w:hAnsi="Times New Roman" w:cs="Times New Roman"/>
        </w:rPr>
        <w:t>e</w:t>
      </w:r>
      <w:r>
        <w:rPr>
          <w:rFonts w:ascii="Times New Roman" w:hAnsi="Times New Roman" w:cs="Times New Roman"/>
        </w:rPr>
        <w:t xml:space="preserve"> general will, as it is unclear exactly what Rousseau himself believes it to be. One may take the </w:t>
      </w:r>
      <w:r>
        <w:rPr>
          <w:rFonts w:ascii="Times New Roman" w:hAnsi="Times New Roman" w:cs="Times New Roman"/>
          <w:i/>
        </w:rPr>
        <w:t xml:space="preserve">transcendent </w:t>
      </w:r>
      <w:r>
        <w:rPr>
          <w:rFonts w:ascii="Times New Roman" w:hAnsi="Times New Roman" w:cs="Times New Roman"/>
        </w:rPr>
        <w:t>interpretation, which supposes that the ‘general will is the transcendent incarnation of the citizens’ common interest that exists in abstraction from what any of them actually wants.’</w:t>
      </w:r>
      <w:r>
        <w:rPr>
          <w:rStyle w:val="FootnoteReference"/>
          <w:rFonts w:ascii="Times New Roman" w:hAnsi="Times New Roman" w:cs="Times New Roman"/>
        </w:rPr>
        <w:footnoteReference w:id="4"/>
      </w:r>
      <w:r w:rsidR="003E3CFA">
        <w:rPr>
          <w:rFonts w:ascii="Times New Roman" w:hAnsi="Times New Roman" w:cs="Times New Roman"/>
        </w:rPr>
        <w:t xml:space="preserve"> What form this transcendent will may then take, and how it may be agreed upon without democratic process, is unclear.</w:t>
      </w:r>
      <w:r w:rsidR="00AD728E">
        <w:rPr>
          <w:rFonts w:ascii="Times New Roman" w:hAnsi="Times New Roman" w:cs="Times New Roman"/>
        </w:rPr>
        <w:t xml:space="preserve"> The next interpretation is the </w:t>
      </w:r>
      <w:r w:rsidR="00AD728E">
        <w:rPr>
          <w:rFonts w:ascii="Times New Roman" w:hAnsi="Times New Roman" w:cs="Times New Roman"/>
          <w:i/>
        </w:rPr>
        <w:t xml:space="preserve">democratic </w:t>
      </w:r>
      <w:r w:rsidR="003E3CFA">
        <w:rPr>
          <w:rFonts w:ascii="Times New Roman" w:hAnsi="Times New Roman" w:cs="Times New Roman"/>
        </w:rPr>
        <w:t>general will</w:t>
      </w:r>
      <w:r w:rsidR="00AD728E">
        <w:rPr>
          <w:rFonts w:ascii="Times New Roman" w:hAnsi="Times New Roman" w:cs="Times New Roman"/>
        </w:rPr>
        <w:t xml:space="preserve">, which posits that the general will is </w:t>
      </w:r>
      <w:r w:rsidR="003E3CFA">
        <w:rPr>
          <w:rFonts w:ascii="Times New Roman" w:hAnsi="Times New Roman" w:cs="Times New Roman"/>
        </w:rPr>
        <w:t>that which</w:t>
      </w:r>
      <w:r w:rsidR="00AD728E">
        <w:rPr>
          <w:rFonts w:ascii="Times New Roman" w:hAnsi="Times New Roman" w:cs="Times New Roman"/>
        </w:rPr>
        <w:t xml:space="preserve"> </w:t>
      </w:r>
      <w:r w:rsidR="003E3CFA">
        <w:rPr>
          <w:rFonts w:ascii="Times New Roman" w:hAnsi="Times New Roman" w:cs="Times New Roman"/>
        </w:rPr>
        <w:t>‘</w:t>
      </w:r>
      <w:r w:rsidR="00AD728E">
        <w:rPr>
          <w:rFonts w:ascii="Times New Roman" w:hAnsi="Times New Roman" w:cs="Times New Roman"/>
        </w:rPr>
        <w:t>the citizens of the state have decided together in their sovereign assembly’.</w:t>
      </w:r>
      <w:r w:rsidR="00AD728E">
        <w:rPr>
          <w:rStyle w:val="FootnoteReference"/>
          <w:rFonts w:ascii="Times New Roman" w:hAnsi="Times New Roman" w:cs="Times New Roman"/>
        </w:rPr>
        <w:footnoteReference w:id="5"/>
      </w:r>
      <w:r w:rsidR="00AD728E">
        <w:rPr>
          <w:rFonts w:ascii="Times New Roman" w:hAnsi="Times New Roman" w:cs="Times New Roman"/>
        </w:rPr>
        <w:t xml:space="preserve"> Both interpretations seek to legitimise the state’s authority by ascertaining a general will bestowed sovereignty by individuals </w:t>
      </w:r>
      <w:r w:rsidR="00C33D46">
        <w:rPr>
          <w:rFonts w:ascii="Times New Roman" w:hAnsi="Times New Roman" w:cs="Times New Roman"/>
        </w:rPr>
        <w:t>who are interested in having their own preferences satisfied. The effect of the general will lay in its equality: it is from all, and it applies to all, equally.</w:t>
      </w:r>
    </w:p>
    <w:p w14:paraId="57F8D94B" w14:textId="77777777" w:rsidR="00FA7BBA" w:rsidRDefault="00C33D46" w:rsidP="000A7D37">
      <w:pPr>
        <w:pStyle w:val="ListParagraph"/>
        <w:ind w:left="0"/>
        <w:jc w:val="both"/>
        <w:rPr>
          <w:rFonts w:ascii="Times New Roman" w:hAnsi="Times New Roman" w:cs="Times New Roman"/>
        </w:rPr>
      </w:pPr>
      <w:r>
        <w:rPr>
          <w:rFonts w:ascii="Times New Roman" w:hAnsi="Times New Roman" w:cs="Times New Roman"/>
        </w:rPr>
        <w:tab/>
      </w:r>
    </w:p>
    <w:p w14:paraId="38FFE87B" w14:textId="3101016A" w:rsidR="00DE2796" w:rsidRDefault="00FA7BBA" w:rsidP="000A7D37">
      <w:pPr>
        <w:pStyle w:val="ListParagraph"/>
        <w:ind w:left="0"/>
        <w:jc w:val="both"/>
        <w:rPr>
          <w:rFonts w:ascii="Times New Roman" w:hAnsi="Times New Roman" w:cs="Times New Roman"/>
        </w:rPr>
      </w:pPr>
      <w:r>
        <w:rPr>
          <w:rFonts w:ascii="Times New Roman" w:hAnsi="Times New Roman" w:cs="Times New Roman"/>
        </w:rPr>
        <w:tab/>
      </w:r>
      <w:r w:rsidR="00C33D46">
        <w:rPr>
          <w:rFonts w:ascii="Times New Roman" w:hAnsi="Times New Roman" w:cs="Times New Roman"/>
        </w:rPr>
        <w:t xml:space="preserve">Issues arise from the fact that citizens may not be deciding on the general will </w:t>
      </w:r>
      <w:r w:rsidR="003E3CFA">
        <w:rPr>
          <w:rFonts w:ascii="Times New Roman" w:hAnsi="Times New Roman" w:cs="Times New Roman"/>
        </w:rPr>
        <w:t xml:space="preserve">with the common good </w:t>
      </w:r>
      <w:r w:rsidR="00951F8B">
        <w:rPr>
          <w:rFonts w:ascii="Times New Roman" w:hAnsi="Times New Roman" w:cs="Times New Roman"/>
        </w:rPr>
        <w:t>i</w:t>
      </w:r>
      <w:r w:rsidR="003E3CFA">
        <w:rPr>
          <w:rFonts w:ascii="Times New Roman" w:hAnsi="Times New Roman" w:cs="Times New Roman"/>
        </w:rPr>
        <w:t xml:space="preserve">n mind. </w:t>
      </w:r>
      <w:r w:rsidR="00951F8B">
        <w:rPr>
          <w:rFonts w:ascii="Times New Roman" w:hAnsi="Times New Roman" w:cs="Times New Roman"/>
        </w:rPr>
        <w:t>Most</w:t>
      </w:r>
      <w:r w:rsidR="003E3CFA">
        <w:rPr>
          <w:rFonts w:ascii="Times New Roman" w:hAnsi="Times New Roman" w:cs="Times New Roman"/>
        </w:rPr>
        <w:t xml:space="preserve"> societ</w:t>
      </w:r>
      <w:r w:rsidR="00951F8B">
        <w:rPr>
          <w:rFonts w:ascii="Times New Roman" w:hAnsi="Times New Roman" w:cs="Times New Roman"/>
        </w:rPr>
        <w:t>ies</w:t>
      </w:r>
      <w:r w:rsidR="003E3CFA">
        <w:rPr>
          <w:rFonts w:ascii="Times New Roman" w:hAnsi="Times New Roman" w:cs="Times New Roman"/>
        </w:rPr>
        <w:t xml:space="preserve"> </w:t>
      </w:r>
      <w:r w:rsidR="00951F8B">
        <w:rPr>
          <w:rFonts w:ascii="Times New Roman" w:hAnsi="Times New Roman" w:cs="Times New Roman"/>
        </w:rPr>
        <w:t>are</w:t>
      </w:r>
      <w:r w:rsidR="003E3CFA">
        <w:rPr>
          <w:rFonts w:ascii="Times New Roman" w:hAnsi="Times New Roman" w:cs="Times New Roman"/>
        </w:rPr>
        <w:t xml:space="preserve"> constructed of more than one class, and thus the interests of individuals in th</w:t>
      </w:r>
      <w:r w:rsidR="00951F8B">
        <w:rPr>
          <w:rFonts w:ascii="Times New Roman" w:hAnsi="Times New Roman" w:cs="Times New Roman"/>
        </w:rPr>
        <w:t>ese</w:t>
      </w:r>
      <w:r w:rsidR="003E3CFA">
        <w:rPr>
          <w:rFonts w:ascii="Times New Roman" w:hAnsi="Times New Roman" w:cs="Times New Roman"/>
        </w:rPr>
        <w:t xml:space="preserve"> societ</w:t>
      </w:r>
      <w:r w:rsidR="00951F8B">
        <w:rPr>
          <w:rFonts w:ascii="Times New Roman" w:hAnsi="Times New Roman" w:cs="Times New Roman"/>
        </w:rPr>
        <w:t>ies</w:t>
      </w:r>
      <w:r w:rsidR="003E3CFA">
        <w:rPr>
          <w:rFonts w:ascii="Times New Roman" w:hAnsi="Times New Roman" w:cs="Times New Roman"/>
        </w:rPr>
        <w:t xml:space="preserve"> </w:t>
      </w:r>
      <w:r w:rsidR="00951F8B">
        <w:rPr>
          <w:rFonts w:ascii="Times New Roman" w:hAnsi="Times New Roman" w:cs="Times New Roman"/>
        </w:rPr>
        <w:t>are</w:t>
      </w:r>
      <w:r w:rsidR="003E3CFA">
        <w:rPr>
          <w:rFonts w:ascii="Times New Roman" w:hAnsi="Times New Roman" w:cs="Times New Roman"/>
        </w:rPr>
        <w:t xml:space="preserve"> different and in most cases irreconcilable</w:t>
      </w:r>
      <w:r w:rsidR="00535CB3">
        <w:rPr>
          <w:rFonts w:ascii="Times New Roman" w:hAnsi="Times New Roman" w:cs="Times New Roman"/>
        </w:rPr>
        <w:t xml:space="preserve"> with each other</w:t>
      </w:r>
      <w:r w:rsidR="003E3CFA">
        <w:rPr>
          <w:rFonts w:ascii="Times New Roman" w:hAnsi="Times New Roman" w:cs="Times New Roman"/>
        </w:rPr>
        <w:t xml:space="preserve">. When considering what the general will ought to be, the citizen may ask what </w:t>
      </w:r>
      <w:r>
        <w:rPr>
          <w:rFonts w:ascii="Times New Roman" w:hAnsi="Times New Roman" w:cs="Times New Roman"/>
        </w:rPr>
        <w:t>they</w:t>
      </w:r>
      <w:r w:rsidR="003E3CFA">
        <w:rPr>
          <w:rFonts w:ascii="Times New Roman" w:hAnsi="Times New Roman" w:cs="Times New Roman"/>
        </w:rPr>
        <w:t xml:space="preserve"> would most want for </w:t>
      </w:r>
      <w:proofErr w:type="gramStart"/>
      <w:r w:rsidR="00951F8B">
        <w:rPr>
          <w:rFonts w:ascii="Times New Roman" w:hAnsi="Times New Roman" w:cs="Times New Roman"/>
        </w:rPr>
        <w:t xml:space="preserve">themselves, </w:t>
      </w:r>
      <w:r w:rsidR="00A62CF8">
        <w:rPr>
          <w:rFonts w:ascii="Times New Roman" w:hAnsi="Times New Roman" w:cs="Times New Roman"/>
        </w:rPr>
        <w:t>and</w:t>
      </w:r>
      <w:proofErr w:type="gramEnd"/>
      <w:r w:rsidR="003E3CFA">
        <w:rPr>
          <w:rFonts w:ascii="Times New Roman" w:hAnsi="Times New Roman" w:cs="Times New Roman"/>
        </w:rPr>
        <w:t xml:space="preserve"> generalise from the answer to this what most other citizens may want. If there are multiple factions within a given society or community, the citizen would not</w:t>
      </w:r>
      <w:r>
        <w:rPr>
          <w:rFonts w:ascii="Times New Roman" w:hAnsi="Times New Roman" w:cs="Times New Roman"/>
        </w:rPr>
        <w:t>, however,</w:t>
      </w:r>
      <w:r w:rsidR="003E3CFA">
        <w:rPr>
          <w:rFonts w:ascii="Times New Roman" w:hAnsi="Times New Roman" w:cs="Times New Roman"/>
        </w:rPr>
        <w:t xml:space="preserve"> be able to confidently assume he or she wanted what was in the common interest</w:t>
      </w:r>
      <w:r w:rsidR="00951F8B">
        <w:rPr>
          <w:rFonts w:ascii="Times New Roman" w:hAnsi="Times New Roman" w:cs="Times New Roman"/>
        </w:rPr>
        <w:t>, as they would be acting out of self-interest (if not acting out of a sense of what is moral)</w:t>
      </w:r>
      <w:r w:rsidR="003E3CFA">
        <w:rPr>
          <w:rFonts w:ascii="Times New Roman" w:hAnsi="Times New Roman" w:cs="Times New Roman"/>
        </w:rPr>
        <w:t xml:space="preserve">. </w:t>
      </w:r>
      <w:r w:rsidR="00AF303E">
        <w:rPr>
          <w:rFonts w:ascii="Times New Roman" w:hAnsi="Times New Roman" w:cs="Times New Roman"/>
        </w:rPr>
        <w:t xml:space="preserve">Class aside, there are many any ways in which people are different: by dint of their religion, their personal beliefs, their history, for example. </w:t>
      </w:r>
      <w:r>
        <w:rPr>
          <w:rFonts w:ascii="Times New Roman" w:hAnsi="Times New Roman" w:cs="Times New Roman"/>
        </w:rPr>
        <w:t xml:space="preserve">This leads to a lack of consent as to what the general will </w:t>
      </w:r>
      <w:r>
        <w:rPr>
          <w:rFonts w:ascii="Times New Roman" w:hAnsi="Times New Roman" w:cs="Times New Roman"/>
          <w:i/>
        </w:rPr>
        <w:t>is</w:t>
      </w:r>
      <w:r>
        <w:rPr>
          <w:rFonts w:ascii="Times New Roman" w:hAnsi="Times New Roman" w:cs="Times New Roman"/>
        </w:rPr>
        <w:t>.</w:t>
      </w:r>
    </w:p>
    <w:p w14:paraId="0E9FFA2E" w14:textId="77777777" w:rsidR="00FA7BBA" w:rsidRPr="00FA7BBA" w:rsidRDefault="00FA7BBA" w:rsidP="000A7D37">
      <w:pPr>
        <w:pStyle w:val="ListParagraph"/>
        <w:ind w:left="0"/>
        <w:jc w:val="both"/>
        <w:rPr>
          <w:rFonts w:ascii="Times New Roman" w:hAnsi="Times New Roman" w:cs="Times New Roman"/>
          <w:highlight w:val="yellow"/>
        </w:rPr>
      </w:pPr>
    </w:p>
    <w:p w14:paraId="3E4C006E" w14:textId="2A4D72CE" w:rsidR="003E3CFA" w:rsidRDefault="00DE2796" w:rsidP="000A7D37">
      <w:pPr>
        <w:pStyle w:val="ListParagraph"/>
        <w:ind w:left="0"/>
        <w:jc w:val="both"/>
        <w:rPr>
          <w:rFonts w:ascii="Times New Roman" w:hAnsi="Times New Roman" w:cs="Times New Roman"/>
        </w:rPr>
      </w:pPr>
      <w:r>
        <w:rPr>
          <w:rFonts w:ascii="Times New Roman" w:hAnsi="Times New Roman" w:cs="Times New Roman"/>
        </w:rPr>
        <w:tab/>
      </w:r>
      <w:r w:rsidR="003E3CFA">
        <w:rPr>
          <w:rFonts w:ascii="Times New Roman" w:hAnsi="Times New Roman" w:cs="Times New Roman"/>
        </w:rPr>
        <w:t xml:space="preserve">By any majoritarian democratic process, which seems to be what Rousseau suggests </w:t>
      </w:r>
      <w:proofErr w:type="gramStart"/>
      <w:r w:rsidR="003E3CFA">
        <w:rPr>
          <w:rFonts w:ascii="Times New Roman" w:hAnsi="Times New Roman" w:cs="Times New Roman"/>
        </w:rPr>
        <w:t>be</w:t>
      </w:r>
      <w:proofErr w:type="gramEnd"/>
      <w:r w:rsidR="003E3CFA">
        <w:rPr>
          <w:rFonts w:ascii="Times New Roman" w:hAnsi="Times New Roman" w:cs="Times New Roman"/>
        </w:rPr>
        <w:t xml:space="preserve"> undertaken, a minority may be unrepresented by the general will, have issue with it, and yet be unable to have themselves represented</w:t>
      </w:r>
      <w:r w:rsidR="00951F8B">
        <w:rPr>
          <w:rFonts w:ascii="Times New Roman" w:hAnsi="Times New Roman" w:cs="Times New Roman"/>
        </w:rPr>
        <w:t xml:space="preserve"> in law</w:t>
      </w:r>
      <w:r w:rsidR="00B200F3">
        <w:rPr>
          <w:rFonts w:ascii="Times New Roman" w:hAnsi="Times New Roman" w:cs="Times New Roman"/>
        </w:rPr>
        <w:t>, despite the law applying equally to all</w:t>
      </w:r>
      <w:r w:rsidR="00FA7BBA">
        <w:rPr>
          <w:rFonts w:ascii="Times New Roman" w:hAnsi="Times New Roman" w:cs="Times New Roman"/>
        </w:rPr>
        <w:t xml:space="preserve"> (or unequally, as the case may be)</w:t>
      </w:r>
      <w:r w:rsidR="003E3CFA">
        <w:rPr>
          <w:rFonts w:ascii="Times New Roman" w:hAnsi="Times New Roman" w:cs="Times New Roman"/>
        </w:rPr>
        <w:t xml:space="preserve">. </w:t>
      </w:r>
      <w:r w:rsidR="00B200F3">
        <w:rPr>
          <w:rFonts w:ascii="Times New Roman" w:hAnsi="Times New Roman" w:cs="Times New Roman"/>
        </w:rPr>
        <w:t>Minorities within the state can attempt to raise their will to be the dominant one; however, they ought, in Rousseau’s view, to also accept the general will ‘as an expression of the will of the political community’</w:t>
      </w:r>
      <w:r w:rsidR="00B200F3">
        <w:rPr>
          <w:rStyle w:val="FootnoteReference"/>
          <w:rFonts w:ascii="Times New Roman" w:hAnsi="Times New Roman" w:cs="Times New Roman"/>
        </w:rPr>
        <w:footnoteReference w:id="6"/>
      </w:r>
      <w:r w:rsidR="00B200F3">
        <w:rPr>
          <w:rFonts w:ascii="Times New Roman" w:hAnsi="Times New Roman" w:cs="Times New Roman"/>
        </w:rPr>
        <w:t>. This intuitively irks; a</w:t>
      </w:r>
      <w:r w:rsidR="00A62CF8">
        <w:rPr>
          <w:rFonts w:ascii="Times New Roman" w:hAnsi="Times New Roman" w:cs="Times New Roman"/>
        </w:rPr>
        <w:t xml:space="preserve"> minority</w:t>
      </w:r>
      <w:r w:rsidR="003E3CFA">
        <w:rPr>
          <w:rFonts w:ascii="Times New Roman" w:hAnsi="Times New Roman" w:cs="Times New Roman"/>
        </w:rPr>
        <w:t xml:space="preserve"> </w:t>
      </w:r>
      <w:r w:rsidR="00A62CF8">
        <w:rPr>
          <w:rFonts w:ascii="Times New Roman" w:hAnsi="Times New Roman" w:cs="Times New Roman"/>
        </w:rPr>
        <w:t>may</w:t>
      </w:r>
      <w:r w:rsidR="003E3CFA">
        <w:rPr>
          <w:rFonts w:ascii="Times New Roman" w:hAnsi="Times New Roman" w:cs="Times New Roman"/>
        </w:rPr>
        <w:t xml:space="preserve"> at this point be subject to the tyranny of the </w:t>
      </w:r>
      <w:r w:rsidR="003E3CFA">
        <w:rPr>
          <w:rFonts w:ascii="Times New Roman" w:hAnsi="Times New Roman" w:cs="Times New Roman"/>
        </w:rPr>
        <w:lastRenderedPageBreak/>
        <w:t>masses</w:t>
      </w:r>
      <w:r w:rsidR="00FA7BBA">
        <w:rPr>
          <w:rFonts w:ascii="Times New Roman" w:hAnsi="Times New Roman" w:cs="Times New Roman"/>
        </w:rPr>
        <w:t>;</w:t>
      </w:r>
      <w:r w:rsidR="003E3CFA">
        <w:rPr>
          <w:rFonts w:ascii="Times New Roman" w:hAnsi="Times New Roman" w:cs="Times New Roman"/>
        </w:rPr>
        <w:t xml:space="preserve"> sovereignty</w:t>
      </w:r>
      <w:r w:rsidR="00B200F3">
        <w:rPr>
          <w:rFonts w:ascii="Times New Roman" w:hAnsi="Times New Roman" w:cs="Times New Roman"/>
        </w:rPr>
        <w:t xml:space="preserve"> is thus</w:t>
      </w:r>
      <w:r w:rsidR="003E3CFA">
        <w:rPr>
          <w:rFonts w:ascii="Times New Roman" w:hAnsi="Times New Roman" w:cs="Times New Roman"/>
        </w:rPr>
        <w:t xml:space="preserve"> diminished, </w:t>
      </w:r>
      <w:r w:rsidR="00B200F3">
        <w:rPr>
          <w:rFonts w:ascii="Times New Roman" w:hAnsi="Times New Roman" w:cs="Times New Roman"/>
        </w:rPr>
        <w:t xml:space="preserve">and Rousseau’s general will </w:t>
      </w:r>
      <w:proofErr w:type="gramStart"/>
      <w:r w:rsidR="00B200F3">
        <w:rPr>
          <w:rFonts w:ascii="Times New Roman" w:hAnsi="Times New Roman" w:cs="Times New Roman"/>
        </w:rPr>
        <w:t>seems</w:t>
      </w:r>
      <w:proofErr w:type="gramEnd"/>
      <w:r w:rsidR="00B200F3">
        <w:rPr>
          <w:rFonts w:ascii="Times New Roman" w:hAnsi="Times New Roman" w:cs="Times New Roman"/>
        </w:rPr>
        <w:t xml:space="preserve"> unappealing as a solution to the issue of personal freedom (</w:t>
      </w:r>
      <w:r w:rsidR="00FA7BBA">
        <w:rPr>
          <w:rFonts w:ascii="Times New Roman" w:hAnsi="Times New Roman" w:cs="Times New Roman"/>
        </w:rPr>
        <w:t xml:space="preserve">particularly </w:t>
      </w:r>
      <w:r w:rsidR="00B200F3">
        <w:rPr>
          <w:rFonts w:ascii="Times New Roman" w:hAnsi="Times New Roman" w:cs="Times New Roman"/>
        </w:rPr>
        <w:t>if you are a minority)</w:t>
      </w:r>
      <w:r w:rsidR="003E3CFA">
        <w:rPr>
          <w:rFonts w:ascii="Times New Roman" w:hAnsi="Times New Roman" w:cs="Times New Roman"/>
        </w:rPr>
        <w:t xml:space="preserve">. </w:t>
      </w:r>
    </w:p>
    <w:p w14:paraId="783A163C" w14:textId="77777777" w:rsidR="00FA7BBA" w:rsidRDefault="00FA7BBA" w:rsidP="000A7D37">
      <w:pPr>
        <w:pStyle w:val="ListParagraph"/>
        <w:ind w:left="0"/>
        <w:jc w:val="both"/>
        <w:rPr>
          <w:rFonts w:ascii="Times New Roman" w:hAnsi="Times New Roman" w:cs="Times New Roman"/>
        </w:rPr>
      </w:pPr>
    </w:p>
    <w:p w14:paraId="40CA9A0B" w14:textId="2CF04632" w:rsidR="003E3CFA" w:rsidRDefault="003E3CFA" w:rsidP="000A7D37">
      <w:pPr>
        <w:pStyle w:val="ListParagraph"/>
        <w:ind w:left="0"/>
        <w:jc w:val="both"/>
        <w:rPr>
          <w:rFonts w:ascii="Times New Roman" w:hAnsi="Times New Roman" w:cs="Times New Roman"/>
        </w:rPr>
      </w:pPr>
      <w:r>
        <w:rPr>
          <w:rFonts w:ascii="Times New Roman" w:hAnsi="Times New Roman" w:cs="Times New Roman"/>
        </w:rPr>
        <w:tab/>
      </w:r>
      <w:r w:rsidR="00A62CF8">
        <w:rPr>
          <w:rFonts w:ascii="Times New Roman" w:hAnsi="Times New Roman" w:cs="Times New Roman"/>
        </w:rPr>
        <w:t>Rosseau does offer an answer to the question of how the general will is to come about whilst still meeting conditions for the legitimacy of the state and the sovereignty of the individual. Citizens must begin from an equal footing situationally</w:t>
      </w:r>
      <w:r w:rsidR="00951F8B">
        <w:rPr>
          <w:rFonts w:ascii="Times New Roman" w:hAnsi="Times New Roman" w:cs="Times New Roman"/>
        </w:rPr>
        <w:t>; they will then, even if acting out of self-interest, all agree on what is best for themselves. However, it is possible that self-interest alone is not enough in bringing about a general will which is willed by all, ‘</w:t>
      </w:r>
      <w:r w:rsidR="00951F8B" w:rsidRPr="00951F8B">
        <w:rPr>
          <w:rFonts w:ascii="Times New Roman" w:hAnsi="Times New Roman" w:cs="Times New Roman"/>
          <w:color w:val="1A1A1A"/>
          <w:shd w:val="clear" w:color="auto" w:fill="FFFFFF"/>
        </w:rPr>
        <w:t>since selfish citizens who can will the general will might still not be moved to obey it</w:t>
      </w:r>
      <w:r w:rsidR="00951F8B">
        <w:rPr>
          <w:rFonts w:ascii="Times New Roman" w:hAnsi="Times New Roman" w:cs="Times New Roman"/>
          <w:color w:val="1A1A1A"/>
          <w:shd w:val="clear" w:color="auto" w:fill="FFFFFF"/>
        </w:rPr>
        <w:t>’</w:t>
      </w:r>
      <w:r w:rsidR="00951F8B">
        <w:rPr>
          <w:rStyle w:val="FootnoteReference"/>
          <w:rFonts w:ascii="Times New Roman" w:hAnsi="Times New Roman" w:cs="Times New Roman"/>
          <w:color w:val="1A1A1A"/>
          <w:shd w:val="clear" w:color="auto" w:fill="FFFFFF"/>
        </w:rPr>
        <w:footnoteReference w:id="7"/>
      </w:r>
      <w:r w:rsidR="00951F8B">
        <w:rPr>
          <w:rFonts w:ascii="Times New Roman" w:hAnsi="Times New Roman" w:cs="Times New Roman"/>
          <w:color w:val="1A1A1A"/>
          <w:shd w:val="clear" w:color="auto" w:fill="FFFFFF"/>
        </w:rPr>
        <w:t xml:space="preserve">, </w:t>
      </w:r>
      <w:r w:rsidR="00951F8B">
        <w:rPr>
          <w:rFonts w:ascii="Times New Roman" w:hAnsi="Times New Roman" w:cs="Times New Roman"/>
        </w:rPr>
        <w:t>perhaps out of spite for the state, or an unwillingness to conform.</w:t>
      </w:r>
      <w:r w:rsidR="00FA7BBA">
        <w:rPr>
          <w:rFonts w:ascii="Times New Roman" w:hAnsi="Times New Roman" w:cs="Times New Roman"/>
        </w:rPr>
        <w:t xml:space="preserve"> No-one can be forced to will the general will without the process becoming outright coercion, which is not a satisfying solution (indeed, it would seem to render the entire democratic effort redundant). </w:t>
      </w:r>
    </w:p>
    <w:p w14:paraId="5BBC32B5" w14:textId="77777777" w:rsidR="00FA7BBA" w:rsidRDefault="00951F8B" w:rsidP="000A7D37">
      <w:pPr>
        <w:pStyle w:val="ListParagraph"/>
        <w:ind w:left="0"/>
        <w:jc w:val="both"/>
        <w:rPr>
          <w:rFonts w:ascii="Times New Roman" w:hAnsi="Times New Roman" w:cs="Times New Roman"/>
        </w:rPr>
      </w:pPr>
      <w:r>
        <w:rPr>
          <w:rFonts w:ascii="Times New Roman" w:hAnsi="Times New Roman" w:cs="Times New Roman"/>
        </w:rPr>
        <w:tab/>
      </w:r>
    </w:p>
    <w:p w14:paraId="53BD1B9B" w14:textId="0E70BFC9" w:rsidR="00951F8B" w:rsidRDefault="00FA7BBA" w:rsidP="000A7D37">
      <w:pPr>
        <w:pStyle w:val="ListParagraph"/>
        <w:ind w:left="0"/>
        <w:jc w:val="both"/>
        <w:rPr>
          <w:rFonts w:ascii="Times New Roman" w:hAnsi="Times New Roman" w:cs="Times New Roman"/>
        </w:rPr>
      </w:pPr>
      <w:r>
        <w:rPr>
          <w:rFonts w:ascii="Times New Roman" w:hAnsi="Times New Roman" w:cs="Times New Roman"/>
        </w:rPr>
        <w:tab/>
      </w:r>
      <w:r w:rsidR="00951F8B">
        <w:rPr>
          <w:rFonts w:ascii="Times New Roman" w:hAnsi="Times New Roman" w:cs="Times New Roman"/>
        </w:rPr>
        <w:t xml:space="preserve">A critical assessment of the general will would find issue with its relationship to the freedom of individuals who assent to it. </w:t>
      </w:r>
      <w:r w:rsidR="000F5292">
        <w:rPr>
          <w:rFonts w:ascii="Times New Roman" w:hAnsi="Times New Roman" w:cs="Times New Roman"/>
        </w:rPr>
        <w:t>Rousseau seems to be suggesting that we give up certain of our privileges in order to establish law, whilst also admitting that his proposed republic is ideal at best (</w:t>
      </w:r>
      <w:r w:rsidR="00DE2796">
        <w:rPr>
          <w:rFonts w:ascii="Times New Roman" w:hAnsi="Times New Roman" w:cs="Times New Roman"/>
        </w:rPr>
        <w:t>‘So perfect [democratic] a government is not for men.’</w:t>
      </w:r>
      <w:r w:rsidR="00DE2796">
        <w:rPr>
          <w:rStyle w:val="FootnoteReference"/>
          <w:rFonts w:ascii="Times New Roman" w:hAnsi="Times New Roman" w:cs="Times New Roman"/>
        </w:rPr>
        <w:footnoteReference w:id="8"/>
      </w:r>
      <w:r w:rsidR="000F5292">
        <w:rPr>
          <w:rFonts w:ascii="Times New Roman" w:hAnsi="Times New Roman" w:cs="Times New Roman"/>
        </w:rPr>
        <w:t xml:space="preserve">) and also that </w:t>
      </w:r>
      <w:r w:rsidR="000F5292" w:rsidRPr="000F5292">
        <w:rPr>
          <w:rFonts w:ascii="Times New Roman" w:hAnsi="Times New Roman" w:cs="Times New Roman"/>
        </w:rPr>
        <w:t>‘</w:t>
      </w:r>
      <w:r w:rsidR="000F5292" w:rsidRPr="000F5292">
        <w:rPr>
          <w:rFonts w:ascii="Times New Roman" w:hAnsi="Times New Roman" w:cs="Times New Roman"/>
          <w:color w:val="1A1A1A"/>
          <w:shd w:val="clear" w:color="auto" w:fill="FFFFFF"/>
        </w:rPr>
        <w:t>renunciation of freedom is contrary to human nature’</w:t>
      </w:r>
      <w:r w:rsidR="000F5292" w:rsidRPr="000F5292">
        <w:rPr>
          <w:rStyle w:val="FootnoteReference"/>
          <w:rFonts w:ascii="Times New Roman" w:hAnsi="Times New Roman" w:cs="Times New Roman"/>
          <w:color w:val="1A1A1A"/>
          <w:shd w:val="clear" w:color="auto" w:fill="FFFFFF"/>
        </w:rPr>
        <w:footnoteReference w:id="9"/>
      </w:r>
      <w:r w:rsidR="000F5292">
        <w:rPr>
          <w:rFonts w:ascii="Times New Roman" w:hAnsi="Times New Roman" w:cs="Times New Roman"/>
          <w:color w:val="1A1A1A"/>
          <w:shd w:val="clear" w:color="auto" w:fill="FFFFFF"/>
        </w:rPr>
        <w:t>; he concedes that most all renunciations of freedom do not truly reconcile tensions between freedom and authority, save when these renunciations are made with knowledge of the general will in mind</w:t>
      </w:r>
      <w:r>
        <w:rPr>
          <w:rFonts w:ascii="Times New Roman" w:hAnsi="Times New Roman" w:cs="Times New Roman"/>
          <w:color w:val="1A1A1A"/>
          <w:shd w:val="clear" w:color="auto" w:fill="FFFFFF"/>
        </w:rPr>
        <w:t xml:space="preserve"> (and often this results in minorities remaining democratically unrepresented)</w:t>
      </w:r>
      <w:r w:rsidR="000F5292">
        <w:rPr>
          <w:rFonts w:ascii="Times New Roman" w:hAnsi="Times New Roman" w:cs="Times New Roman"/>
          <w:color w:val="1A1A1A"/>
          <w:shd w:val="clear" w:color="auto" w:fill="FFFFFF"/>
        </w:rPr>
        <w:t>.</w:t>
      </w:r>
      <w:r>
        <w:rPr>
          <w:rFonts w:ascii="Times New Roman" w:hAnsi="Times New Roman" w:cs="Times New Roman"/>
          <w:color w:val="1A1A1A"/>
          <w:shd w:val="clear" w:color="auto" w:fill="FFFFFF"/>
        </w:rPr>
        <w:t xml:space="preserve"> Whilst an admirable effort at resolving the issue of how citizens are to remain sovereign over themselves whilst the state and laws also retain legitimacy, Rousseau’s ‘general will’ is a problematic concept when conceptions of freedom are considered in relation to it; it endorses too heavily the idea that ‘positive </w:t>
      </w:r>
      <w:r w:rsidR="00BC2FC9">
        <w:rPr>
          <w:rFonts w:ascii="Times New Roman" w:hAnsi="Times New Roman" w:cs="Times New Roman"/>
          <w:color w:val="1A1A1A"/>
          <w:shd w:val="clear" w:color="auto" w:fill="FFFFFF"/>
        </w:rPr>
        <w:t>liberty</w:t>
      </w:r>
      <w:r>
        <w:rPr>
          <w:rFonts w:ascii="Times New Roman" w:hAnsi="Times New Roman" w:cs="Times New Roman"/>
          <w:color w:val="1A1A1A"/>
          <w:shd w:val="clear" w:color="auto" w:fill="FFFFFF"/>
        </w:rPr>
        <w:t>’ (</w:t>
      </w:r>
      <w:r w:rsidR="00BC2FC9">
        <w:rPr>
          <w:rFonts w:ascii="Times New Roman" w:hAnsi="Times New Roman" w:cs="Times New Roman"/>
          <w:color w:val="1A1A1A"/>
          <w:shd w:val="clear" w:color="auto" w:fill="FFFFFF"/>
        </w:rPr>
        <w:t xml:space="preserve">that is, it imposes many barriers on the liberty of the individual to do as he or she pleases, is </w:t>
      </w:r>
      <w:r w:rsidR="00CD2533">
        <w:rPr>
          <w:rFonts w:ascii="Times New Roman" w:hAnsi="Times New Roman" w:cs="Times New Roman"/>
          <w:color w:val="1A1A1A"/>
          <w:shd w:val="clear" w:color="auto" w:fill="FFFFFF"/>
        </w:rPr>
        <w:t>contra to the idea of ‘experiments in living’)</w:t>
      </w:r>
      <w:r w:rsidR="00CD2533">
        <w:rPr>
          <w:rStyle w:val="FootnoteReference"/>
          <w:rFonts w:ascii="Times New Roman" w:hAnsi="Times New Roman" w:cs="Times New Roman"/>
          <w:color w:val="1A1A1A"/>
          <w:shd w:val="clear" w:color="auto" w:fill="FFFFFF"/>
        </w:rPr>
        <w:footnoteReference w:id="10"/>
      </w:r>
      <w:r w:rsidR="00CD2533">
        <w:rPr>
          <w:rFonts w:ascii="Times New Roman" w:hAnsi="Times New Roman" w:cs="Times New Roman"/>
          <w:color w:val="1A1A1A"/>
          <w:shd w:val="clear" w:color="auto" w:fill="FFFFFF"/>
        </w:rPr>
        <w:t>.</w:t>
      </w:r>
    </w:p>
    <w:p w14:paraId="1C6D5C7A" w14:textId="1231EA4C" w:rsidR="00951F8B" w:rsidRDefault="00951F8B" w:rsidP="000A7D37">
      <w:pPr>
        <w:pStyle w:val="ListParagraph"/>
        <w:ind w:left="0"/>
        <w:jc w:val="both"/>
        <w:rPr>
          <w:rFonts w:ascii="Times New Roman" w:hAnsi="Times New Roman" w:cs="Times New Roman"/>
        </w:rPr>
      </w:pPr>
    </w:p>
    <w:p w14:paraId="1FF621DB" w14:textId="407D8388" w:rsidR="00CD2533" w:rsidRDefault="00CD2533" w:rsidP="000A7D37">
      <w:pPr>
        <w:pStyle w:val="ListParagraph"/>
        <w:ind w:left="0"/>
        <w:jc w:val="both"/>
        <w:rPr>
          <w:rFonts w:ascii="Times New Roman" w:hAnsi="Times New Roman" w:cs="Times New Roman"/>
        </w:rPr>
      </w:pPr>
    </w:p>
    <w:p w14:paraId="2A2BE25B" w14:textId="709790C0" w:rsidR="00CD2533" w:rsidRDefault="00CD2533" w:rsidP="000A7D37">
      <w:pPr>
        <w:pStyle w:val="ListParagraph"/>
        <w:ind w:left="0"/>
        <w:jc w:val="both"/>
        <w:rPr>
          <w:rFonts w:ascii="Times New Roman" w:hAnsi="Times New Roman" w:cs="Times New Roman"/>
        </w:rPr>
      </w:pPr>
    </w:p>
    <w:p w14:paraId="019911D6" w14:textId="684DEA6C" w:rsidR="00CD2533" w:rsidRDefault="00CD2533" w:rsidP="000A7D37">
      <w:pPr>
        <w:pStyle w:val="ListParagraph"/>
        <w:ind w:left="0"/>
        <w:jc w:val="both"/>
        <w:rPr>
          <w:rFonts w:ascii="Times New Roman" w:hAnsi="Times New Roman" w:cs="Times New Roman"/>
        </w:rPr>
      </w:pPr>
    </w:p>
    <w:p w14:paraId="10272D78" w14:textId="4A0819AD" w:rsidR="00CD2533" w:rsidRDefault="00CD2533" w:rsidP="000A7D37">
      <w:pPr>
        <w:pStyle w:val="ListParagraph"/>
        <w:ind w:left="0"/>
        <w:jc w:val="both"/>
        <w:rPr>
          <w:rFonts w:ascii="Times New Roman" w:hAnsi="Times New Roman" w:cs="Times New Roman"/>
        </w:rPr>
      </w:pPr>
    </w:p>
    <w:p w14:paraId="33CDEDD2" w14:textId="7E29614F" w:rsidR="00CD2533" w:rsidRDefault="00CD2533" w:rsidP="000A7D37">
      <w:pPr>
        <w:pStyle w:val="ListParagraph"/>
        <w:ind w:left="0"/>
        <w:jc w:val="both"/>
        <w:rPr>
          <w:rFonts w:ascii="Times New Roman" w:hAnsi="Times New Roman" w:cs="Times New Roman"/>
        </w:rPr>
      </w:pPr>
    </w:p>
    <w:p w14:paraId="1487139B" w14:textId="1D07D72F" w:rsidR="00CD2533" w:rsidRDefault="00CD2533" w:rsidP="000A7D37">
      <w:pPr>
        <w:pStyle w:val="ListParagraph"/>
        <w:ind w:left="0"/>
        <w:jc w:val="both"/>
        <w:rPr>
          <w:rFonts w:ascii="Times New Roman" w:hAnsi="Times New Roman" w:cs="Times New Roman"/>
        </w:rPr>
      </w:pPr>
    </w:p>
    <w:p w14:paraId="50D6F08D" w14:textId="60D74031" w:rsidR="00CD2533" w:rsidRDefault="00CD2533" w:rsidP="000A7D37">
      <w:pPr>
        <w:pStyle w:val="ListParagraph"/>
        <w:ind w:left="0"/>
        <w:jc w:val="both"/>
        <w:rPr>
          <w:rFonts w:ascii="Times New Roman" w:hAnsi="Times New Roman" w:cs="Times New Roman"/>
        </w:rPr>
      </w:pPr>
    </w:p>
    <w:p w14:paraId="3CC67204" w14:textId="2410D19B" w:rsidR="00CD2533" w:rsidRDefault="00CD2533" w:rsidP="000A7D37">
      <w:pPr>
        <w:pStyle w:val="ListParagraph"/>
        <w:ind w:left="0"/>
        <w:jc w:val="both"/>
        <w:rPr>
          <w:rFonts w:ascii="Times New Roman" w:hAnsi="Times New Roman" w:cs="Times New Roman"/>
        </w:rPr>
      </w:pPr>
    </w:p>
    <w:p w14:paraId="3445EC18" w14:textId="797F24D0" w:rsidR="00CD2533" w:rsidRDefault="00CD2533" w:rsidP="000A7D37">
      <w:pPr>
        <w:pStyle w:val="ListParagraph"/>
        <w:ind w:left="0"/>
        <w:jc w:val="both"/>
        <w:rPr>
          <w:rFonts w:ascii="Times New Roman" w:hAnsi="Times New Roman" w:cs="Times New Roman"/>
        </w:rPr>
      </w:pPr>
    </w:p>
    <w:p w14:paraId="1DB44670" w14:textId="27FEE85E" w:rsidR="00CD2533" w:rsidRDefault="00CD2533" w:rsidP="000A7D37">
      <w:pPr>
        <w:pStyle w:val="ListParagraph"/>
        <w:ind w:left="0"/>
        <w:jc w:val="both"/>
        <w:rPr>
          <w:rFonts w:ascii="Times New Roman" w:hAnsi="Times New Roman" w:cs="Times New Roman"/>
        </w:rPr>
      </w:pPr>
    </w:p>
    <w:p w14:paraId="79252208" w14:textId="20977C7A" w:rsidR="00CD2533" w:rsidRDefault="00CD2533" w:rsidP="000A7D37">
      <w:pPr>
        <w:pStyle w:val="ListParagraph"/>
        <w:ind w:left="0"/>
        <w:jc w:val="both"/>
        <w:rPr>
          <w:rFonts w:ascii="Times New Roman" w:hAnsi="Times New Roman" w:cs="Times New Roman"/>
        </w:rPr>
      </w:pPr>
    </w:p>
    <w:p w14:paraId="6E8F19A0" w14:textId="02D71001" w:rsidR="00CD2533" w:rsidRDefault="00CD2533" w:rsidP="000A7D37">
      <w:pPr>
        <w:pStyle w:val="ListParagraph"/>
        <w:ind w:left="0"/>
        <w:jc w:val="both"/>
        <w:rPr>
          <w:rFonts w:ascii="Times New Roman" w:hAnsi="Times New Roman" w:cs="Times New Roman"/>
        </w:rPr>
      </w:pPr>
    </w:p>
    <w:p w14:paraId="0F8DBA07" w14:textId="4B2652D8" w:rsidR="00CD2533" w:rsidRDefault="00CD2533" w:rsidP="000A7D37">
      <w:pPr>
        <w:pStyle w:val="ListParagraph"/>
        <w:ind w:left="0"/>
        <w:jc w:val="both"/>
        <w:rPr>
          <w:rFonts w:ascii="Times New Roman" w:hAnsi="Times New Roman" w:cs="Times New Roman"/>
        </w:rPr>
      </w:pPr>
    </w:p>
    <w:p w14:paraId="18451112" w14:textId="2CACA8E5" w:rsidR="00CD2533" w:rsidRDefault="00CD2533" w:rsidP="000A7D37">
      <w:pPr>
        <w:pStyle w:val="ListParagraph"/>
        <w:ind w:left="0"/>
        <w:jc w:val="both"/>
        <w:rPr>
          <w:rFonts w:ascii="Times New Roman" w:hAnsi="Times New Roman" w:cs="Times New Roman"/>
        </w:rPr>
      </w:pPr>
    </w:p>
    <w:p w14:paraId="76D82C5C" w14:textId="5E2AB716" w:rsidR="00CD2533" w:rsidRDefault="00CD2533" w:rsidP="000A7D37">
      <w:pPr>
        <w:pStyle w:val="ListParagraph"/>
        <w:ind w:left="0"/>
        <w:jc w:val="both"/>
        <w:rPr>
          <w:rFonts w:ascii="Times New Roman" w:hAnsi="Times New Roman" w:cs="Times New Roman"/>
        </w:rPr>
      </w:pPr>
    </w:p>
    <w:p w14:paraId="27BEB5F6" w14:textId="5A577894" w:rsidR="00CD2533" w:rsidRDefault="00CD2533" w:rsidP="000A7D37">
      <w:pPr>
        <w:pStyle w:val="ListParagraph"/>
        <w:ind w:left="0"/>
        <w:jc w:val="both"/>
        <w:rPr>
          <w:rFonts w:ascii="Times New Roman" w:hAnsi="Times New Roman" w:cs="Times New Roman"/>
        </w:rPr>
      </w:pPr>
    </w:p>
    <w:p w14:paraId="68B9BA47" w14:textId="382C20F1" w:rsidR="00CD2533" w:rsidRDefault="00CD2533" w:rsidP="000A7D37">
      <w:pPr>
        <w:pStyle w:val="ListParagraph"/>
        <w:ind w:left="0"/>
        <w:jc w:val="both"/>
        <w:rPr>
          <w:rFonts w:ascii="Times New Roman" w:hAnsi="Times New Roman" w:cs="Times New Roman"/>
        </w:rPr>
      </w:pPr>
    </w:p>
    <w:p w14:paraId="0FF88DA7" w14:textId="4D5EF9D0" w:rsidR="00CD2533" w:rsidRDefault="00CD2533" w:rsidP="000A7D37">
      <w:pPr>
        <w:pStyle w:val="ListParagraph"/>
        <w:ind w:left="0"/>
        <w:jc w:val="both"/>
        <w:rPr>
          <w:rFonts w:ascii="Times New Roman" w:hAnsi="Times New Roman" w:cs="Times New Roman"/>
        </w:rPr>
      </w:pPr>
    </w:p>
    <w:p w14:paraId="4FA2789A" w14:textId="26F99632" w:rsidR="00CD2533" w:rsidRDefault="00CD2533" w:rsidP="000A7D37">
      <w:pPr>
        <w:pStyle w:val="ListParagraph"/>
        <w:ind w:left="0"/>
        <w:jc w:val="both"/>
        <w:rPr>
          <w:rFonts w:ascii="Times New Roman" w:hAnsi="Times New Roman" w:cs="Times New Roman"/>
        </w:rPr>
      </w:pPr>
    </w:p>
    <w:p w14:paraId="5003C55E" w14:textId="4CBCFB99" w:rsidR="00CD2533" w:rsidRDefault="00CD2533" w:rsidP="000A7D37">
      <w:pPr>
        <w:pStyle w:val="ListParagraph"/>
        <w:ind w:left="0"/>
        <w:jc w:val="both"/>
        <w:rPr>
          <w:rFonts w:ascii="Times New Roman" w:hAnsi="Times New Roman" w:cs="Times New Roman"/>
          <w:b/>
        </w:rPr>
      </w:pPr>
      <w:r>
        <w:rPr>
          <w:rFonts w:ascii="Times New Roman" w:hAnsi="Times New Roman" w:cs="Times New Roman"/>
          <w:b/>
        </w:rPr>
        <w:lastRenderedPageBreak/>
        <w:t xml:space="preserve">BIBLIOGRAPHY: </w:t>
      </w:r>
    </w:p>
    <w:p w14:paraId="090CED6F" w14:textId="4FFD6E6D" w:rsidR="00CD2533" w:rsidRPr="00CD2533" w:rsidRDefault="00CD2533" w:rsidP="000A7D37">
      <w:pPr>
        <w:pStyle w:val="ListParagraph"/>
        <w:ind w:left="0"/>
        <w:jc w:val="both"/>
        <w:rPr>
          <w:rFonts w:ascii="Times New Roman" w:hAnsi="Times New Roman" w:cs="Times New Roman"/>
          <w:b/>
          <w:sz w:val="24"/>
          <w:szCs w:val="24"/>
        </w:rPr>
      </w:pPr>
    </w:p>
    <w:p w14:paraId="028852B1" w14:textId="77777777" w:rsidR="00CD2533" w:rsidRDefault="00CD2533" w:rsidP="00CD2533">
      <w:pPr>
        <w:pStyle w:val="FootnoteText"/>
        <w:rPr>
          <w:rFonts w:ascii="Times New Roman" w:hAnsi="Times New Roman" w:cs="Times New Roman"/>
          <w:sz w:val="24"/>
          <w:szCs w:val="24"/>
        </w:rPr>
      </w:pPr>
      <w:r w:rsidRPr="00CD2533">
        <w:rPr>
          <w:rFonts w:ascii="Times New Roman" w:hAnsi="Times New Roman" w:cs="Times New Roman"/>
          <w:sz w:val="24"/>
          <w:szCs w:val="24"/>
        </w:rPr>
        <w:t>Bertram,</w:t>
      </w:r>
      <w:r w:rsidRPr="00CD2533">
        <w:rPr>
          <w:rFonts w:ascii="Times New Roman" w:hAnsi="Times New Roman" w:cs="Times New Roman"/>
          <w:sz w:val="24"/>
          <w:szCs w:val="24"/>
        </w:rPr>
        <w:t xml:space="preserve"> </w:t>
      </w:r>
      <w:r w:rsidRPr="00CD2533">
        <w:rPr>
          <w:rFonts w:ascii="Times New Roman" w:hAnsi="Times New Roman" w:cs="Times New Roman"/>
          <w:sz w:val="24"/>
          <w:szCs w:val="24"/>
        </w:rPr>
        <w:t>Christopher</w:t>
      </w:r>
      <w:r w:rsidRPr="00CD2533">
        <w:rPr>
          <w:rFonts w:ascii="Times New Roman" w:hAnsi="Times New Roman" w:cs="Times New Roman"/>
          <w:sz w:val="24"/>
          <w:szCs w:val="24"/>
        </w:rPr>
        <w:t>,</w:t>
      </w:r>
      <w:r w:rsidRPr="00CD2533">
        <w:rPr>
          <w:rFonts w:ascii="Times New Roman" w:hAnsi="Times New Roman" w:cs="Times New Roman"/>
          <w:sz w:val="24"/>
          <w:szCs w:val="24"/>
        </w:rPr>
        <w:t xml:space="preserve"> ‘Rousseau’s Legacy in Two Conceptions of the General Will: Democratic and Transcendent.”, </w:t>
      </w:r>
      <w:r w:rsidRPr="00CD2533">
        <w:rPr>
          <w:rFonts w:ascii="Times New Roman" w:hAnsi="Times New Roman" w:cs="Times New Roman"/>
          <w:i/>
          <w:sz w:val="24"/>
          <w:szCs w:val="24"/>
        </w:rPr>
        <w:t>Review of Politics</w:t>
      </w:r>
      <w:r w:rsidRPr="00CD2533">
        <w:rPr>
          <w:rFonts w:ascii="Times New Roman" w:hAnsi="Times New Roman" w:cs="Times New Roman"/>
          <w:sz w:val="24"/>
          <w:szCs w:val="24"/>
        </w:rPr>
        <w:t xml:space="preserve">, </w:t>
      </w:r>
      <w:r w:rsidRPr="00CD2533">
        <w:rPr>
          <w:rFonts w:ascii="Times New Roman" w:hAnsi="Times New Roman" w:cs="Times New Roman"/>
          <w:sz w:val="24"/>
          <w:szCs w:val="24"/>
        </w:rPr>
        <w:t>2012</w:t>
      </w:r>
    </w:p>
    <w:p w14:paraId="7EB8E5FB" w14:textId="42D902BA" w:rsidR="00CD2533" w:rsidRPr="00CD2533" w:rsidRDefault="00CD2533" w:rsidP="00CD2533">
      <w:pPr>
        <w:pStyle w:val="FootnoteText"/>
        <w:rPr>
          <w:rFonts w:ascii="Times New Roman" w:hAnsi="Times New Roman" w:cs="Times New Roman"/>
          <w:sz w:val="24"/>
          <w:szCs w:val="24"/>
        </w:rPr>
      </w:pPr>
      <w:r>
        <w:rPr>
          <w:rFonts w:ascii="Times New Roman" w:hAnsi="Times New Roman" w:cs="Times New Roman"/>
          <w:color w:val="1A1A1A"/>
          <w:sz w:val="24"/>
          <w:szCs w:val="24"/>
        </w:rPr>
        <w:tab/>
      </w:r>
      <w:r w:rsidRPr="00CD2533">
        <w:rPr>
          <w:rFonts w:ascii="Times New Roman" w:hAnsi="Times New Roman" w:cs="Times New Roman"/>
          <w:color w:val="1A1A1A"/>
          <w:sz w:val="24"/>
          <w:szCs w:val="24"/>
        </w:rPr>
        <w:t>"Jean Jacques Rousseau", </w:t>
      </w:r>
      <w:r w:rsidRPr="00CD2533">
        <w:rPr>
          <w:rStyle w:val="Emphasis"/>
          <w:rFonts w:ascii="Times New Roman" w:hAnsi="Times New Roman" w:cs="Times New Roman"/>
          <w:color w:val="1A1A1A"/>
          <w:sz w:val="24"/>
          <w:szCs w:val="24"/>
        </w:rPr>
        <w:t>The Stanford Encyclopaedia of Philosophy </w:t>
      </w:r>
      <w:r w:rsidRPr="00CD2533">
        <w:rPr>
          <w:rFonts w:ascii="Times New Roman" w:hAnsi="Times New Roman" w:cs="Times New Roman"/>
          <w:color w:val="1A1A1A"/>
          <w:sz w:val="24"/>
          <w:szCs w:val="24"/>
        </w:rPr>
        <w:t>(Summer 2017 Edition), Edward N. Zalta (ed.)</w:t>
      </w:r>
      <w:r w:rsidRPr="00CD2533">
        <w:rPr>
          <w:rFonts w:ascii="Times New Roman" w:hAnsi="Times New Roman" w:cs="Times New Roman"/>
          <w:color w:val="1A1A1A"/>
          <w:sz w:val="24"/>
          <w:szCs w:val="24"/>
        </w:rPr>
        <w:t xml:space="preserve"> </w:t>
      </w:r>
      <w:r w:rsidRPr="00CD2533">
        <w:rPr>
          <w:rFonts w:ascii="Times New Roman" w:hAnsi="Times New Roman" w:cs="Times New Roman"/>
          <w:color w:val="1A1A1A"/>
          <w:sz w:val="24"/>
          <w:szCs w:val="24"/>
        </w:rPr>
        <w:t>URL = &lt;https://plato.stanford.edu/archives/sum2017/entries/rousseau/&gt;.</w:t>
      </w:r>
    </w:p>
    <w:p w14:paraId="5A9C42A0" w14:textId="77777777" w:rsidR="00CD2533" w:rsidRPr="00CD2533" w:rsidRDefault="00CD2533" w:rsidP="00CD2533">
      <w:pPr>
        <w:pStyle w:val="FootnoteText"/>
        <w:rPr>
          <w:rFonts w:ascii="Times New Roman" w:hAnsi="Times New Roman" w:cs="Times New Roman"/>
          <w:color w:val="1A1A1A"/>
          <w:sz w:val="24"/>
          <w:szCs w:val="24"/>
        </w:rPr>
      </w:pPr>
    </w:p>
    <w:p w14:paraId="3FDA9243" w14:textId="74F3E102" w:rsidR="00CD2533" w:rsidRPr="00CD2533" w:rsidRDefault="00CD2533" w:rsidP="00CD2533">
      <w:pPr>
        <w:pStyle w:val="FootnoteText"/>
        <w:rPr>
          <w:rFonts w:ascii="Times New Roman" w:hAnsi="Times New Roman" w:cs="Times New Roman"/>
          <w:color w:val="1A1A1A"/>
          <w:sz w:val="24"/>
          <w:szCs w:val="24"/>
        </w:rPr>
      </w:pPr>
      <w:r w:rsidRPr="00CD2533">
        <w:rPr>
          <w:rFonts w:ascii="Times New Roman" w:hAnsi="Times New Roman" w:cs="Times New Roman"/>
          <w:color w:val="1A1A1A"/>
          <w:sz w:val="24"/>
          <w:szCs w:val="24"/>
        </w:rPr>
        <w:t>Carter, Ian, "Positive and Negative Liberty", </w:t>
      </w:r>
      <w:r w:rsidRPr="00CD2533">
        <w:rPr>
          <w:rStyle w:val="Emphasis"/>
          <w:rFonts w:ascii="Times New Roman" w:hAnsi="Times New Roman" w:cs="Times New Roman"/>
          <w:color w:val="1A1A1A"/>
          <w:sz w:val="24"/>
          <w:szCs w:val="24"/>
        </w:rPr>
        <w:t xml:space="preserve">The Stanford </w:t>
      </w:r>
      <w:proofErr w:type="spellStart"/>
      <w:r w:rsidRPr="00CD2533">
        <w:rPr>
          <w:rStyle w:val="Emphasis"/>
          <w:rFonts w:ascii="Times New Roman" w:hAnsi="Times New Roman" w:cs="Times New Roman"/>
          <w:color w:val="1A1A1A"/>
          <w:sz w:val="24"/>
          <w:szCs w:val="24"/>
        </w:rPr>
        <w:t>Encyclopedia</w:t>
      </w:r>
      <w:proofErr w:type="spellEnd"/>
      <w:r w:rsidRPr="00CD2533">
        <w:rPr>
          <w:rStyle w:val="Emphasis"/>
          <w:rFonts w:ascii="Times New Roman" w:hAnsi="Times New Roman" w:cs="Times New Roman"/>
          <w:color w:val="1A1A1A"/>
          <w:sz w:val="24"/>
          <w:szCs w:val="24"/>
        </w:rPr>
        <w:t xml:space="preserve"> of Philosophy </w:t>
      </w:r>
      <w:r w:rsidRPr="00CD2533">
        <w:rPr>
          <w:rFonts w:ascii="Times New Roman" w:hAnsi="Times New Roman" w:cs="Times New Roman"/>
          <w:color w:val="1A1A1A"/>
          <w:sz w:val="24"/>
          <w:szCs w:val="24"/>
        </w:rPr>
        <w:t>(Fall 2016 Edition), Edward N. Zalta (ed.)</w:t>
      </w:r>
      <w:r w:rsidRPr="00CD2533">
        <w:rPr>
          <w:rFonts w:ascii="Times New Roman" w:hAnsi="Times New Roman" w:cs="Times New Roman"/>
          <w:color w:val="1A1A1A"/>
          <w:sz w:val="24"/>
          <w:szCs w:val="24"/>
        </w:rPr>
        <w:t xml:space="preserve"> </w:t>
      </w:r>
      <w:r w:rsidRPr="00CD2533">
        <w:rPr>
          <w:rFonts w:ascii="Times New Roman" w:hAnsi="Times New Roman" w:cs="Times New Roman"/>
          <w:color w:val="1A1A1A"/>
          <w:sz w:val="24"/>
          <w:szCs w:val="24"/>
        </w:rPr>
        <w:t>URL = &lt;https://plato.stanford.edu/archives/fall2016/entries/liberty-positive-negative/&gt;.</w:t>
      </w:r>
    </w:p>
    <w:p w14:paraId="4730060C" w14:textId="77777777" w:rsidR="00CD2533" w:rsidRPr="00CD2533" w:rsidRDefault="00CD2533" w:rsidP="00CD2533">
      <w:pPr>
        <w:pStyle w:val="FootnoteText"/>
        <w:rPr>
          <w:rFonts w:ascii="Times New Roman" w:hAnsi="Times New Roman" w:cs="Times New Roman"/>
          <w:sz w:val="24"/>
          <w:szCs w:val="24"/>
        </w:rPr>
      </w:pPr>
    </w:p>
    <w:p w14:paraId="50E16C7A" w14:textId="475F91CE" w:rsidR="00CD2533" w:rsidRPr="00CD2533" w:rsidRDefault="00CD2533" w:rsidP="00CD2533">
      <w:pPr>
        <w:pStyle w:val="FootnoteText"/>
        <w:rPr>
          <w:rFonts w:ascii="Times New Roman" w:hAnsi="Times New Roman" w:cs="Times New Roman"/>
          <w:sz w:val="24"/>
          <w:szCs w:val="24"/>
        </w:rPr>
      </w:pPr>
      <w:r w:rsidRPr="00CD2533">
        <w:rPr>
          <w:rFonts w:ascii="Times New Roman" w:hAnsi="Times New Roman" w:cs="Times New Roman"/>
          <w:sz w:val="24"/>
          <w:szCs w:val="24"/>
        </w:rPr>
        <w:t>Marias,</w:t>
      </w:r>
      <w:r>
        <w:rPr>
          <w:rFonts w:ascii="Times New Roman" w:hAnsi="Times New Roman" w:cs="Times New Roman"/>
          <w:sz w:val="24"/>
          <w:szCs w:val="24"/>
        </w:rPr>
        <w:t xml:space="preserve"> </w:t>
      </w:r>
      <w:r w:rsidRPr="00CD2533">
        <w:rPr>
          <w:rFonts w:ascii="Times New Roman" w:hAnsi="Times New Roman" w:cs="Times New Roman"/>
          <w:sz w:val="24"/>
          <w:szCs w:val="24"/>
        </w:rPr>
        <w:t>Julian</w:t>
      </w:r>
      <w:r>
        <w:rPr>
          <w:rFonts w:ascii="Times New Roman" w:hAnsi="Times New Roman" w:cs="Times New Roman"/>
          <w:sz w:val="24"/>
          <w:szCs w:val="24"/>
        </w:rPr>
        <w:t>,</w:t>
      </w:r>
      <w:r w:rsidRPr="00CD2533">
        <w:rPr>
          <w:rFonts w:ascii="Times New Roman" w:hAnsi="Times New Roman" w:cs="Times New Roman"/>
          <w:sz w:val="24"/>
          <w:szCs w:val="24"/>
        </w:rPr>
        <w:t xml:space="preserve"> </w:t>
      </w:r>
      <w:r w:rsidRPr="00CD2533">
        <w:rPr>
          <w:rFonts w:ascii="Times New Roman" w:hAnsi="Times New Roman" w:cs="Times New Roman"/>
          <w:i/>
          <w:sz w:val="24"/>
          <w:szCs w:val="24"/>
        </w:rPr>
        <w:t>History of Philosophy</w:t>
      </w:r>
      <w:r w:rsidRPr="00CD2533">
        <w:rPr>
          <w:rFonts w:ascii="Times New Roman" w:hAnsi="Times New Roman" w:cs="Times New Roman"/>
          <w:sz w:val="24"/>
          <w:szCs w:val="24"/>
        </w:rPr>
        <w:t xml:space="preserve">, New York: Dover Publications, 1992 </w:t>
      </w:r>
    </w:p>
    <w:p w14:paraId="6283ABF8" w14:textId="77777777" w:rsidR="00CD2533" w:rsidRPr="00CD2533" w:rsidRDefault="00CD2533" w:rsidP="00CD2533">
      <w:pPr>
        <w:pStyle w:val="FootnoteText"/>
        <w:rPr>
          <w:rFonts w:ascii="Times New Roman" w:hAnsi="Times New Roman" w:cs="Times New Roman"/>
          <w:sz w:val="24"/>
          <w:szCs w:val="24"/>
        </w:rPr>
      </w:pPr>
    </w:p>
    <w:p w14:paraId="69335F75" w14:textId="71E470A5" w:rsidR="00CD2533" w:rsidRPr="00CD2533" w:rsidRDefault="00CD2533" w:rsidP="00CD2533">
      <w:pPr>
        <w:pStyle w:val="FootnoteText"/>
        <w:rPr>
          <w:rFonts w:ascii="Times New Roman" w:hAnsi="Times New Roman" w:cs="Times New Roman"/>
          <w:sz w:val="24"/>
          <w:szCs w:val="24"/>
        </w:rPr>
      </w:pPr>
      <w:r w:rsidRPr="00CD2533">
        <w:rPr>
          <w:rFonts w:ascii="Times New Roman" w:hAnsi="Times New Roman" w:cs="Times New Roman"/>
          <w:sz w:val="24"/>
          <w:szCs w:val="24"/>
        </w:rPr>
        <w:t>Rousseau,</w:t>
      </w:r>
      <w:r>
        <w:rPr>
          <w:rFonts w:ascii="Times New Roman" w:hAnsi="Times New Roman" w:cs="Times New Roman"/>
          <w:sz w:val="24"/>
          <w:szCs w:val="24"/>
        </w:rPr>
        <w:t xml:space="preserve"> </w:t>
      </w:r>
      <w:r w:rsidRPr="00CD2533">
        <w:rPr>
          <w:rFonts w:ascii="Times New Roman" w:hAnsi="Times New Roman" w:cs="Times New Roman"/>
          <w:sz w:val="24"/>
          <w:szCs w:val="24"/>
        </w:rPr>
        <w:t>Jean-Jacques</w:t>
      </w:r>
      <w:r>
        <w:rPr>
          <w:rFonts w:ascii="Times New Roman" w:hAnsi="Times New Roman" w:cs="Times New Roman"/>
          <w:sz w:val="24"/>
          <w:szCs w:val="24"/>
        </w:rPr>
        <w:t>,</w:t>
      </w:r>
      <w:r w:rsidRPr="00CD2533">
        <w:rPr>
          <w:rFonts w:ascii="Times New Roman" w:hAnsi="Times New Roman" w:cs="Times New Roman"/>
          <w:sz w:val="24"/>
          <w:szCs w:val="24"/>
        </w:rPr>
        <w:t xml:space="preserve"> </w:t>
      </w:r>
      <w:r w:rsidRPr="00CD2533">
        <w:rPr>
          <w:rFonts w:ascii="Times New Roman" w:hAnsi="Times New Roman" w:cs="Times New Roman"/>
          <w:i/>
          <w:sz w:val="24"/>
          <w:szCs w:val="24"/>
        </w:rPr>
        <w:t>The Social Contract and Other Discourses</w:t>
      </w:r>
      <w:r w:rsidRPr="00CD2533">
        <w:rPr>
          <w:rFonts w:ascii="Times New Roman" w:hAnsi="Times New Roman" w:cs="Times New Roman"/>
          <w:sz w:val="24"/>
          <w:szCs w:val="24"/>
        </w:rPr>
        <w:t>, London: Everyman</w:t>
      </w:r>
    </w:p>
    <w:p w14:paraId="117002D2" w14:textId="77777777" w:rsidR="00CD2533" w:rsidRPr="00CD2533" w:rsidRDefault="00CD2533" w:rsidP="00CD2533">
      <w:pPr>
        <w:pStyle w:val="FootnoteText"/>
        <w:rPr>
          <w:rFonts w:ascii="Times New Roman" w:hAnsi="Times New Roman" w:cs="Times New Roman"/>
          <w:sz w:val="24"/>
          <w:szCs w:val="24"/>
        </w:rPr>
      </w:pPr>
    </w:p>
    <w:p w14:paraId="4330D361" w14:textId="4667E43F" w:rsidR="00CD2533" w:rsidRPr="00CD2533" w:rsidRDefault="00CD2533" w:rsidP="00CD2533">
      <w:pPr>
        <w:pStyle w:val="FootnoteText"/>
        <w:rPr>
          <w:rFonts w:ascii="Times New Roman" w:hAnsi="Times New Roman" w:cs="Times New Roman"/>
          <w:sz w:val="24"/>
          <w:szCs w:val="24"/>
        </w:rPr>
      </w:pPr>
      <w:r w:rsidRPr="00CD2533">
        <w:rPr>
          <w:rFonts w:ascii="Times New Roman" w:hAnsi="Times New Roman" w:cs="Times New Roman"/>
          <w:sz w:val="24"/>
          <w:szCs w:val="24"/>
        </w:rPr>
        <w:t>Wolff,</w:t>
      </w:r>
      <w:r>
        <w:rPr>
          <w:rFonts w:ascii="Times New Roman" w:hAnsi="Times New Roman" w:cs="Times New Roman"/>
          <w:sz w:val="24"/>
          <w:szCs w:val="24"/>
        </w:rPr>
        <w:t xml:space="preserve"> </w:t>
      </w:r>
      <w:r w:rsidRPr="00CD2533">
        <w:rPr>
          <w:rFonts w:ascii="Times New Roman" w:hAnsi="Times New Roman" w:cs="Times New Roman"/>
          <w:sz w:val="24"/>
          <w:szCs w:val="24"/>
        </w:rPr>
        <w:t>Jonathan</w:t>
      </w:r>
      <w:r>
        <w:rPr>
          <w:rFonts w:ascii="Times New Roman" w:hAnsi="Times New Roman" w:cs="Times New Roman"/>
          <w:sz w:val="24"/>
          <w:szCs w:val="24"/>
        </w:rPr>
        <w:t>,</w:t>
      </w:r>
      <w:r w:rsidRPr="00CD2533">
        <w:rPr>
          <w:rFonts w:ascii="Times New Roman" w:hAnsi="Times New Roman" w:cs="Times New Roman"/>
          <w:sz w:val="24"/>
          <w:szCs w:val="24"/>
        </w:rPr>
        <w:t xml:space="preserve"> </w:t>
      </w:r>
      <w:r w:rsidRPr="00CD2533">
        <w:rPr>
          <w:rFonts w:ascii="Times New Roman" w:hAnsi="Times New Roman" w:cs="Times New Roman"/>
          <w:i/>
          <w:sz w:val="24"/>
          <w:szCs w:val="24"/>
        </w:rPr>
        <w:t>An Introduction to Political Philosophy</w:t>
      </w:r>
      <w:r w:rsidRPr="00CD2533">
        <w:rPr>
          <w:rFonts w:ascii="Times New Roman" w:hAnsi="Times New Roman" w:cs="Times New Roman"/>
          <w:sz w:val="24"/>
          <w:szCs w:val="24"/>
        </w:rPr>
        <w:t>, Oxford: Oxford University Press, 1994</w:t>
      </w:r>
      <w:bookmarkStart w:id="0" w:name="_GoBack"/>
      <w:bookmarkEnd w:id="0"/>
    </w:p>
    <w:p w14:paraId="042A3BCA" w14:textId="77777777" w:rsidR="00CD2533" w:rsidRPr="001750CE" w:rsidRDefault="00CD2533" w:rsidP="00CD2533">
      <w:pPr>
        <w:pStyle w:val="FootnoteText"/>
        <w:rPr>
          <w:rFonts w:ascii="Times New Roman" w:hAnsi="Times New Roman" w:cs="Times New Roman"/>
        </w:rPr>
      </w:pPr>
    </w:p>
    <w:p w14:paraId="537F0703" w14:textId="77777777" w:rsidR="00CD2533" w:rsidRPr="00C57414" w:rsidRDefault="00CD2533" w:rsidP="00CD2533">
      <w:pPr>
        <w:pStyle w:val="FootnoteText"/>
        <w:rPr>
          <w:rFonts w:ascii="Times New Roman" w:hAnsi="Times New Roman" w:cs="Times New Roman"/>
        </w:rPr>
      </w:pPr>
    </w:p>
    <w:p w14:paraId="7C48082F" w14:textId="77777777" w:rsidR="00CD2533" w:rsidRPr="00AD728E" w:rsidRDefault="00CD2533" w:rsidP="00CD2533">
      <w:pPr>
        <w:pStyle w:val="FootnoteText"/>
        <w:rPr>
          <w:rFonts w:ascii="Times New Roman" w:hAnsi="Times New Roman" w:cs="Times New Roman"/>
        </w:rPr>
      </w:pPr>
    </w:p>
    <w:p w14:paraId="0E0A6341" w14:textId="77777777" w:rsidR="00CD2533" w:rsidRPr="00AD728E" w:rsidRDefault="00CD2533" w:rsidP="00CD2533">
      <w:pPr>
        <w:pStyle w:val="FootnoteText"/>
        <w:rPr>
          <w:rFonts w:ascii="Times New Roman" w:hAnsi="Times New Roman" w:cs="Times New Roman"/>
        </w:rPr>
      </w:pPr>
    </w:p>
    <w:p w14:paraId="1937C4C3" w14:textId="77777777" w:rsidR="00CD2533" w:rsidRPr="00CD2533" w:rsidRDefault="00CD2533" w:rsidP="000A7D37">
      <w:pPr>
        <w:pStyle w:val="ListParagraph"/>
        <w:ind w:left="0"/>
        <w:jc w:val="both"/>
        <w:rPr>
          <w:rFonts w:ascii="Times New Roman" w:hAnsi="Times New Roman" w:cs="Times New Roman"/>
          <w:b/>
        </w:rPr>
      </w:pPr>
    </w:p>
    <w:sectPr w:rsidR="00CD2533" w:rsidRPr="00CD25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8122B6" w14:textId="77777777" w:rsidR="00533D6A" w:rsidRDefault="00533D6A" w:rsidP="000A7D37">
      <w:pPr>
        <w:spacing w:after="0" w:line="240" w:lineRule="auto"/>
      </w:pPr>
      <w:r>
        <w:separator/>
      </w:r>
    </w:p>
  </w:endnote>
  <w:endnote w:type="continuationSeparator" w:id="0">
    <w:p w14:paraId="5BDD82BC" w14:textId="77777777" w:rsidR="00533D6A" w:rsidRDefault="00533D6A" w:rsidP="000A7D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81C4BB" w14:textId="77777777" w:rsidR="00533D6A" w:rsidRDefault="00533D6A" w:rsidP="000A7D37">
      <w:pPr>
        <w:spacing w:after="0" w:line="240" w:lineRule="auto"/>
      </w:pPr>
      <w:r>
        <w:separator/>
      </w:r>
    </w:p>
  </w:footnote>
  <w:footnote w:type="continuationSeparator" w:id="0">
    <w:p w14:paraId="270DAC1B" w14:textId="77777777" w:rsidR="00533D6A" w:rsidRDefault="00533D6A" w:rsidP="000A7D37">
      <w:pPr>
        <w:spacing w:after="0" w:line="240" w:lineRule="auto"/>
      </w:pPr>
      <w:r>
        <w:continuationSeparator/>
      </w:r>
    </w:p>
  </w:footnote>
  <w:footnote w:id="1">
    <w:p w14:paraId="574E55F8" w14:textId="2F594AA5" w:rsidR="001750CE" w:rsidRPr="001750CE" w:rsidRDefault="001750CE">
      <w:pPr>
        <w:pStyle w:val="FootnoteText"/>
        <w:rPr>
          <w:rFonts w:ascii="Times New Roman" w:hAnsi="Times New Roman" w:cs="Times New Roman"/>
        </w:rPr>
      </w:pPr>
      <w:r w:rsidRPr="001750CE">
        <w:rPr>
          <w:rStyle w:val="FootnoteReference"/>
          <w:rFonts w:ascii="Times New Roman" w:hAnsi="Times New Roman" w:cs="Times New Roman"/>
        </w:rPr>
        <w:footnoteRef/>
      </w:r>
      <w:r w:rsidRPr="001750CE">
        <w:rPr>
          <w:rFonts w:ascii="Times New Roman" w:hAnsi="Times New Roman" w:cs="Times New Roman"/>
        </w:rPr>
        <w:t xml:space="preserve"> Jonathan Wolff, </w:t>
      </w:r>
      <w:r w:rsidRPr="001750CE">
        <w:rPr>
          <w:rFonts w:ascii="Times New Roman" w:hAnsi="Times New Roman" w:cs="Times New Roman"/>
          <w:i/>
        </w:rPr>
        <w:t>An Introduction to Political Philosophy</w:t>
      </w:r>
      <w:r w:rsidRPr="001750CE">
        <w:rPr>
          <w:rFonts w:ascii="Times New Roman" w:hAnsi="Times New Roman" w:cs="Times New Roman"/>
        </w:rPr>
        <w:t>, pg. 86, Oxford: Oxford University Press, 1994</w:t>
      </w:r>
    </w:p>
  </w:footnote>
  <w:footnote w:id="2">
    <w:p w14:paraId="4B9E7FAF" w14:textId="756F50CE" w:rsidR="00C57414" w:rsidRPr="00C57414" w:rsidRDefault="00C57414">
      <w:pPr>
        <w:pStyle w:val="FootnoteText"/>
        <w:rPr>
          <w:rFonts w:ascii="Times New Roman" w:hAnsi="Times New Roman" w:cs="Times New Roman"/>
        </w:rPr>
      </w:pPr>
      <w:r w:rsidRPr="00C57414">
        <w:rPr>
          <w:rStyle w:val="FootnoteReference"/>
          <w:rFonts w:ascii="Times New Roman" w:hAnsi="Times New Roman" w:cs="Times New Roman"/>
        </w:rPr>
        <w:footnoteRef/>
      </w:r>
      <w:r w:rsidRPr="00C57414">
        <w:rPr>
          <w:rFonts w:ascii="Times New Roman" w:hAnsi="Times New Roman" w:cs="Times New Roman"/>
        </w:rPr>
        <w:t xml:space="preserve"> Jean-Jacques Rousseau, </w:t>
      </w:r>
      <w:r w:rsidRPr="00C57414">
        <w:rPr>
          <w:rFonts w:ascii="Times New Roman" w:hAnsi="Times New Roman" w:cs="Times New Roman"/>
          <w:i/>
        </w:rPr>
        <w:t>The Social Contract and Other Discourses</w:t>
      </w:r>
      <w:r w:rsidRPr="00C57414">
        <w:rPr>
          <w:rFonts w:ascii="Times New Roman" w:hAnsi="Times New Roman" w:cs="Times New Roman"/>
        </w:rPr>
        <w:t>, Bk. 3, Ch. 4, pg. 239, London: Everyman</w:t>
      </w:r>
    </w:p>
  </w:footnote>
  <w:footnote w:id="3">
    <w:p w14:paraId="7A5DB1CA" w14:textId="25DF0320" w:rsidR="000A7D37" w:rsidRPr="00AD728E" w:rsidRDefault="000A7D37">
      <w:pPr>
        <w:pStyle w:val="FootnoteText"/>
        <w:rPr>
          <w:rFonts w:ascii="Times New Roman" w:hAnsi="Times New Roman" w:cs="Times New Roman"/>
        </w:rPr>
      </w:pPr>
      <w:r w:rsidRPr="00AD728E">
        <w:rPr>
          <w:rStyle w:val="FootnoteReference"/>
          <w:rFonts w:ascii="Times New Roman" w:hAnsi="Times New Roman" w:cs="Times New Roman"/>
        </w:rPr>
        <w:footnoteRef/>
      </w:r>
      <w:r w:rsidRPr="00AD728E">
        <w:rPr>
          <w:rFonts w:ascii="Times New Roman" w:hAnsi="Times New Roman" w:cs="Times New Roman"/>
        </w:rPr>
        <w:t xml:space="preserve"> Julian Marias, </w:t>
      </w:r>
      <w:r w:rsidRPr="00AD728E">
        <w:rPr>
          <w:rFonts w:ascii="Times New Roman" w:hAnsi="Times New Roman" w:cs="Times New Roman"/>
          <w:i/>
        </w:rPr>
        <w:t>History of Philosophy</w:t>
      </w:r>
      <w:r w:rsidRPr="00AD728E">
        <w:rPr>
          <w:rFonts w:ascii="Times New Roman" w:hAnsi="Times New Roman" w:cs="Times New Roman"/>
        </w:rPr>
        <w:t>, pg. 265</w:t>
      </w:r>
      <w:r w:rsidR="00CD2533">
        <w:rPr>
          <w:rFonts w:ascii="Times New Roman" w:hAnsi="Times New Roman" w:cs="Times New Roman"/>
        </w:rPr>
        <w:t>, New York: Dover Publications, 1992</w:t>
      </w:r>
      <w:r w:rsidR="00C57414">
        <w:rPr>
          <w:rFonts w:ascii="Times New Roman" w:hAnsi="Times New Roman" w:cs="Times New Roman"/>
        </w:rPr>
        <w:t xml:space="preserve"> </w:t>
      </w:r>
    </w:p>
  </w:footnote>
  <w:footnote w:id="4">
    <w:p w14:paraId="57C43AF2" w14:textId="0B5FE5B7" w:rsidR="000A7D37" w:rsidRPr="00AD728E" w:rsidRDefault="000A7D37">
      <w:pPr>
        <w:pStyle w:val="FootnoteText"/>
        <w:rPr>
          <w:rFonts w:ascii="Times New Roman" w:hAnsi="Times New Roman" w:cs="Times New Roman"/>
        </w:rPr>
      </w:pPr>
      <w:r w:rsidRPr="00AD728E">
        <w:rPr>
          <w:rStyle w:val="FootnoteReference"/>
          <w:rFonts w:ascii="Times New Roman" w:hAnsi="Times New Roman" w:cs="Times New Roman"/>
        </w:rPr>
        <w:footnoteRef/>
      </w:r>
      <w:r w:rsidRPr="00AD728E">
        <w:rPr>
          <w:rFonts w:ascii="Times New Roman" w:hAnsi="Times New Roman" w:cs="Times New Roman"/>
        </w:rPr>
        <w:t xml:space="preserve"> </w:t>
      </w:r>
      <w:r w:rsidR="00AD728E">
        <w:rPr>
          <w:rFonts w:ascii="Times New Roman" w:hAnsi="Times New Roman" w:cs="Times New Roman"/>
        </w:rPr>
        <w:t xml:space="preserve">Christopher Bertram, </w:t>
      </w:r>
      <w:r w:rsidR="00AD728E" w:rsidRPr="00AD728E">
        <w:rPr>
          <w:rFonts w:ascii="Times New Roman" w:hAnsi="Times New Roman" w:cs="Times New Roman"/>
        </w:rPr>
        <w:t>2012, ‘Rousseau’s Legacy in Two Conceptions of the General Will: Democratic and Transcendent.”, Review of Politics, 74: 403-420</w:t>
      </w:r>
    </w:p>
  </w:footnote>
  <w:footnote w:id="5">
    <w:p w14:paraId="570F178A" w14:textId="1171619D" w:rsidR="00AD728E" w:rsidRPr="00AD728E" w:rsidRDefault="00AD728E">
      <w:pPr>
        <w:pStyle w:val="FootnoteText"/>
        <w:rPr>
          <w:rFonts w:ascii="Times New Roman" w:hAnsi="Times New Roman" w:cs="Times New Roman"/>
        </w:rPr>
      </w:pPr>
      <w:r w:rsidRPr="00AD728E">
        <w:rPr>
          <w:rStyle w:val="FootnoteReference"/>
          <w:rFonts w:ascii="Times New Roman" w:hAnsi="Times New Roman" w:cs="Times New Roman"/>
        </w:rPr>
        <w:footnoteRef/>
      </w:r>
      <w:r w:rsidRPr="00AD728E">
        <w:rPr>
          <w:rFonts w:ascii="Times New Roman" w:hAnsi="Times New Roman" w:cs="Times New Roman"/>
        </w:rPr>
        <w:t xml:space="preserve"> </w:t>
      </w:r>
      <w:r>
        <w:rPr>
          <w:rFonts w:ascii="Times New Roman" w:hAnsi="Times New Roman" w:cs="Times New Roman"/>
          <w:color w:val="1A1A1A"/>
        </w:rPr>
        <w:t>Christopher Bertram,</w:t>
      </w:r>
      <w:r w:rsidRPr="00AD728E">
        <w:rPr>
          <w:rFonts w:ascii="Times New Roman" w:hAnsi="Times New Roman" w:cs="Times New Roman"/>
          <w:color w:val="1A1A1A"/>
        </w:rPr>
        <w:t xml:space="preserve"> "Jean Jacques Rousseau", </w:t>
      </w:r>
      <w:r w:rsidRPr="00AD728E">
        <w:rPr>
          <w:rStyle w:val="Emphasis"/>
          <w:rFonts w:ascii="Times New Roman" w:hAnsi="Times New Roman" w:cs="Times New Roman"/>
          <w:color w:val="1A1A1A"/>
        </w:rPr>
        <w:t>The Stanford Encyclop</w:t>
      </w:r>
      <w:r>
        <w:rPr>
          <w:rStyle w:val="Emphasis"/>
          <w:rFonts w:ascii="Times New Roman" w:hAnsi="Times New Roman" w:cs="Times New Roman"/>
          <w:color w:val="1A1A1A"/>
        </w:rPr>
        <w:t>a</w:t>
      </w:r>
      <w:r w:rsidRPr="00AD728E">
        <w:rPr>
          <w:rStyle w:val="Emphasis"/>
          <w:rFonts w:ascii="Times New Roman" w:hAnsi="Times New Roman" w:cs="Times New Roman"/>
          <w:color w:val="1A1A1A"/>
        </w:rPr>
        <w:t>edia of Philosophy </w:t>
      </w:r>
      <w:r w:rsidRPr="00AD728E">
        <w:rPr>
          <w:rFonts w:ascii="Times New Roman" w:hAnsi="Times New Roman" w:cs="Times New Roman"/>
          <w:color w:val="1A1A1A"/>
        </w:rPr>
        <w:t>(Summer 2017 Edition), Edward N. Zalta (ed.)</w:t>
      </w:r>
    </w:p>
  </w:footnote>
  <w:footnote w:id="6">
    <w:p w14:paraId="53C06C3E" w14:textId="77777777" w:rsidR="00B200F3" w:rsidRPr="00AD728E" w:rsidRDefault="00B200F3" w:rsidP="00B200F3">
      <w:pPr>
        <w:pStyle w:val="FootnoteText"/>
        <w:rPr>
          <w:rFonts w:ascii="Times New Roman" w:hAnsi="Times New Roman" w:cs="Times New Roman"/>
        </w:rPr>
      </w:pPr>
      <w:r w:rsidRPr="00AD728E">
        <w:rPr>
          <w:rStyle w:val="FootnoteReference"/>
          <w:rFonts w:ascii="Times New Roman" w:hAnsi="Times New Roman" w:cs="Times New Roman"/>
        </w:rPr>
        <w:footnoteRef/>
      </w:r>
      <w:r w:rsidRPr="00AD728E">
        <w:rPr>
          <w:rFonts w:ascii="Times New Roman" w:hAnsi="Times New Roman" w:cs="Times New Roman"/>
        </w:rPr>
        <w:t xml:space="preserve"> Ibid., pg. 265</w:t>
      </w:r>
    </w:p>
  </w:footnote>
  <w:footnote w:id="7">
    <w:p w14:paraId="39D6352B" w14:textId="77777777" w:rsidR="00951F8B" w:rsidRPr="000F5292" w:rsidRDefault="00951F8B" w:rsidP="00951F8B">
      <w:pPr>
        <w:pStyle w:val="FootnoteText"/>
        <w:rPr>
          <w:rFonts w:ascii="Times New Roman" w:hAnsi="Times New Roman" w:cs="Times New Roman"/>
        </w:rPr>
      </w:pPr>
      <w:r>
        <w:rPr>
          <w:rStyle w:val="FootnoteReference"/>
        </w:rPr>
        <w:footnoteRef/>
      </w:r>
      <w:r>
        <w:t xml:space="preserve"> </w:t>
      </w:r>
      <w:r w:rsidRPr="000F5292">
        <w:rPr>
          <w:rFonts w:ascii="Times New Roman" w:hAnsi="Times New Roman" w:cs="Times New Roman"/>
        </w:rPr>
        <w:t>Ibid.</w:t>
      </w:r>
    </w:p>
  </w:footnote>
  <w:footnote w:id="8">
    <w:p w14:paraId="3CF5D24F" w14:textId="47413BAE" w:rsidR="00DE2796" w:rsidRDefault="00DE2796">
      <w:pPr>
        <w:pStyle w:val="FootnoteText"/>
      </w:pPr>
      <w:r>
        <w:rPr>
          <w:rStyle w:val="FootnoteReference"/>
        </w:rPr>
        <w:footnoteRef/>
      </w:r>
      <w:r>
        <w:t xml:space="preserve"> </w:t>
      </w:r>
      <w:r w:rsidRPr="00C57414">
        <w:rPr>
          <w:rFonts w:ascii="Times New Roman" w:hAnsi="Times New Roman" w:cs="Times New Roman"/>
        </w:rPr>
        <w:t xml:space="preserve">Jean-Jacques Rousseau, </w:t>
      </w:r>
      <w:r w:rsidRPr="00C57414">
        <w:rPr>
          <w:rFonts w:ascii="Times New Roman" w:hAnsi="Times New Roman" w:cs="Times New Roman"/>
          <w:i/>
        </w:rPr>
        <w:t>The Social Contract and Other Discourses</w:t>
      </w:r>
      <w:r w:rsidRPr="00C57414">
        <w:rPr>
          <w:rFonts w:ascii="Times New Roman" w:hAnsi="Times New Roman" w:cs="Times New Roman"/>
        </w:rPr>
        <w:t>, Bk. 3, Ch. 4, pg. 239, London: Everyman</w:t>
      </w:r>
    </w:p>
  </w:footnote>
  <w:footnote w:id="9">
    <w:p w14:paraId="2C540665" w14:textId="6B6484F5" w:rsidR="000F5292" w:rsidRDefault="000F5292">
      <w:pPr>
        <w:pStyle w:val="FootnoteText"/>
      </w:pPr>
      <w:r>
        <w:rPr>
          <w:rStyle w:val="FootnoteReference"/>
        </w:rPr>
        <w:footnoteRef/>
      </w:r>
      <w:r>
        <w:t xml:space="preserve"> </w:t>
      </w:r>
      <w:r w:rsidR="00DE2796">
        <w:rPr>
          <w:rFonts w:ascii="Times New Roman" w:hAnsi="Times New Roman" w:cs="Times New Roman"/>
          <w:color w:val="1A1A1A"/>
        </w:rPr>
        <w:t>Christopher Bertram,</w:t>
      </w:r>
      <w:r w:rsidR="00DE2796" w:rsidRPr="00AD728E">
        <w:rPr>
          <w:rFonts w:ascii="Times New Roman" w:hAnsi="Times New Roman" w:cs="Times New Roman"/>
          <w:color w:val="1A1A1A"/>
        </w:rPr>
        <w:t xml:space="preserve"> "Jean Jacques Rousseau", </w:t>
      </w:r>
      <w:r w:rsidR="00DE2796" w:rsidRPr="00AD728E">
        <w:rPr>
          <w:rStyle w:val="Emphasis"/>
          <w:rFonts w:ascii="Times New Roman" w:hAnsi="Times New Roman" w:cs="Times New Roman"/>
          <w:color w:val="1A1A1A"/>
        </w:rPr>
        <w:t>The Stanford Encyclop</w:t>
      </w:r>
      <w:r w:rsidR="00DE2796">
        <w:rPr>
          <w:rStyle w:val="Emphasis"/>
          <w:rFonts w:ascii="Times New Roman" w:hAnsi="Times New Roman" w:cs="Times New Roman"/>
          <w:color w:val="1A1A1A"/>
        </w:rPr>
        <w:t>a</w:t>
      </w:r>
      <w:r w:rsidR="00DE2796" w:rsidRPr="00AD728E">
        <w:rPr>
          <w:rStyle w:val="Emphasis"/>
          <w:rFonts w:ascii="Times New Roman" w:hAnsi="Times New Roman" w:cs="Times New Roman"/>
          <w:color w:val="1A1A1A"/>
        </w:rPr>
        <w:t>edia of Philosophy </w:t>
      </w:r>
      <w:r w:rsidR="00DE2796" w:rsidRPr="00AD728E">
        <w:rPr>
          <w:rFonts w:ascii="Times New Roman" w:hAnsi="Times New Roman" w:cs="Times New Roman"/>
          <w:color w:val="1A1A1A"/>
        </w:rPr>
        <w:t>(Summer 2017 Edition), Edward N. Zalta (ed.)</w:t>
      </w:r>
    </w:p>
  </w:footnote>
  <w:footnote w:id="10">
    <w:p w14:paraId="167A2CF5" w14:textId="0A994A5F" w:rsidR="00CD2533" w:rsidRDefault="00CD2533">
      <w:pPr>
        <w:pStyle w:val="FootnoteText"/>
      </w:pPr>
      <w:r>
        <w:rPr>
          <w:rStyle w:val="FootnoteReference"/>
        </w:rPr>
        <w:footnoteRef/>
      </w:r>
      <w:r>
        <w:t xml:space="preserve"> </w:t>
      </w:r>
      <w:r>
        <w:rPr>
          <w:rFonts w:ascii="Times New Roman" w:hAnsi="Times New Roman" w:cs="Times New Roman"/>
          <w:color w:val="1A1A1A"/>
        </w:rPr>
        <w:t>Ian Carter,</w:t>
      </w:r>
      <w:r w:rsidRPr="00CD2533">
        <w:rPr>
          <w:rFonts w:ascii="Times New Roman" w:hAnsi="Times New Roman" w:cs="Times New Roman"/>
          <w:color w:val="1A1A1A"/>
        </w:rPr>
        <w:t xml:space="preserve"> "Positive and Negative Liberty", </w:t>
      </w:r>
      <w:r w:rsidRPr="00CD2533">
        <w:rPr>
          <w:rStyle w:val="Emphasis"/>
          <w:rFonts w:ascii="Times New Roman" w:hAnsi="Times New Roman" w:cs="Times New Roman"/>
          <w:color w:val="1A1A1A"/>
        </w:rPr>
        <w:t xml:space="preserve">The Stanford </w:t>
      </w:r>
      <w:proofErr w:type="spellStart"/>
      <w:r w:rsidRPr="00CD2533">
        <w:rPr>
          <w:rStyle w:val="Emphasis"/>
          <w:rFonts w:ascii="Times New Roman" w:hAnsi="Times New Roman" w:cs="Times New Roman"/>
          <w:color w:val="1A1A1A"/>
        </w:rPr>
        <w:t>Encyclopedia</w:t>
      </w:r>
      <w:proofErr w:type="spellEnd"/>
      <w:r w:rsidRPr="00CD2533">
        <w:rPr>
          <w:rStyle w:val="Emphasis"/>
          <w:rFonts w:ascii="Times New Roman" w:hAnsi="Times New Roman" w:cs="Times New Roman"/>
          <w:color w:val="1A1A1A"/>
        </w:rPr>
        <w:t xml:space="preserve"> of Philosophy </w:t>
      </w:r>
      <w:r w:rsidRPr="00CD2533">
        <w:rPr>
          <w:rFonts w:ascii="Times New Roman" w:hAnsi="Times New Roman" w:cs="Times New Roman"/>
          <w:color w:val="1A1A1A"/>
        </w:rPr>
        <w:t>(Fall 2016 Edition), Edward N. Zalta (ed.)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8F00C8"/>
    <w:multiLevelType w:val="hybridMultilevel"/>
    <w:tmpl w:val="B6C680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D37"/>
    <w:rsid w:val="000A7D37"/>
    <w:rsid w:val="000E262F"/>
    <w:rsid w:val="000F5292"/>
    <w:rsid w:val="001750CE"/>
    <w:rsid w:val="00362CD1"/>
    <w:rsid w:val="00381FE1"/>
    <w:rsid w:val="003E3CFA"/>
    <w:rsid w:val="00465B98"/>
    <w:rsid w:val="00533D6A"/>
    <w:rsid w:val="00535CB3"/>
    <w:rsid w:val="006F1D2B"/>
    <w:rsid w:val="00725A5C"/>
    <w:rsid w:val="00797FB6"/>
    <w:rsid w:val="00803FE9"/>
    <w:rsid w:val="00951F8B"/>
    <w:rsid w:val="00A62CF8"/>
    <w:rsid w:val="00AD728E"/>
    <w:rsid w:val="00AF303E"/>
    <w:rsid w:val="00B200F3"/>
    <w:rsid w:val="00B45062"/>
    <w:rsid w:val="00B72613"/>
    <w:rsid w:val="00BC2FC9"/>
    <w:rsid w:val="00C33D46"/>
    <w:rsid w:val="00C57414"/>
    <w:rsid w:val="00CD2533"/>
    <w:rsid w:val="00DE2796"/>
    <w:rsid w:val="00E0243D"/>
    <w:rsid w:val="00F87D79"/>
    <w:rsid w:val="00FA7B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9AC6"/>
  <w15:chartTrackingRefBased/>
  <w15:docId w15:val="{CE7E7671-C1A8-4D93-936A-5BCEEF6DE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7D37"/>
    <w:pPr>
      <w:ind w:left="720"/>
      <w:contextualSpacing/>
    </w:pPr>
  </w:style>
  <w:style w:type="paragraph" w:styleId="FootnoteText">
    <w:name w:val="footnote text"/>
    <w:basedOn w:val="Normal"/>
    <w:link w:val="FootnoteTextChar"/>
    <w:uiPriority w:val="99"/>
    <w:semiHidden/>
    <w:unhideWhenUsed/>
    <w:rsid w:val="000A7D3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A7D37"/>
    <w:rPr>
      <w:sz w:val="20"/>
      <w:szCs w:val="20"/>
    </w:rPr>
  </w:style>
  <w:style w:type="character" w:styleId="FootnoteReference">
    <w:name w:val="footnote reference"/>
    <w:basedOn w:val="DefaultParagraphFont"/>
    <w:uiPriority w:val="99"/>
    <w:semiHidden/>
    <w:unhideWhenUsed/>
    <w:rsid w:val="000A7D37"/>
    <w:rPr>
      <w:vertAlign w:val="superscript"/>
    </w:rPr>
  </w:style>
  <w:style w:type="character" w:styleId="Emphasis">
    <w:name w:val="Emphasis"/>
    <w:basedOn w:val="DefaultParagraphFont"/>
    <w:uiPriority w:val="20"/>
    <w:qFormat/>
    <w:rsid w:val="00AD728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14508-0213-4609-879C-E93EC315C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1019</TotalTime>
  <Pages>3</Pages>
  <Words>987</Words>
  <Characters>5631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dc:creator>
  <cp:keywords/>
  <dc:description/>
  <cp:lastModifiedBy>Fred</cp:lastModifiedBy>
  <cp:revision>8</cp:revision>
  <dcterms:created xsi:type="dcterms:W3CDTF">2018-03-12T14:57:00Z</dcterms:created>
  <dcterms:modified xsi:type="dcterms:W3CDTF">2018-03-15T11:40:00Z</dcterms:modified>
</cp:coreProperties>
</file>