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sz w:val="52"/>
              <w:szCs w:val="5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10295063" w:rsidR="007D1947" w:rsidRPr="00EF61B0" w:rsidRDefault="00EF61B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52"/>
                  <w:szCs w:val="52"/>
                </w:rPr>
              </w:pPr>
              <w:r w:rsidRPr="00EF61B0">
                <w:rPr>
                  <w:rFonts w:ascii="Arial" w:hAnsi="Arial" w:cs="Arial"/>
                  <w:b/>
                  <w:sz w:val="52"/>
                  <w:szCs w:val="52"/>
                </w:rPr>
                <w:t xml:space="preserve">Approaches to Innovation and </w:t>
              </w:r>
              <w:proofErr w:type="spellStart"/>
              <w:r w:rsidRPr="00EF61B0">
                <w:rPr>
                  <w:rFonts w:ascii="Arial" w:hAnsi="Arial" w:cs="Arial"/>
                  <w:b/>
                  <w:sz w:val="52"/>
                  <w:szCs w:val="52"/>
                </w:rPr>
                <w:t>Organisational</w:t>
              </w:r>
              <w:proofErr w:type="spellEnd"/>
              <w:r w:rsidRPr="00EF61B0">
                <w:rPr>
                  <w:rFonts w:ascii="Arial" w:hAnsi="Arial" w:cs="Arial"/>
                  <w:b/>
                  <w:sz w:val="52"/>
                  <w:szCs w:val="52"/>
                </w:rPr>
                <w:t xml:space="preserve"> Change</w:t>
              </w:r>
            </w:p>
          </w:sdtContent>
        </w:sdt>
        <w:sdt>
          <w:sdtPr>
            <w:rPr>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7D91BC07" w:rsidR="007D1947" w:rsidRPr="00EF61B0" w:rsidRDefault="00EF61B0">
              <w:pPr>
                <w:pStyle w:val="NoSpacing"/>
                <w:jc w:val="center"/>
                <w:rPr>
                  <w:sz w:val="28"/>
                  <w:szCs w:val="28"/>
                </w:rPr>
              </w:pPr>
              <w:r w:rsidRPr="00EF61B0">
                <w:rPr>
                  <w:sz w:val="28"/>
                  <w:szCs w:val="28"/>
                </w:rPr>
                <w:t>Adam Bentley 1909683</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BAF8D9" w14:textId="77777777" w:rsidR="007D1947" w:rsidRPr="006019D5" w:rsidRDefault="007D1947">
                                    <w:pPr>
                                      <w:pStyle w:val="NoSpacing"/>
                                      <w:spacing w:after="40"/>
                                      <w:jc w:val="center"/>
                                      <w:rPr>
                                        <w:caps/>
                                        <w:sz w:val="28"/>
                                        <w:szCs w:val="28"/>
                                      </w:rPr>
                                    </w:pPr>
                                    <w:r w:rsidRPr="006019D5">
                                      <w:rPr>
                                        <w:caps/>
                                        <w:sz w:val="28"/>
                                        <w:szCs w:val="28"/>
                                      </w:rPr>
                                      <w:t>[Date]</w:t>
                                    </w:r>
                                  </w:p>
                                </w:sdtContent>
                              </w:sdt>
                              <w:p w14:paraId="69E98CB3" w14:textId="77777777" w:rsidR="007D1947" w:rsidRPr="006019D5" w:rsidRDefault="00000000">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6019D5">
                                      <w:rPr>
                                        <w:caps/>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BAF8D9" w14:textId="77777777" w:rsidR="007D1947" w:rsidRPr="006019D5" w:rsidRDefault="007D1947">
                              <w:pPr>
                                <w:pStyle w:val="NoSpacing"/>
                                <w:spacing w:after="40"/>
                                <w:jc w:val="center"/>
                                <w:rPr>
                                  <w:caps/>
                                  <w:sz w:val="28"/>
                                  <w:szCs w:val="28"/>
                                </w:rPr>
                              </w:pPr>
                              <w:r w:rsidRPr="006019D5">
                                <w:rPr>
                                  <w:caps/>
                                  <w:sz w:val="28"/>
                                  <w:szCs w:val="28"/>
                                </w:rPr>
                                <w:t>[Date]</w:t>
                              </w:r>
                            </w:p>
                          </w:sdtContent>
                        </w:sdt>
                        <w:p w14:paraId="69E98CB3" w14:textId="77777777" w:rsidR="007D1947" w:rsidRPr="006019D5" w:rsidRDefault="00000000">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6019D5">
                                <w:rPr>
                                  <w:caps/>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46E25283" w:rsidR="007D1947" w:rsidRDefault="007D1947" w:rsidP="007D1947">
          <w:pPr>
            <w:pStyle w:val="Heading1"/>
          </w:pPr>
        </w:p>
        <w:p w14:paraId="35797259" w14:textId="77777777" w:rsidR="00E861E3" w:rsidRDefault="00E861E3" w:rsidP="00E861E3"/>
        <w:p w14:paraId="08FF29E3" w14:textId="7AD8211F" w:rsidR="00E861E3" w:rsidRDefault="006019D5" w:rsidP="00E861E3">
          <w:r>
            <w:t xml:space="preserve">                                                 </w:t>
          </w:r>
          <w:r w:rsidR="00471C45">
            <w:rPr>
              <w:noProof/>
            </w:rPr>
            <w:drawing>
              <wp:inline distT="0" distB="0" distL="0" distR="0" wp14:anchorId="115C7EB5" wp14:editId="7B5B1CFF">
                <wp:extent cx="2550695" cy="2550695"/>
                <wp:effectExtent l="0" t="0" r="2540" b="2540"/>
                <wp:docPr id="2112369715" name="Picture 9" descr="Pembrokeshire County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embrokeshire County Counci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79006" cy="2579006"/>
                        </a:xfrm>
                        <a:prstGeom prst="rect">
                          <a:avLst/>
                        </a:prstGeom>
                        <a:noFill/>
                        <a:ln>
                          <a:noFill/>
                        </a:ln>
                      </pic:spPr>
                    </pic:pic>
                  </a:graphicData>
                </a:graphic>
              </wp:inline>
            </w:drawing>
          </w:r>
        </w:p>
        <w:p w14:paraId="71D02827" w14:textId="77777777" w:rsidR="00E861E3" w:rsidRDefault="00E861E3" w:rsidP="00E861E3"/>
        <w:p w14:paraId="1D6E401C" w14:textId="77777777" w:rsidR="00E861E3" w:rsidRDefault="00E861E3" w:rsidP="00E861E3"/>
        <w:p w14:paraId="330E835E" w14:textId="77777777" w:rsidR="00E861E3" w:rsidRDefault="00E861E3" w:rsidP="00E861E3"/>
        <w:p w14:paraId="799AB73B" w14:textId="77777777" w:rsidR="00E861E3" w:rsidRDefault="00E861E3" w:rsidP="00E861E3"/>
        <w:p w14:paraId="6C0BEEF6" w14:textId="77777777" w:rsidR="00E861E3" w:rsidRDefault="00E861E3" w:rsidP="00E861E3"/>
        <w:p w14:paraId="26D2B4F5" w14:textId="77777777" w:rsidR="00E861E3" w:rsidRPr="00E861E3" w:rsidRDefault="00E861E3" w:rsidP="00E861E3"/>
        <w:p w14:paraId="3838564E" w14:textId="77777777" w:rsidR="00E861E3" w:rsidRPr="00E861E3" w:rsidRDefault="00E861E3" w:rsidP="00E861E3">
          <w:pPr>
            <w:rPr>
              <w:u w:val="single"/>
            </w:rPr>
          </w:pPr>
          <w:r w:rsidRPr="00E861E3">
            <w:rPr>
              <w:b/>
              <w:bCs/>
              <w:u w:val="single"/>
            </w:rPr>
            <w:t>Executive Summary</w:t>
          </w:r>
        </w:p>
        <w:p w14:paraId="6453CA45" w14:textId="0AD4349A" w:rsidR="00E861E3" w:rsidRPr="00E861E3" w:rsidRDefault="00E861E3" w:rsidP="00E861E3">
          <w:r w:rsidRPr="00E861E3">
            <w:t xml:space="preserve">The purpose of </w:t>
          </w:r>
          <w:r>
            <w:t>my</w:t>
          </w:r>
          <w:r w:rsidRPr="00E861E3">
            <w:t xml:space="preserve"> report is to analyse the organizational transformation within Pembrokeshire County Council</w:t>
          </w:r>
          <w:r w:rsidR="00E0140F">
            <w:t xml:space="preserve">’s </w:t>
          </w:r>
          <w:r w:rsidRPr="00E861E3">
            <w:t xml:space="preserve">Building Maintenance department in the wake of the COVID-19 pandemic. By examining the shift from traditional, reactive maintenance cycles to a modernised, digital-first operation, this report evaluates how </w:t>
          </w:r>
          <w:r w:rsidR="005122DC">
            <w:t>Pembrokeshire County</w:t>
          </w:r>
          <w:r w:rsidR="00265389">
            <w:t xml:space="preserve"> council</w:t>
          </w:r>
          <w:r w:rsidRPr="00E861E3">
            <w:t xml:space="preserve"> navigated unprecedented logistical and safety challenges. The analysis is anchored in Kurt Lewin’s Force Field Analysis and Three-Step Change Model, supplemented by Herzberg’s Two-Factor Theory of motivation to assess the human element of change.</w:t>
          </w:r>
        </w:p>
        <w:p w14:paraId="7D83B465" w14:textId="77777777" w:rsidR="00E861E3" w:rsidRPr="00E861E3" w:rsidRDefault="00E861E3" w:rsidP="00E861E3">
          <w:r w:rsidRPr="00E861E3">
            <w:t>The findings indicate that the pandemic served as a radical "unfreezing" event, forcing the council to abandon long-standing manual processes. Driving forces, such as urgent public health mandates and the necessity for remote inspections, ultimately overcame significant restraining forces, including supply chain disruptions and restricted physical access to properties. Through the "Changing" phase, the department successfully implemented innovations such as virtual damage assessments and a strategic redeployment of staff toward critical infrastructure and void management. These actions ensured that statutory compliance and community safety were maintained despite a reduced workforce.</w:t>
          </w:r>
        </w:p>
        <w:p w14:paraId="40AC8625" w14:textId="7B98897D" w:rsidR="00E861E3" w:rsidRPr="00E861E3" w:rsidRDefault="00E0140F" w:rsidP="00E861E3">
          <w:r>
            <w:t>Additionally</w:t>
          </w:r>
          <w:r w:rsidR="00E861E3" w:rsidRPr="00E861E3">
            <w:t>, the report explores how leadership supported staff motivation during this period of high stress. By first addressing "Hygiene Factors"</w:t>
          </w:r>
          <w:r>
            <w:t xml:space="preserve"> </w:t>
          </w:r>
          <w:r w:rsidR="00E861E3" w:rsidRPr="00E861E3">
            <w:t>specifically physical safety and job security</w:t>
          </w:r>
          <w:r>
            <w:t xml:space="preserve"> </w:t>
          </w:r>
          <w:r w:rsidR="00E861E3" w:rsidRPr="00E861E3">
            <w:t>the council successfully lowered employee resistance. Subsequently, by involving the workforce in the rollout of new digital tools, such as the Housing Online portal, the council leveraged "Motivators" like responsibility and professional achievement to drive long-term engagement.</w:t>
          </w:r>
        </w:p>
        <w:p w14:paraId="35A3123B" w14:textId="09A0C0DC" w:rsidR="00E861E3" w:rsidRPr="00E861E3" w:rsidRDefault="00E861E3" w:rsidP="00E861E3">
          <w:r w:rsidRPr="00E861E3">
            <w:t>The report concludes that while the council has reached a new, more resilient equilibrium</w:t>
          </w:r>
          <w:r w:rsidR="00E0140F">
            <w:t xml:space="preserve"> </w:t>
          </w:r>
          <w:r w:rsidRPr="00E861E3">
            <w:t>often termed "Building Back Better"</w:t>
          </w:r>
          <w:r w:rsidR="00E0140F">
            <w:t xml:space="preserve"> </w:t>
          </w:r>
          <w:r w:rsidRPr="00E861E3">
            <w:t>there remain areas for further improvement. While digital capability has seen a permanent increase, the council must now address the resulting maintenance backlog and ensure that the shift toward technology does not lead to digital exclusion for vulnerable residents. Overall, the transition highlights that when driving forces are strategically aligned with employee motivation, local authorities can successfully transform a period of crisis into a permanent culture of organizational agility and improved service delivery.</w:t>
          </w:r>
        </w:p>
        <w:p w14:paraId="62AB7F7D" w14:textId="77777777" w:rsidR="007D1947" w:rsidRDefault="007D1947"/>
        <w:p w14:paraId="6846CF66" w14:textId="507BA10A" w:rsidR="007D1947" w:rsidRDefault="007D1947"/>
        <w:p w14:paraId="28681B63" w14:textId="77777777" w:rsidR="006019D5" w:rsidRDefault="006019D5"/>
        <w:p w14:paraId="4811D6D7" w14:textId="77777777" w:rsidR="006019D5" w:rsidRDefault="006019D5"/>
        <w:p w14:paraId="152F52EF" w14:textId="77777777" w:rsidR="006019D5" w:rsidRDefault="006019D5"/>
        <w:p w14:paraId="72600AD8" w14:textId="77777777" w:rsidR="006019D5" w:rsidRDefault="006019D5"/>
        <w:p w14:paraId="6000E802" w14:textId="77777777" w:rsidR="006019D5" w:rsidRDefault="006019D5"/>
        <w:p w14:paraId="0820D01E" w14:textId="77777777" w:rsidR="006019D5" w:rsidRDefault="006019D5"/>
        <w:p w14:paraId="7F8F78F5" w14:textId="77777777" w:rsidR="007D1947" w:rsidRDefault="007D1947"/>
        <w:p w14:paraId="66851AD1" w14:textId="795D4FB0" w:rsidR="00351B72" w:rsidRDefault="00351B72" w:rsidP="00351B72">
          <w:pPr>
            <w:pStyle w:val="TOCHeading"/>
          </w:pPr>
          <w:bookmarkStart w:id="0" w:name="_Toc96925028"/>
        </w:p>
        <w:p w14:paraId="03C83948" w14:textId="77777777" w:rsidR="00351B72" w:rsidRPr="00351B72" w:rsidRDefault="00351B72" w:rsidP="00351B72">
          <w:pPr>
            <w:pStyle w:val="Heading1"/>
            <w:rPr>
              <w:rFonts w:asciiTheme="minorHAnsi" w:eastAsiaTheme="minorHAnsi" w:hAnsiTheme="minorHAnsi" w:cstheme="minorBidi"/>
              <w:b/>
              <w:bCs/>
              <w:color w:val="auto"/>
              <w:sz w:val="16"/>
              <w:szCs w:val="16"/>
              <w:u w:val="single"/>
            </w:rPr>
          </w:pPr>
          <w:r w:rsidRPr="00351B72">
            <w:rPr>
              <w:rFonts w:asciiTheme="minorHAnsi" w:eastAsiaTheme="minorHAnsi" w:hAnsiTheme="minorHAnsi" w:cstheme="minorBidi"/>
              <w:b/>
              <w:bCs/>
              <w:color w:val="auto"/>
              <w:sz w:val="16"/>
              <w:szCs w:val="16"/>
              <w:u w:val="single"/>
            </w:rPr>
            <w:t>Table of Contents</w:t>
          </w:r>
        </w:p>
        <w:p w14:paraId="361EE1E4" w14:textId="26F1E74A" w:rsidR="00351B72" w:rsidRPr="00351B72" w:rsidRDefault="00351B72" w:rsidP="00351B72">
          <w:pPr>
            <w:pStyle w:val="Heading1"/>
            <w:rPr>
              <w:rFonts w:asciiTheme="minorHAnsi" w:eastAsiaTheme="minorHAnsi" w:hAnsiTheme="minorHAnsi" w:cstheme="minorBidi"/>
              <w:color w:val="auto"/>
              <w:sz w:val="16"/>
              <w:szCs w:val="16"/>
            </w:rPr>
          </w:pPr>
          <w:r w:rsidRPr="00351B72">
            <w:rPr>
              <w:rFonts w:asciiTheme="minorHAnsi" w:eastAsiaTheme="minorHAnsi" w:hAnsiTheme="minorHAnsi" w:cstheme="minorBidi"/>
              <w:color w:val="auto"/>
              <w:sz w:val="16"/>
              <w:szCs w:val="16"/>
            </w:rPr>
            <w:t xml:space="preserve">1. </w:t>
          </w:r>
          <w:r w:rsidRPr="00351B72">
            <w:rPr>
              <w:rFonts w:asciiTheme="minorHAnsi" w:eastAsiaTheme="minorHAnsi" w:hAnsiTheme="minorHAnsi" w:cstheme="minorBidi"/>
              <w:b/>
              <w:bCs/>
              <w:color w:val="auto"/>
              <w:sz w:val="16"/>
              <w:szCs w:val="16"/>
            </w:rPr>
            <w:t>Introduction and Background</w:t>
          </w:r>
          <w:r w:rsidRPr="00351B72">
            <w:rPr>
              <w:rFonts w:asciiTheme="minorHAnsi" w:eastAsiaTheme="minorHAnsi" w:hAnsiTheme="minorHAnsi" w:cstheme="minorBidi"/>
              <w:color w:val="auto"/>
              <w:sz w:val="16"/>
              <w:szCs w:val="16"/>
            </w:rPr>
            <w:t xml:space="preserve"> ............................................................ Page </w:t>
          </w:r>
          <w:r>
            <w:rPr>
              <w:rFonts w:asciiTheme="minorHAnsi" w:eastAsiaTheme="minorHAnsi" w:hAnsiTheme="minorHAnsi" w:cstheme="minorBidi"/>
              <w:color w:val="auto"/>
              <w:sz w:val="16"/>
              <w:szCs w:val="16"/>
            </w:rPr>
            <w:t>2</w:t>
          </w:r>
        </w:p>
        <w:p w14:paraId="4D823D08" w14:textId="7E76135F" w:rsidR="00351B72" w:rsidRPr="00351B72" w:rsidRDefault="00351B72" w:rsidP="00351B72">
          <w:pPr>
            <w:pStyle w:val="Heading1"/>
            <w:rPr>
              <w:rFonts w:asciiTheme="minorHAnsi" w:eastAsiaTheme="minorHAnsi" w:hAnsiTheme="minorHAnsi" w:cstheme="minorBidi"/>
              <w:color w:val="auto"/>
              <w:sz w:val="16"/>
              <w:szCs w:val="16"/>
            </w:rPr>
          </w:pPr>
          <w:r w:rsidRPr="00351B72">
            <w:rPr>
              <w:rFonts w:asciiTheme="minorHAnsi" w:eastAsiaTheme="minorHAnsi" w:hAnsiTheme="minorHAnsi" w:cstheme="minorBidi"/>
              <w:color w:val="auto"/>
              <w:sz w:val="16"/>
              <w:szCs w:val="16"/>
            </w:rPr>
            <w:t xml:space="preserve">2. </w:t>
          </w:r>
          <w:r w:rsidRPr="00351B72">
            <w:rPr>
              <w:rFonts w:asciiTheme="minorHAnsi" w:eastAsiaTheme="minorHAnsi" w:hAnsiTheme="minorHAnsi" w:cstheme="minorBidi"/>
              <w:b/>
              <w:bCs/>
              <w:color w:val="auto"/>
              <w:sz w:val="16"/>
              <w:szCs w:val="16"/>
            </w:rPr>
            <w:t>Main Findings</w:t>
          </w:r>
          <w:r w:rsidRPr="00351B72">
            <w:rPr>
              <w:rFonts w:asciiTheme="minorHAnsi" w:eastAsiaTheme="minorHAnsi" w:hAnsiTheme="minorHAnsi" w:cstheme="minorBidi"/>
              <w:color w:val="auto"/>
              <w:sz w:val="16"/>
              <w:szCs w:val="16"/>
            </w:rPr>
            <w:t xml:space="preserve"> ...................................................................................... Page </w:t>
          </w:r>
          <w:r>
            <w:rPr>
              <w:rFonts w:asciiTheme="minorHAnsi" w:eastAsiaTheme="minorHAnsi" w:hAnsiTheme="minorHAnsi" w:cstheme="minorBidi"/>
              <w:color w:val="auto"/>
              <w:sz w:val="16"/>
              <w:szCs w:val="16"/>
            </w:rPr>
            <w:t>3</w:t>
          </w:r>
        </w:p>
        <w:p w14:paraId="517FDE30" w14:textId="12D22763" w:rsidR="00351B72" w:rsidRPr="00351B72" w:rsidRDefault="00351B72" w:rsidP="00351B72">
          <w:pPr>
            <w:pStyle w:val="Heading1"/>
            <w:rPr>
              <w:rFonts w:asciiTheme="minorHAnsi" w:eastAsiaTheme="minorHAnsi" w:hAnsiTheme="minorHAnsi" w:cstheme="minorBidi"/>
              <w:color w:val="auto"/>
              <w:sz w:val="16"/>
              <w:szCs w:val="16"/>
            </w:rPr>
          </w:pPr>
          <w:r w:rsidRPr="00351B72">
            <w:rPr>
              <w:rFonts w:asciiTheme="minorHAnsi" w:eastAsiaTheme="minorHAnsi" w:hAnsiTheme="minorHAnsi" w:cstheme="minorBidi"/>
              <w:color w:val="auto"/>
              <w:sz w:val="16"/>
              <w:szCs w:val="16"/>
            </w:rPr>
            <w:t xml:space="preserve">3. </w:t>
          </w:r>
          <w:r w:rsidRPr="00351B72">
            <w:rPr>
              <w:rFonts w:asciiTheme="minorHAnsi" w:eastAsiaTheme="minorHAnsi" w:hAnsiTheme="minorHAnsi" w:cstheme="minorBidi"/>
              <w:b/>
              <w:bCs/>
              <w:color w:val="auto"/>
              <w:sz w:val="16"/>
              <w:szCs w:val="16"/>
            </w:rPr>
            <w:t>Lewin’s Three</w:t>
          </w:r>
          <w:r w:rsidRPr="00351B72">
            <w:rPr>
              <w:rFonts w:ascii="Cambria Math" w:eastAsiaTheme="minorHAnsi" w:hAnsi="Cambria Math" w:cs="Cambria Math"/>
              <w:b/>
              <w:bCs/>
              <w:color w:val="auto"/>
              <w:sz w:val="16"/>
              <w:szCs w:val="16"/>
            </w:rPr>
            <w:t>‑</w:t>
          </w:r>
          <w:r w:rsidRPr="00351B72">
            <w:rPr>
              <w:rFonts w:asciiTheme="minorHAnsi" w:eastAsiaTheme="minorHAnsi" w:hAnsiTheme="minorHAnsi" w:cstheme="minorBidi"/>
              <w:b/>
              <w:bCs/>
              <w:color w:val="auto"/>
              <w:sz w:val="16"/>
              <w:szCs w:val="16"/>
            </w:rPr>
            <w:t>Step Change Management Model</w:t>
          </w:r>
          <w:r w:rsidRPr="00351B72">
            <w:rPr>
              <w:rFonts w:asciiTheme="minorHAnsi" w:eastAsiaTheme="minorHAnsi" w:hAnsiTheme="minorHAnsi" w:cstheme="minorBidi"/>
              <w:color w:val="auto"/>
              <w:sz w:val="16"/>
              <w:szCs w:val="16"/>
            </w:rPr>
            <w:t xml:space="preserve"> .......................... Page </w:t>
          </w:r>
          <w:r>
            <w:rPr>
              <w:rFonts w:asciiTheme="minorHAnsi" w:eastAsiaTheme="minorHAnsi" w:hAnsiTheme="minorHAnsi" w:cstheme="minorBidi"/>
              <w:color w:val="auto"/>
              <w:sz w:val="16"/>
              <w:szCs w:val="16"/>
            </w:rPr>
            <w:t>5</w:t>
          </w:r>
        </w:p>
        <w:p w14:paraId="1849A987" w14:textId="233DCED1" w:rsidR="00351B72" w:rsidRPr="00351B72" w:rsidRDefault="00351B72" w:rsidP="00351B72">
          <w:pPr>
            <w:pStyle w:val="Heading1"/>
            <w:rPr>
              <w:rFonts w:asciiTheme="minorHAnsi" w:eastAsiaTheme="minorHAnsi" w:hAnsiTheme="minorHAnsi" w:cstheme="minorBidi"/>
              <w:color w:val="auto"/>
              <w:sz w:val="16"/>
              <w:szCs w:val="16"/>
            </w:rPr>
          </w:pPr>
          <w:r w:rsidRPr="00351B72">
            <w:rPr>
              <w:rFonts w:asciiTheme="minorHAnsi" w:eastAsiaTheme="minorHAnsi" w:hAnsiTheme="minorHAnsi" w:cstheme="minorBidi"/>
              <w:color w:val="auto"/>
              <w:sz w:val="16"/>
              <w:szCs w:val="16"/>
            </w:rPr>
            <w:t xml:space="preserve">4. </w:t>
          </w:r>
          <w:r w:rsidRPr="00351B72">
            <w:rPr>
              <w:rFonts w:asciiTheme="minorHAnsi" w:eastAsiaTheme="minorHAnsi" w:hAnsiTheme="minorHAnsi" w:cstheme="minorBidi"/>
              <w:b/>
              <w:bCs/>
              <w:color w:val="auto"/>
              <w:sz w:val="16"/>
              <w:szCs w:val="16"/>
            </w:rPr>
            <w:t>How Employees Were Guided and Supported During COVID</w:t>
          </w:r>
          <w:r w:rsidRPr="00351B72">
            <w:rPr>
              <w:rFonts w:ascii="Cambria Math" w:eastAsiaTheme="minorHAnsi" w:hAnsi="Cambria Math" w:cs="Cambria Math"/>
              <w:b/>
              <w:bCs/>
              <w:color w:val="auto"/>
              <w:sz w:val="16"/>
              <w:szCs w:val="16"/>
            </w:rPr>
            <w:t>‑</w:t>
          </w:r>
          <w:r w:rsidRPr="00351B72">
            <w:rPr>
              <w:rFonts w:asciiTheme="minorHAnsi" w:eastAsiaTheme="minorHAnsi" w:hAnsiTheme="minorHAnsi" w:cstheme="minorBidi"/>
              <w:b/>
              <w:bCs/>
              <w:color w:val="auto"/>
              <w:sz w:val="16"/>
              <w:szCs w:val="16"/>
            </w:rPr>
            <w:t>19</w:t>
          </w:r>
          <w:r w:rsidRPr="00351B72">
            <w:rPr>
              <w:rFonts w:asciiTheme="minorHAnsi" w:eastAsiaTheme="minorHAnsi" w:hAnsiTheme="minorHAnsi" w:cstheme="minorBidi"/>
              <w:color w:val="auto"/>
              <w:sz w:val="16"/>
              <w:szCs w:val="16"/>
            </w:rPr>
            <w:t xml:space="preserve"> </w:t>
          </w:r>
          <w:proofErr w:type="gramStart"/>
          <w:r w:rsidRPr="00351B72">
            <w:rPr>
              <w:rFonts w:asciiTheme="minorHAnsi" w:eastAsiaTheme="minorHAnsi" w:hAnsiTheme="minorHAnsi" w:cstheme="minorBidi"/>
              <w:color w:val="auto"/>
              <w:sz w:val="16"/>
              <w:szCs w:val="16"/>
            </w:rPr>
            <w:t>.....</w:t>
          </w:r>
          <w:proofErr w:type="gramEnd"/>
          <w:r w:rsidRPr="00351B72">
            <w:rPr>
              <w:rFonts w:asciiTheme="minorHAnsi" w:eastAsiaTheme="minorHAnsi" w:hAnsiTheme="minorHAnsi" w:cstheme="minorBidi"/>
              <w:color w:val="auto"/>
              <w:sz w:val="16"/>
              <w:szCs w:val="16"/>
            </w:rPr>
            <w:t xml:space="preserve"> Page </w:t>
          </w:r>
          <w:r>
            <w:rPr>
              <w:rFonts w:asciiTheme="minorHAnsi" w:eastAsiaTheme="minorHAnsi" w:hAnsiTheme="minorHAnsi" w:cstheme="minorBidi"/>
              <w:color w:val="auto"/>
              <w:sz w:val="16"/>
              <w:szCs w:val="16"/>
            </w:rPr>
            <w:t>6</w:t>
          </w:r>
        </w:p>
        <w:p w14:paraId="515BFF11" w14:textId="3D6A9BB2" w:rsidR="00351B72" w:rsidRPr="00351B72" w:rsidRDefault="00351B72" w:rsidP="00351B72">
          <w:pPr>
            <w:pStyle w:val="Heading1"/>
            <w:rPr>
              <w:rFonts w:asciiTheme="minorHAnsi" w:eastAsiaTheme="minorHAnsi" w:hAnsiTheme="minorHAnsi" w:cstheme="minorBidi"/>
              <w:color w:val="auto"/>
              <w:sz w:val="16"/>
              <w:szCs w:val="16"/>
            </w:rPr>
          </w:pPr>
          <w:r w:rsidRPr="00351B72">
            <w:rPr>
              <w:rFonts w:asciiTheme="minorHAnsi" w:eastAsiaTheme="minorHAnsi" w:hAnsiTheme="minorHAnsi" w:cstheme="minorBidi"/>
              <w:color w:val="auto"/>
              <w:sz w:val="16"/>
              <w:szCs w:val="16"/>
            </w:rPr>
            <w:t>5.</w:t>
          </w:r>
          <w:r w:rsidRPr="00351B72">
            <w:rPr>
              <w:rFonts w:asciiTheme="minorHAnsi" w:eastAsiaTheme="minorHAnsi" w:hAnsiTheme="minorHAnsi" w:cstheme="minorBidi"/>
              <w:b/>
              <w:bCs/>
              <w:color w:val="auto"/>
              <w:sz w:val="16"/>
              <w:szCs w:val="16"/>
            </w:rPr>
            <w:t xml:space="preserve"> Conclusion</w:t>
          </w:r>
          <w:r w:rsidRPr="00351B72">
            <w:rPr>
              <w:rFonts w:asciiTheme="minorHAnsi" w:eastAsiaTheme="minorHAnsi" w:hAnsiTheme="minorHAnsi" w:cstheme="minorBidi"/>
              <w:color w:val="auto"/>
              <w:sz w:val="16"/>
              <w:szCs w:val="16"/>
            </w:rPr>
            <w:t xml:space="preserve"> .......................................................................................... Page </w:t>
          </w:r>
          <w:r>
            <w:rPr>
              <w:rFonts w:asciiTheme="minorHAnsi" w:eastAsiaTheme="minorHAnsi" w:hAnsiTheme="minorHAnsi" w:cstheme="minorBidi"/>
              <w:color w:val="auto"/>
              <w:sz w:val="16"/>
              <w:szCs w:val="16"/>
            </w:rPr>
            <w:t>7</w:t>
          </w:r>
        </w:p>
        <w:p w14:paraId="07F29029" w14:textId="66726522" w:rsidR="00471C45" w:rsidRPr="00351B72" w:rsidRDefault="00351B72" w:rsidP="00351B72">
          <w:pPr>
            <w:pStyle w:val="Heading1"/>
            <w:rPr>
              <w:rFonts w:asciiTheme="minorHAnsi" w:eastAsiaTheme="minorHAnsi" w:hAnsiTheme="minorHAnsi" w:cstheme="minorBidi"/>
              <w:color w:val="auto"/>
              <w:sz w:val="16"/>
              <w:szCs w:val="16"/>
            </w:rPr>
          </w:pPr>
          <w:r w:rsidRPr="00351B72">
            <w:rPr>
              <w:rFonts w:asciiTheme="minorHAnsi" w:eastAsiaTheme="minorHAnsi" w:hAnsiTheme="minorHAnsi" w:cstheme="minorBidi"/>
              <w:b/>
              <w:bCs/>
              <w:color w:val="auto"/>
              <w:sz w:val="16"/>
              <w:szCs w:val="16"/>
            </w:rPr>
            <w:t>Bibliography</w:t>
          </w:r>
          <w:r w:rsidRPr="00351B72">
            <w:rPr>
              <w:rFonts w:asciiTheme="minorHAnsi" w:eastAsiaTheme="minorHAnsi" w:hAnsiTheme="minorHAnsi" w:cstheme="minorBidi"/>
              <w:color w:val="auto"/>
              <w:sz w:val="16"/>
              <w:szCs w:val="16"/>
            </w:rPr>
            <w:t xml:space="preserve"> .......................................................................................... Page </w:t>
          </w:r>
          <w:r>
            <w:rPr>
              <w:rFonts w:asciiTheme="minorHAnsi" w:eastAsiaTheme="minorHAnsi" w:hAnsiTheme="minorHAnsi" w:cstheme="minorBidi"/>
              <w:color w:val="auto"/>
              <w:sz w:val="16"/>
              <w:szCs w:val="16"/>
            </w:rPr>
            <w:t>8</w:t>
          </w:r>
        </w:p>
        <w:p w14:paraId="1F40FF08" w14:textId="77777777" w:rsidR="00471C45" w:rsidRDefault="00471C45" w:rsidP="00471C45"/>
        <w:p w14:paraId="4674C7D3" w14:textId="77777777" w:rsidR="00471C45" w:rsidRDefault="00471C45" w:rsidP="00471C45"/>
        <w:p w14:paraId="174AB815" w14:textId="77777777" w:rsidR="00471C45" w:rsidRDefault="00471C45" w:rsidP="00471C45"/>
        <w:p w14:paraId="09C3F9DC" w14:textId="77777777" w:rsidR="00471C45" w:rsidRDefault="00471C45" w:rsidP="00471C45"/>
        <w:p w14:paraId="6078955E" w14:textId="77777777" w:rsidR="00471C45" w:rsidRDefault="00471C45" w:rsidP="00471C45"/>
        <w:p w14:paraId="63D003D2" w14:textId="77777777" w:rsidR="00471C45" w:rsidRDefault="00471C45" w:rsidP="00471C45"/>
        <w:p w14:paraId="0ED321E6" w14:textId="33895F2B" w:rsidR="007D1947" w:rsidRPr="005B3E69" w:rsidRDefault="007D1947" w:rsidP="005B3E69">
          <w:pPr>
            <w:rPr>
              <w:b/>
              <w:bCs/>
              <w:sz w:val="24"/>
              <w:szCs w:val="24"/>
              <w:u w:val="single"/>
            </w:rPr>
          </w:pPr>
          <w:r w:rsidRPr="005B3E69">
            <w:rPr>
              <w:b/>
              <w:bCs/>
              <w:sz w:val="24"/>
              <w:szCs w:val="24"/>
              <w:u w:val="single"/>
            </w:rPr>
            <w:t>Introduction</w:t>
          </w:r>
          <w:bookmarkEnd w:id="0"/>
          <w:r w:rsidR="00480872" w:rsidRPr="005B3E69">
            <w:rPr>
              <w:b/>
              <w:bCs/>
              <w:sz w:val="24"/>
              <w:szCs w:val="24"/>
              <w:u w:val="single"/>
            </w:rPr>
            <w:t xml:space="preserve"> </w:t>
          </w:r>
          <w:r w:rsidR="005B3E69" w:rsidRPr="005B3E69">
            <w:rPr>
              <w:b/>
              <w:bCs/>
              <w:sz w:val="24"/>
              <w:szCs w:val="24"/>
              <w:u w:val="single"/>
            </w:rPr>
            <w:t>and Background</w:t>
          </w:r>
          <w:r w:rsidR="00E91208" w:rsidRPr="005B3E69">
            <w:rPr>
              <w:b/>
              <w:bCs/>
              <w:sz w:val="24"/>
              <w:szCs w:val="24"/>
              <w:u w:val="single"/>
            </w:rPr>
            <w:t xml:space="preserve"> </w:t>
          </w:r>
        </w:p>
        <w:p w14:paraId="7EC89C35" w14:textId="77777777" w:rsidR="00171DF7" w:rsidRPr="00171DF7" w:rsidRDefault="00171DF7" w:rsidP="00171DF7"/>
        <w:p w14:paraId="7A023E45" w14:textId="0024C51F" w:rsidR="00171DF7" w:rsidRPr="00AA0B79" w:rsidRDefault="00171DF7" w:rsidP="00171DF7">
          <w:pPr>
            <w:spacing w:line="278" w:lineRule="auto"/>
            <w:rPr>
              <w:rFonts w:ascii="Arial" w:hAnsi="Arial" w:cs="Arial"/>
              <w:color w:val="222222"/>
              <w:shd w:val="clear" w:color="auto" w:fill="FFFFFF"/>
            </w:rPr>
          </w:pPr>
          <w:r>
            <w:rPr>
              <w:rFonts w:ascii="Arial" w:hAnsi="Arial" w:cs="Arial"/>
              <w:color w:val="222222"/>
              <w:shd w:val="clear" w:color="auto" w:fill="FFFFFF"/>
            </w:rPr>
            <w:t xml:space="preserve">This </w:t>
          </w:r>
          <w:r w:rsidRPr="00EF61B0">
            <w:rPr>
              <w:rFonts w:ascii="Arial" w:hAnsi="Arial" w:cs="Arial"/>
              <w:color w:val="222222"/>
              <w:shd w:val="clear" w:color="auto" w:fill="FFFFFF"/>
            </w:rPr>
            <w:t xml:space="preserve">report will explore the </w:t>
          </w:r>
          <w:r w:rsidRPr="00AA0B79">
            <w:rPr>
              <w:rFonts w:ascii="Arial" w:hAnsi="Arial" w:cs="Arial"/>
              <w:color w:val="222222"/>
              <w:shd w:val="clear" w:color="auto" w:fill="FFFFFF"/>
            </w:rPr>
            <w:t>innovation</w:t>
          </w:r>
          <w:r w:rsidRPr="00EF61B0">
            <w:rPr>
              <w:rFonts w:ascii="Arial" w:hAnsi="Arial" w:cs="Arial"/>
              <w:color w:val="222222"/>
              <w:shd w:val="clear" w:color="auto" w:fill="FFFFFF"/>
            </w:rPr>
            <w:t xml:space="preserve"> and </w:t>
          </w:r>
          <w:r w:rsidRPr="00AA0B79">
            <w:rPr>
              <w:rFonts w:ascii="Arial" w:hAnsi="Arial" w:cs="Arial"/>
              <w:color w:val="222222"/>
              <w:shd w:val="clear" w:color="auto" w:fill="FFFFFF"/>
            </w:rPr>
            <w:t>organisational change</w:t>
          </w:r>
          <w:r w:rsidRPr="00EF61B0">
            <w:rPr>
              <w:rFonts w:ascii="Arial" w:hAnsi="Arial" w:cs="Arial"/>
              <w:color w:val="222222"/>
              <w:shd w:val="clear" w:color="auto" w:fill="FFFFFF"/>
            </w:rPr>
            <w:t>s</w:t>
          </w:r>
          <w:r w:rsidRPr="00AA0B79">
            <w:rPr>
              <w:rFonts w:ascii="Arial" w:hAnsi="Arial" w:cs="Arial"/>
              <w:color w:val="222222"/>
              <w:shd w:val="clear" w:color="auto" w:fill="FFFFFF"/>
            </w:rPr>
            <w:t xml:space="preserve"> within Pembrokeshire County Council</w:t>
          </w:r>
          <w:r w:rsidR="00F12A1D">
            <w:rPr>
              <w:rFonts w:ascii="Arial" w:hAnsi="Arial" w:cs="Arial"/>
              <w:color w:val="222222"/>
              <w:shd w:val="clear" w:color="auto" w:fill="FFFFFF"/>
            </w:rPr>
            <w:t xml:space="preserve"> </w:t>
          </w:r>
          <w:r w:rsidR="002F0D16">
            <w:rPr>
              <w:rFonts w:ascii="Arial" w:hAnsi="Arial" w:cs="Arial"/>
              <w:color w:val="222222"/>
              <w:shd w:val="clear" w:color="auto" w:fill="FFFFFF"/>
            </w:rPr>
            <w:t xml:space="preserve">Building maintenance department since the covid-19 pandemic </w:t>
          </w:r>
          <w:r w:rsidRPr="00AA0B79">
            <w:rPr>
              <w:rFonts w:ascii="Arial" w:hAnsi="Arial" w:cs="Arial"/>
              <w:color w:val="222222"/>
              <w:shd w:val="clear" w:color="auto" w:fill="FFFFFF"/>
            </w:rPr>
            <w:t>that illustrates how the organisation is transforming to work more effectively and adapt to current challenges:</w:t>
          </w:r>
        </w:p>
        <w:p w14:paraId="3E7ACCCD" w14:textId="43ABDFF6" w:rsidR="003D6E20" w:rsidRDefault="003D6E20" w:rsidP="00171DF7">
          <w:pPr>
            <w:rPr>
              <w:rFonts w:ascii="Arial" w:hAnsi="Arial" w:cs="Arial"/>
              <w:color w:val="222222"/>
              <w:shd w:val="clear" w:color="auto" w:fill="FFFFFF"/>
            </w:rPr>
          </w:pPr>
          <w:r w:rsidRPr="00E861E3">
            <w:rPr>
              <w:rFonts w:ascii="Arial" w:hAnsi="Arial" w:cs="Arial"/>
              <w:color w:val="222222"/>
              <w:shd w:val="clear" w:color="auto" w:fill="FFFFFF"/>
            </w:rPr>
            <w:t>Pembrokeshire County Council</w:t>
          </w:r>
          <w:r w:rsidR="00E861E3" w:rsidRPr="00E861E3">
            <w:rPr>
              <w:rFonts w:ascii="Arial" w:hAnsi="Arial" w:cs="Arial"/>
              <w:color w:val="222222"/>
              <w:shd w:val="clear" w:color="auto" w:fill="FFFFFF"/>
            </w:rPr>
            <w:t xml:space="preserve"> was originally established in 1889, the authority</w:t>
          </w:r>
          <w:r w:rsidRPr="003D6E20">
            <w:rPr>
              <w:rFonts w:ascii="Arial" w:hAnsi="Arial" w:cs="Arial"/>
              <w:color w:val="222222"/>
              <w:shd w:val="clear" w:color="auto" w:fill="FFFFFF"/>
            </w:rPr>
            <w:t> manages an extensive and diverse property portfolio, ranging from social housing and primary schools to critical infrastructure like leisure centres and corporate administrative buildings. Traditionally, the council’s building maintenance department operated on a hybrid model of </w:t>
          </w:r>
          <w:r w:rsidRPr="00E861E3">
            <w:rPr>
              <w:rFonts w:ascii="Arial" w:hAnsi="Arial" w:cs="Arial"/>
              <w:color w:val="222222"/>
              <w:shd w:val="clear" w:color="auto" w:fill="FFFFFF"/>
            </w:rPr>
            <w:t>Planned Preventative Maintenance (PPM)</w:t>
          </w:r>
          <w:r w:rsidRPr="003D6E20">
            <w:rPr>
              <w:rFonts w:ascii="Arial" w:hAnsi="Arial" w:cs="Arial"/>
              <w:color w:val="222222"/>
              <w:shd w:val="clear" w:color="auto" w:fill="FFFFFF"/>
            </w:rPr>
            <w:t> and reactive repairs, aimed at ensuring </w:t>
          </w:r>
          <w:hyperlink r:id="rId11" w:tgtFrame="_blank" w:history="1">
            <w:r w:rsidRPr="00E861E3">
              <w:rPr>
                <w:rFonts w:ascii="Arial" w:hAnsi="Arial" w:cs="Arial"/>
                <w:color w:val="222222"/>
                <w:shd w:val="clear" w:color="auto" w:fill="FFFFFF"/>
              </w:rPr>
              <w:t>statutory compliance</w:t>
            </w:r>
          </w:hyperlink>
          <w:r w:rsidRPr="003D6E20">
            <w:rPr>
              <w:rFonts w:ascii="Arial" w:hAnsi="Arial" w:cs="Arial"/>
              <w:color w:val="222222"/>
              <w:shd w:val="clear" w:color="auto" w:fill="FFFFFF"/>
            </w:rPr>
            <w:t> and tenant safety across the county</w:t>
          </w:r>
          <w:r w:rsidR="005B3E69">
            <w:rPr>
              <w:rFonts w:ascii="Arial" w:hAnsi="Arial" w:cs="Arial"/>
              <w:color w:val="222222"/>
              <w:shd w:val="clear" w:color="auto" w:fill="FFFFFF"/>
            </w:rPr>
            <w:t>.</w:t>
          </w:r>
          <w:sdt>
            <w:sdtPr>
              <w:rPr>
                <w:rFonts w:ascii="Arial" w:hAnsi="Arial" w:cs="Arial"/>
                <w:color w:val="222222"/>
                <w:shd w:val="clear" w:color="auto" w:fill="FFFFFF"/>
              </w:rPr>
              <w:id w:val="1236675382"/>
              <w:citation/>
            </w:sdtPr>
            <w:sdtContent>
              <w:r w:rsidR="005B3E69">
                <w:rPr>
                  <w:rFonts w:ascii="Arial" w:hAnsi="Arial" w:cs="Arial"/>
                  <w:color w:val="222222"/>
                  <w:shd w:val="clear" w:color="auto" w:fill="FFFFFF"/>
                </w:rPr>
                <w:fldChar w:fldCharType="begin"/>
              </w:r>
              <w:r w:rsidR="00720C03">
                <w:rPr>
                  <w:rFonts w:ascii="Arial" w:hAnsi="Arial" w:cs="Arial"/>
                  <w:color w:val="222222"/>
                  <w:shd w:val="clear" w:color="auto" w:fill="FFFFFF"/>
                </w:rPr>
                <w:instrText xml:space="preserve">CITATION Pem \l 2057 </w:instrText>
              </w:r>
              <w:r w:rsidR="005B3E69">
                <w:rPr>
                  <w:rFonts w:ascii="Arial" w:hAnsi="Arial" w:cs="Arial"/>
                  <w:color w:val="222222"/>
                  <w:shd w:val="clear" w:color="auto" w:fill="FFFFFF"/>
                </w:rPr>
                <w:fldChar w:fldCharType="separate"/>
              </w:r>
              <w:r w:rsidR="001E723E">
                <w:rPr>
                  <w:rFonts w:ascii="Arial" w:hAnsi="Arial" w:cs="Arial"/>
                  <w:noProof/>
                  <w:color w:val="222222"/>
                  <w:shd w:val="clear" w:color="auto" w:fill="FFFFFF"/>
                </w:rPr>
                <w:t xml:space="preserve"> </w:t>
              </w:r>
              <w:r w:rsidR="001E723E" w:rsidRPr="001E723E">
                <w:rPr>
                  <w:rFonts w:ascii="Arial" w:hAnsi="Arial" w:cs="Arial"/>
                  <w:noProof/>
                  <w:color w:val="222222"/>
                  <w:shd w:val="clear" w:color="auto" w:fill="FFFFFF"/>
                </w:rPr>
                <w:t>(six, 2024)</w:t>
              </w:r>
              <w:r w:rsidR="005B3E69">
                <w:rPr>
                  <w:rFonts w:ascii="Arial" w:hAnsi="Arial" w:cs="Arial"/>
                  <w:color w:val="222222"/>
                  <w:shd w:val="clear" w:color="auto" w:fill="FFFFFF"/>
                </w:rPr>
                <w:fldChar w:fldCharType="end"/>
              </w:r>
            </w:sdtContent>
          </w:sdt>
          <w:sdt>
            <w:sdtPr>
              <w:rPr>
                <w:rFonts w:ascii="Arial" w:hAnsi="Arial" w:cs="Arial"/>
                <w:color w:val="222222"/>
                <w:shd w:val="clear" w:color="auto" w:fill="FFFFFF"/>
              </w:rPr>
              <w:id w:val="-151909889"/>
              <w:citation/>
            </w:sdtPr>
            <w:sdtContent>
              <w:r w:rsidR="005B3E69">
                <w:rPr>
                  <w:rFonts w:ascii="Arial" w:hAnsi="Arial" w:cs="Arial"/>
                  <w:color w:val="222222"/>
                  <w:shd w:val="clear" w:color="auto" w:fill="FFFFFF"/>
                </w:rPr>
                <w:fldChar w:fldCharType="begin"/>
              </w:r>
              <w:r w:rsidR="005B3E69">
                <w:rPr>
                  <w:rFonts w:ascii="Arial" w:hAnsi="Arial" w:cs="Arial"/>
                  <w:color w:val="222222"/>
                  <w:shd w:val="clear" w:color="auto" w:fill="FFFFFF"/>
                </w:rPr>
                <w:instrText xml:space="preserve"> CITATION Pem1 \l 2057 </w:instrText>
              </w:r>
              <w:r w:rsidR="005B3E69">
                <w:rPr>
                  <w:rFonts w:ascii="Arial" w:hAnsi="Arial" w:cs="Arial"/>
                  <w:color w:val="222222"/>
                  <w:shd w:val="clear" w:color="auto" w:fill="FFFFFF"/>
                </w:rPr>
                <w:fldChar w:fldCharType="separate"/>
              </w:r>
              <w:r w:rsidR="001E723E">
                <w:rPr>
                  <w:rFonts w:ascii="Arial" w:hAnsi="Arial" w:cs="Arial"/>
                  <w:noProof/>
                  <w:color w:val="222222"/>
                  <w:shd w:val="clear" w:color="auto" w:fill="FFFFFF"/>
                </w:rPr>
                <w:t xml:space="preserve"> </w:t>
              </w:r>
              <w:r w:rsidR="001E723E" w:rsidRPr="001E723E">
                <w:rPr>
                  <w:rFonts w:ascii="Arial" w:hAnsi="Arial" w:cs="Arial"/>
                  <w:noProof/>
                  <w:color w:val="222222"/>
                  <w:shd w:val="clear" w:color="auto" w:fill="FFFFFF"/>
                </w:rPr>
                <w:t>(Council, n.d.)</w:t>
              </w:r>
              <w:r w:rsidR="005B3E69">
                <w:rPr>
                  <w:rFonts w:ascii="Arial" w:hAnsi="Arial" w:cs="Arial"/>
                  <w:color w:val="222222"/>
                  <w:shd w:val="clear" w:color="auto" w:fill="FFFFFF"/>
                </w:rPr>
                <w:fldChar w:fldCharType="end"/>
              </w:r>
            </w:sdtContent>
          </w:sdt>
          <w:r w:rsidRPr="003D6E20">
            <w:rPr>
              <w:rFonts w:ascii="Arial" w:hAnsi="Arial" w:cs="Arial"/>
              <w:color w:val="222222"/>
              <w:shd w:val="clear" w:color="auto" w:fill="FFFFFF"/>
            </w:rPr>
            <w:t xml:space="preserve"> </w:t>
          </w:r>
        </w:p>
        <w:p w14:paraId="62E97188" w14:textId="1E4213A4" w:rsidR="002F0D16" w:rsidRDefault="002F0D16" w:rsidP="00171DF7">
          <w:pPr>
            <w:rPr>
              <w:rFonts w:ascii="Arial" w:hAnsi="Arial" w:cs="Arial"/>
              <w:color w:val="222222"/>
              <w:shd w:val="clear" w:color="auto" w:fill="FFFFFF"/>
            </w:rPr>
          </w:pPr>
          <w:r w:rsidRPr="002F0D16">
            <w:rPr>
              <w:rFonts w:ascii="Arial" w:hAnsi="Arial" w:cs="Arial"/>
              <w:color w:val="222222"/>
              <w:shd w:val="clear" w:color="auto" w:fill="FFFFFF"/>
            </w:rPr>
            <w:t>Pembrokeshire County Council building maintenance changed significantly due to COVID-19, shifting from routine planned works to a focus on emergency repairs, heightened hygiene protocols, and the adoption of digital technologies for inspections. The pandemic forced a rapid, safety-driven adaptation of maintenance strategies, resulting in backlogs for non-essential work while accelerating the digitalization of services</w:t>
          </w:r>
          <w:sdt>
            <w:sdtPr>
              <w:rPr>
                <w:rFonts w:ascii="Arial" w:hAnsi="Arial" w:cs="Arial"/>
                <w:color w:val="222222"/>
                <w:shd w:val="clear" w:color="auto" w:fill="FFFFFF"/>
              </w:rPr>
              <w:id w:val="2011790979"/>
              <w:citation/>
            </w:sdtPr>
            <w:sdtContent>
              <w:r w:rsidR="005B3E69">
                <w:rPr>
                  <w:rFonts w:ascii="Arial" w:hAnsi="Arial" w:cs="Arial"/>
                  <w:color w:val="222222"/>
                  <w:shd w:val="clear" w:color="auto" w:fill="FFFFFF"/>
                </w:rPr>
                <w:fldChar w:fldCharType="begin"/>
              </w:r>
              <w:r w:rsidR="005B3E69">
                <w:rPr>
                  <w:rFonts w:ascii="Arial" w:hAnsi="Arial" w:cs="Arial"/>
                  <w:color w:val="222222"/>
                  <w:shd w:val="clear" w:color="auto" w:fill="FFFFFF"/>
                </w:rPr>
                <w:instrText xml:space="preserve"> CITATION Pem2 \l 2057 </w:instrText>
              </w:r>
              <w:r w:rsidR="005B3E69">
                <w:rPr>
                  <w:rFonts w:ascii="Arial" w:hAnsi="Arial" w:cs="Arial"/>
                  <w:color w:val="222222"/>
                  <w:shd w:val="clear" w:color="auto" w:fill="FFFFFF"/>
                </w:rPr>
                <w:fldChar w:fldCharType="separate"/>
              </w:r>
              <w:r w:rsidR="001E723E">
                <w:rPr>
                  <w:rFonts w:ascii="Arial" w:hAnsi="Arial" w:cs="Arial"/>
                  <w:noProof/>
                  <w:color w:val="222222"/>
                  <w:shd w:val="clear" w:color="auto" w:fill="FFFFFF"/>
                </w:rPr>
                <w:t xml:space="preserve"> </w:t>
              </w:r>
              <w:r w:rsidR="001E723E" w:rsidRPr="001E723E">
                <w:rPr>
                  <w:rFonts w:ascii="Arial" w:hAnsi="Arial" w:cs="Arial"/>
                  <w:noProof/>
                  <w:color w:val="222222"/>
                  <w:shd w:val="clear" w:color="auto" w:fill="FFFFFF"/>
                </w:rPr>
                <w:t>(council, n.d.)</w:t>
              </w:r>
              <w:r w:rsidR="005B3E69">
                <w:rPr>
                  <w:rFonts w:ascii="Arial" w:hAnsi="Arial" w:cs="Arial"/>
                  <w:color w:val="222222"/>
                  <w:shd w:val="clear" w:color="auto" w:fill="FFFFFF"/>
                </w:rPr>
                <w:fldChar w:fldCharType="end"/>
              </w:r>
            </w:sdtContent>
          </w:sdt>
        </w:p>
        <w:p w14:paraId="78C51AF4" w14:textId="6B78119D" w:rsidR="00171DF7" w:rsidRPr="00171DF7" w:rsidRDefault="00171DF7" w:rsidP="00171DF7">
          <w:pPr>
            <w:rPr>
              <w:rFonts w:ascii="Arial" w:hAnsi="Arial" w:cs="Arial"/>
              <w:color w:val="222222"/>
              <w:shd w:val="clear" w:color="auto" w:fill="FFFFFF"/>
            </w:rPr>
          </w:pPr>
          <w:r>
            <w:rPr>
              <w:rFonts w:ascii="Arial" w:hAnsi="Arial" w:cs="Arial"/>
              <w:color w:val="222222"/>
              <w:shd w:val="clear" w:color="auto" w:fill="FFFFFF"/>
            </w:rPr>
            <w:t>If I</w:t>
          </w:r>
          <w:r w:rsidRPr="00171DF7">
            <w:rPr>
              <w:rFonts w:ascii="Arial" w:hAnsi="Arial" w:cs="Arial"/>
              <w:color w:val="222222"/>
              <w:shd w:val="clear" w:color="auto" w:fill="FFFFFF"/>
            </w:rPr>
            <w:t xml:space="preserve"> apply Kurt Lewin’s Force Field Analysis model to organisational change within Pembrokeshire County Council</w:t>
          </w:r>
          <w:r w:rsidR="002F0D16">
            <w:rPr>
              <w:rFonts w:ascii="Arial" w:hAnsi="Arial" w:cs="Arial"/>
              <w:color w:val="222222"/>
              <w:shd w:val="clear" w:color="auto" w:fill="FFFFFF"/>
            </w:rPr>
            <w:t xml:space="preserve"> building maintenance</w:t>
          </w:r>
          <w:r w:rsidRPr="00171DF7">
            <w:rPr>
              <w:rFonts w:ascii="Arial" w:hAnsi="Arial" w:cs="Arial"/>
              <w:color w:val="222222"/>
              <w:shd w:val="clear" w:color="auto" w:fill="FFFFFF"/>
            </w:rPr>
            <w:t xml:space="preserve">, </w:t>
          </w:r>
          <w:r>
            <w:rPr>
              <w:rFonts w:ascii="Arial" w:hAnsi="Arial" w:cs="Arial"/>
              <w:color w:val="222222"/>
              <w:shd w:val="clear" w:color="auto" w:fill="FFFFFF"/>
            </w:rPr>
            <w:t>I can</w:t>
          </w:r>
          <w:r w:rsidRPr="00171DF7">
            <w:rPr>
              <w:rFonts w:ascii="Arial" w:hAnsi="Arial" w:cs="Arial"/>
              <w:color w:val="222222"/>
              <w:shd w:val="clear" w:color="auto" w:fill="FFFFFF"/>
            </w:rPr>
            <w:t xml:space="preserve"> examine the driving forces pushing change forward and the restraining forces resisting change.</w:t>
          </w:r>
          <w:sdt>
            <w:sdtPr>
              <w:rPr>
                <w:rFonts w:ascii="Arial" w:hAnsi="Arial" w:cs="Arial"/>
                <w:color w:val="222222"/>
                <w:shd w:val="clear" w:color="auto" w:fill="FFFFFF"/>
              </w:rPr>
              <w:id w:val="104083831"/>
              <w:citation/>
            </w:sdtPr>
            <w:sdtContent>
              <w:r w:rsidR="005B3E69">
                <w:rPr>
                  <w:rFonts w:ascii="Arial" w:hAnsi="Arial" w:cs="Arial"/>
                  <w:color w:val="222222"/>
                  <w:shd w:val="clear" w:color="auto" w:fill="FFFFFF"/>
                </w:rPr>
                <w:fldChar w:fldCharType="begin"/>
              </w:r>
              <w:r w:rsidR="005B3E69">
                <w:rPr>
                  <w:rFonts w:ascii="Arial" w:hAnsi="Arial" w:cs="Arial"/>
                  <w:color w:val="222222"/>
                  <w:shd w:val="clear" w:color="auto" w:fill="FFFFFF"/>
                </w:rPr>
                <w:instrText xml:space="preserve"> CITATION Bus18 \l 2057 </w:instrText>
              </w:r>
              <w:r w:rsidR="005B3E69">
                <w:rPr>
                  <w:rFonts w:ascii="Arial" w:hAnsi="Arial" w:cs="Arial"/>
                  <w:color w:val="222222"/>
                  <w:shd w:val="clear" w:color="auto" w:fill="FFFFFF"/>
                </w:rPr>
                <w:fldChar w:fldCharType="separate"/>
              </w:r>
              <w:r w:rsidR="001E723E">
                <w:rPr>
                  <w:rFonts w:ascii="Arial" w:hAnsi="Arial" w:cs="Arial"/>
                  <w:noProof/>
                  <w:color w:val="222222"/>
                  <w:shd w:val="clear" w:color="auto" w:fill="FFFFFF"/>
                </w:rPr>
                <w:t xml:space="preserve"> </w:t>
              </w:r>
              <w:r w:rsidR="001E723E" w:rsidRPr="001E723E">
                <w:rPr>
                  <w:rFonts w:ascii="Arial" w:hAnsi="Arial" w:cs="Arial"/>
                  <w:noProof/>
                  <w:color w:val="222222"/>
                  <w:shd w:val="clear" w:color="auto" w:fill="FFFFFF"/>
                </w:rPr>
                <w:t>(Business, 2018)</w:t>
              </w:r>
              <w:r w:rsidR="005B3E69">
                <w:rPr>
                  <w:rFonts w:ascii="Arial" w:hAnsi="Arial" w:cs="Arial"/>
                  <w:color w:val="222222"/>
                  <w:shd w:val="clear" w:color="auto" w:fill="FFFFFF"/>
                </w:rPr>
                <w:fldChar w:fldCharType="end"/>
              </w:r>
            </w:sdtContent>
          </w:sdt>
        </w:p>
        <w:p w14:paraId="3CA80A90" w14:textId="268BF9F7" w:rsidR="00171DF7" w:rsidRPr="00171DF7" w:rsidRDefault="00171DF7" w:rsidP="00171DF7">
          <w:pPr>
            <w:rPr>
              <w:rFonts w:ascii="Arial" w:hAnsi="Arial" w:cs="Arial"/>
              <w:color w:val="222222"/>
              <w:shd w:val="clear" w:color="auto" w:fill="FFFFFF"/>
            </w:rPr>
          </w:pPr>
          <w:r w:rsidRPr="00171DF7">
            <w:rPr>
              <w:rFonts w:ascii="Arial" w:hAnsi="Arial" w:cs="Arial"/>
              <w:color w:val="222222"/>
              <w:shd w:val="clear" w:color="auto" w:fill="FFFFFF"/>
            </w:rPr>
            <w:t>Lewin argues that change occurs when driving forces outweigh restraining forces. Effective leaders must either strengthen drivers or reduce resistance.</w:t>
          </w:r>
          <w:sdt>
            <w:sdtPr>
              <w:rPr>
                <w:rFonts w:ascii="Arial" w:hAnsi="Arial" w:cs="Arial"/>
                <w:color w:val="222222"/>
                <w:shd w:val="clear" w:color="auto" w:fill="FFFFFF"/>
              </w:rPr>
              <w:id w:val="-23251258"/>
              <w:citation/>
            </w:sdtPr>
            <w:sdtContent>
              <w:r w:rsidR="006019D5">
                <w:rPr>
                  <w:rFonts w:ascii="Arial" w:hAnsi="Arial" w:cs="Arial"/>
                  <w:color w:val="222222"/>
                  <w:shd w:val="clear" w:color="auto" w:fill="FFFFFF"/>
                </w:rPr>
                <w:fldChar w:fldCharType="begin"/>
              </w:r>
              <w:r w:rsidR="00720C03">
                <w:rPr>
                  <w:rFonts w:ascii="Arial" w:hAnsi="Arial" w:cs="Arial"/>
                  <w:color w:val="222222"/>
                  <w:shd w:val="clear" w:color="auto" w:fill="FFFFFF"/>
                </w:rPr>
                <w:instrText xml:space="preserve">CITATION Pem \l 2057 </w:instrText>
              </w:r>
              <w:r w:rsidR="006019D5">
                <w:rPr>
                  <w:rFonts w:ascii="Arial" w:hAnsi="Arial" w:cs="Arial"/>
                  <w:color w:val="222222"/>
                  <w:shd w:val="clear" w:color="auto" w:fill="FFFFFF"/>
                </w:rPr>
                <w:fldChar w:fldCharType="separate"/>
              </w:r>
              <w:r w:rsidR="001E723E">
                <w:rPr>
                  <w:rFonts w:ascii="Arial" w:hAnsi="Arial" w:cs="Arial"/>
                  <w:noProof/>
                  <w:color w:val="222222"/>
                  <w:shd w:val="clear" w:color="auto" w:fill="FFFFFF"/>
                </w:rPr>
                <w:t xml:space="preserve"> </w:t>
              </w:r>
              <w:r w:rsidR="001E723E" w:rsidRPr="001E723E">
                <w:rPr>
                  <w:rFonts w:ascii="Arial" w:hAnsi="Arial" w:cs="Arial"/>
                  <w:noProof/>
                  <w:color w:val="222222"/>
                  <w:shd w:val="clear" w:color="auto" w:fill="FFFFFF"/>
                </w:rPr>
                <w:t>(six, 2024)</w:t>
              </w:r>
              <w:r w:rsidR="006019D5">
                <w:rPr>
                  <w:rFonts w:ascii="Arial" w:hAnsi="Arial" w:cs="Arial"/>
                  <w:color w:val="222222"/>
                  <w:shd w:val="clear" w:color="auto" w:fill="FFFFFF"/>
                </w:rPr>
                <w:fldChar w:fldCharType="end"/>
              </w:r>
            </w:sdtContent>
          </w:sdt>
        </w:p>
        <w:p w14:paraId="4572E2F3" w14:textId="77777777" w:rsidR="00265389" w:rsidRDefault="00265389" w:rsidP="007D1947">
          <w:pPr>
            <w:rPr>
              <w:b/>
              <w:bCs/>
              <w:sz w:val="24"/>
              <w:szCs w:val="24"/>
              <w:u w:val="single"/>
            </w:rPr>
          </w:pPr>
        </w:p>
        <w:p w14:paraId="63B8FBF1" w14:textId="33BBC49F" w:rsidR="004A11F6" w:rsidRDefault="00E26746" w:rsidP="007D1947">
          <w:pPr>
            <w:rPr>
              <w:b/>
              <w:bCs/>
              <w:sz w:val="24"/>
              <w:szCs w:val="24"/>
              <w:u w:val="single"/>
            </w:rPr>
          </w:pPr>
          <w:r w:rsidRPr="00E26746">
            <w:rPr>
              <w:b/>
              <w:bCs/>
              <w:sz w:val="24"/>
              <w:szCs w:val="24"/>
              <w:u w:val="single"/>
            </w:rPr>
            <w:lastRenderedPageBreak/>
            <w:t>Main findings</w:t>
          </w:r>
        </w:p>
        <w:p w14:paraId="64921A78" w14:textId="337F2A58" w:rsidR="00A62E0D" w:rsidRPr="00A62E0D" w:rsidRDefault="00A62E0D" w:rsidP="007D1947">
          <w:pPr>
            <w:rPr>
              <w:sz w:val="24"/>
              <w:szCs w:val="24"/>
            </w:rPr>
          </w:pPr>
          <w:r w:rsidRPr="00A62E0D">
            <w:rPr>
              <w:sz w:val="24"/>
              <w:szCs w:val="24"/>
            </w:rPr>
            <w:t>Applying Lewin’s Force Field Analysis to pandemic-era maintenance reveals that urgent regulatory compliance and the need for remote, safe operations acted as driving forces for rapid change. However, this shift was hindered by significant restraining forces, including restricted physical access, supply chain disruptions, and workforce shortages.</w:t>
          </w:r>
          <w:sdt>
            <w:sdtPr>
              <w:rPr>
                <w:sz w:val="24"/>
                <w:szCs w:val="24"/>
              </w:rPr>
              <w:id w:val="844058465"/>
              <w:citation/>
            </w:sdtPr>
            <w:sdtContent>
              <w:r w:rsidR="00720C03">
                <w:rPr>
                  <w:sz w:val="24"/>
                  <w:szCs w:val="24"/>
                </w:rPr>
                <w:fldChar w:fldCharType="begin"/>
              </w:r>
              <w:r w:rsidR="00720C03">
                <w:rPr>
                  <w:sz w:val="24"/>
                  <w:szCs w:val="24"/>
                </w:rPr>
                <w:instrText xml:space="preserve"> CITATION Pem \l 2057 </w:instrText>
              </w:r>
              <w:r w:rsidR="00720C03">
                <w:rPr>
                  <w:sz w:val="24"/>
                  <w:szCs w:val="24"/>
                </w:rPr>
                <w:fldChar w:fldCharType="separate"/>
              </w:r>
              <w:r w:rsidR="001E723E">
                <w:rPr>
                  <w:noProof/>
                  <w:sz w:val="24"/>
                  <w:szCs w:val="24"/>
                </w:rPr>
                <w:t xml:space="preserve"> </w:t>
              </w:r>
              <w:r w:rsidR="001E723E" w:rsidRPr="001E723E">
                <w:rPr>
                  <w:noProof/>
                  <w:sz w:val="24"/>
                  <w:szCs w:val="24"/>
                </w:rPr>
                <w:t>(six, 2024)</w:t>
              </w:r>
              <w:r w:rsidR="00720C03">
                <w:rPr>
                  <w:sz w:val="24"/>
                  <w:szCs w:val="24"/>
                </w:rPr>
                <w:fldChar w:fldCharType="end"/>
              </w:r>
            </w:sdtContent>
          </w:sdt>
        </w:p>
        <w:p w14:paraId="28B04BBC" w14:textId="77777777" w:rsidR="00171DF7" w:rsidRDefault="00171DF7" w:rsidP="00171DF7">
          <w:pPr>
            <w:rPr>
              <w:b/>
              <w:bCs/>
            </w:rPr>
          </w:pPr>
        </w:p>
        <w:p w14:paraId="16B9D91E" w14:textId="77777777" w:rsidR="004F1501" w:rsidRPr="004F1501" w:rsidRDefault="004F1501" w:rsidP="004F1501">
          <w:pPr>
            <w:rPr>
              <w:b/>
              <w:bCs/>
              <w:u w:val="single"/>
            </w:rPr>
          </w:pPr>
          <w:r w:rsidRPr="004F1501">
            <w:rPr>
              <w:b/>
              <w:bCs/>
              <w:u w:val="single"/>
            </w:rPr>
            <w:t>Driving Forces for Change</w:t>
          </w:r>
        </w:p>
        <w:p w14:paraId="72CB1E60" w14:textId="0CEA8430" w:rsidR="004F1501" w:rsidRPr="004F1501" w:rsidRDefault="004F1501" w:rsidP="004F1501">
          <w:r w:rsidRPr="004F1501">
            <w:t>Using Lewin’s Force Field Analysis, several strong driving forces emerged that pushed the organisation toward rapid and, in many cases, unavoidable change during the COVID</w:t>
          </w:r>
          <w:r w:rsidRPr="004F1501">
            <w:noBreakHyphen/>
            <w:t>19 pandemic. These forces created pressure to adapt operational practices, service delivery models, and workforce deployment to maintain safety, compliance, and continuity of essential services.</w:t>
          </w:r>
        </w:p>
        <w:p w14:paraId="755937D7" w14:textId="77777777" w:rsidR="004F1501" w:rsidRPr="004F1501" w:rsidRDefault="004F1501" w:rsidP="004F1501">
          <w:r w:rsidRPr="004F1501">
            <w:t xml:space="preserve">• </w:t>
          </w:r>
          <w:r w:rsidRPr="004F1501">
            <w:rPr>
              <w:b/>
              <w:bCs/>
              <w:u w:val="single"/>
            </w:rPr>
            <w:t>Public Health and Safety Regulations</w:t>
          </w:r>
          <w:r w:rsidRPr="004F1501">
            <w:br/>
            <w:t>Government guidance and public health legislation introduced to limit the spread of COVID</w:t>
          </w:r>
          <w:r w:rsidRPr="004F1501">
            <w:noBreakHyphen/>
            <w:t>19 acted as a major catalyst for change. The organisation was required to implement new health and safety measures, including enhanced ventilation, increased sanitisation regimes, and strict social distancing protocols within public and communal buildings. These requirements necessitated immediate changes to working practices, risk assessments, and building management procedures, making traditional approaches to facilities and property management no longer viable.</w:t>
          </w:r>
        </w:p>
        <w:p w14:paraId="7AC033C1" w14:textId="77777777" w:rsidR="004F1501" w:rsidRPr="004F1501" w:rsidRDefault="004F1501" w:rsidP="004F1501">
          <w:r w:rsidRPr="004F1501">
            <w:t xml:space="preserve">• </w:t>
          </w:r>
          <w:r w:rsidRPr="004F1501">
            <w:rPr>
              <w:b/>
              <w:bCs/>
              <w:u w:val="single"/>
            </w:rPr>
            <w:t>Emergency Compliance Requirements</w:t>
          </w:r>
          <w:r w:rsidRPr="004F1501">
            <w:br/>
            <w:t>Despite widespread disruption, statutory responsibilities such as gas safety inspections, fire safety checks, and essential maintenance remained legally mandatory. The need to continue meeting these compliance obligations drove the organisation to develop alternative and safer methods of service delivery. This included revised inspection schedules, lone</w:t>
          </w:r>
          <w:r w:rsidRPr="004F1501">
            <w:noBreakHyphen/>
            <w:t>working protocols, and the use of specialist contractors. Failure to comply posed significant legal, financial, and reputational risks, reinforcing the urgency for change.</w:t>
          </w:r>
        </w:p>
        <w:p w14:paraId="3A8E6EAC" w14:textId="77777777" w:rsidR="004F1501" w:rsidRPr="004F1501" w:rsidRDefault="004F1501" w:rsidP="004F1501">
          <w:r w:rsidRPr="004F1501">
            <w:t xml:space="preserve">• </w:t>
          </w:r>
          <w:r w:rsidRPr="004F1501">
            <w:rPr>
              <w:b/>
              <w:bCs/>
              <w:u w:val="single"/>
            </w:rPr>
            <w:t>Need for Remote and Digital Solutions</w:t>
          </w:r>
          <w:r w:rsidRPr="004F1501">
            <w:br/>
            <w:t>Social distancing and restricted site access accelerated the need for remote working solutions. The organisation was driven to adopt digital tools such as virtual inspections, remote diagnostics, and online communication platforms to maintain oversight of buildings and assets. This shift supported business continuity while reducing physical contact, and it highlighted the importance of digital transformation as a long</w:t>
          </w:r>
          <w:r w:rsidRPr="004F1501">
            <w:noBreakHyphen/>
            <w:t>term strategic priority rather than a temporary response.</w:t>
          </w:r>
        </w:p>
        <w:p w14:paraId="05388432" w14:textId="77777777" w:rsidR="004F1501" w:rsidRPr="004F1501" w:rsidRDefault="004F1501" w:rsidP="004F1501">
          <w:r w:rsidRPr="004F1501">
            <w:t xml:space="preserve">• </w:t>
          </w:r>
          <w:r w:rsidRPr="004F1501">
            <w:rPr>
              <w:b/>
              <w:bCs/>
              <w:u w:val="single"/>
            </w:rPr>
            <w:t>Urgent School and Critical Facility Requirements</w:t>
          </w:r>
          <w:r w:rsidRPr="004F1501">
            <w:br/>
            <w:t>Certain facilities, particularly schools supporting key workers and other critical infrastructure, were required to remain operational throughout the pandemic. These environments demanded high levels of maintenance and compliance under increased health risks. The need to keep these services running safely acted as a powerful driving force, compelling the organisation to prioritise resources, introduce specialised safety procedures, and adapt maintenance strategies to high</w:t>
          </w:r>
          <w:r w:rsidRPr="004F1501">
            <w:noBreakHyphen/>
            <w:t>risk conditions.</w:t>
          </w:r>
        </w:p>
        <w:p w14:paraId="64341F1F" w14:textId="77777777" w:rsidR="004F1501" w:rsidRPr="004F1501" w:rsidRDefault="004F1501" w:rsidP="004F1501">
          <w:r w:rsidRPr="004F1501">
            <w:t xml:space="preserve">• </w:t>
          </w:r>
          <w:r w:rsidRPr="004F1501">
            <w:rPr>
              <w:b/>
              <w:bCs/>
              <w:u w:val="single"/>
            </w:rPr>
            <w:t>Workforce Redundancy and Operational Flexibility</w:t>
          </w:r>
          <w:r w:rsidRPr="004F1501">
            <w:rPr>
              <w:b/>
              <w:bCs/>
              <w:u w:val="single"/>
            </w:rPr>
            <w:br/>
          </w:r>
          <w:r w:rsidRPr="004F1501">
            <w:t>High levels of staff absence due to illness, self</w:t>
          </w:r>
          <w:r w:rsidRPr="004F1501">
            <w:noBreakHyphen/>
            <w:t xml:space="preserve">isolation, or caring responsibilities created pressure to introduce more flexible workforce arrangements. This included redeploying staff to critical functions, upskilling employees to cover essential roles, and revising job responsibilities. The need to maintain </w:t>
          </w:r>
          <w:r w:rsidRPr="004F1501">
            <w:lastRenderedPageBreak/>
            <w:t>service delivery with reduced staffing levels drove changes in workforce planning, decision</w:t>
          </w:r>
          <w:r w:rsidRPr="004F1501">
            <w:noBreakHyphen/>
            <w:t>making processes, and managerial approaches.</w:t>
          </w:r>
        </w:p>
        <w:p w14:paraId="6609DA3E" w14:textId="77777777" w:rsidR="004A11F6" w:rsidRDefault="004A11F6" w:rsidP="007D1947"/>
        <w:p w14:paraId="0BE775A6" w14:textId="77777777" w:rsidR="004A11F6" w:rsidRDefault="004A11F6" w:rsidP="007D1947"/>
        <w:p w14:paraId="2E7EF0C3" w14:textId="33B391C4" w:rsidR="001E723E" w:rsidRDefault="001E723E" w:rsidP="001E723E">
          <w:pPr>
            <w:rPr>
              <w:b/>
              <w:bCs/>
              <w:u w:val="single"/>
            </w:rPr>
          </w:pPr>
          <w:r w:rsidRPr="001E723E">
            <w:rPr>
              <w:b/>
              <w:bCs/>
              <w:u w:val="single"/>
            </w:rPr>
            <w:t>Applying Lewin’s Force Field Analysis, restraining forces against organisational change</w:t>
          </w:r>
        </w:p>
        <w:p w14:paraId="4D4A8420" w14:textId="058BE303" w:rsidR="004F1501" w:rsidRPr="001E723E" w:rsidRDefault="004F1501" w:rsidP="001E723E">
          <w:r w:rsidRPr="004F1501">
            <w:t>Applying Lewin’s Force Field Analysis, several significant restraining forces acted against organisational change, limiting the effectiveness and speed of implementation.</w:t>
          </w:r>
        </w:p>
        <w:p w14:paraId="56E732CB" w14:textId="77777777" w:rsidR="001E723E" w:rsidRPr="001E723E" w:rsidRDefault="001E723E" w:rsidP="001E723E">
          <w:r w:rsidRPr="001E723E">
            <w:t xml:space="preserve">• </w:t>
          </w:r>
          <w:r w:rsidRPr="00782DFD">
            <w:rPr>
              <w:b/>
              <w:bCs/>
              <w:u w:val="single"/>
            </w:rPr>
            <w:t>Social Distancing and Access Restrictions</w:t>
          </w:r>
          <w:r w:rsidRPr="001E723E">
            <w:br/>
            <w:t>Public health guidance and lockdown measures significantly restricted access to tenant properties. This prevented staff and contractors from carrying out routine repairs, inspections, and compliance checks. As a result, non</w:t>
          </w:r>
          <w:r w:rsidRPr="001E723E">
            <w:noBreakHyphen/>
            <w:t>urgent maintenance was delayed, service backlogs increased, and opportunities for face</w:t>
          </w:r>
          <w:r w:rsidRPr="001E723E">
            <w:noBreakHyphen/>
            <w:t>to</w:t>
          </w:r>
          <w:r w:rsidRPr="001E723E">
            <w:noBreakHyphen/>
            <w:t>face engagement with tenants were greatly reduced. These constraints created operational bottlenecks and reduced the organisation’s ability to maintain normal service standards.</w:t>
          </w:r>
        </w:p>
        <w:p w14:paraId="7E947A4C" w14:textId="77777777" w:rsidR="001E723E" w:rsidRPr="001E723E" w:rsidRDefault="001E723E" w:rsidP="001E723E">
          <w:r w:rsidRPr="00782DFD">
            <w:rPr>
              <w:b/>
              <w:bCs/>
              <w:u w:val="single"/>
            </w:rPr>
            <w:t>• Financial Pressures</w:t>
          </w:r>
          <w:r w:rsidRPr="001E723E">
            <w:br/>
            <w:t>The organisation faced increased financial strain due to limited budgets alongside rising operational costs. Additional expenditure on personal protective equipment (PPE), enhanced cleaning regimes, and modified working practices reduced the funds available for core service delivery and improvement initiatives. These financial pressures restricted investment in innovation, staff development, and new systems, thereby acting as a strong force resisting change.</w:t>
          </w:r>
        </w:p>
        <w:p w14:paraId="2124ACAC" w14:textId="77777777" w:rsidR="001E723E" w:rsidRPr="001E723E" w:rsidRDefault="001E723E" w:rsidP="001E723E">
          <w:r w:rsidRPr="001E723E">
            <w:t xml:space="preserve">• </w:t>
          </w:r>
          <w:r w:rsidRPr="00782DFD">
            <w:rPr>
              <w:b/>
              <w:bCs/>
              <w:u w:val="single"/>
            </w:rPr>
            <w:t>Supply Chain Disruption</w:t>
          </w:r>
          <w:r w:rsidRPr="001E723E">
            <w:br/>
            <w:t>Global and national supply chain interruptions led to shortages of essential materials, components, and equipment required for repairs and maintenance. Extended delivery times and reduced supplier availability made it difficult to plan and complete work efficiently. This uncertainty undermined productivity, increased costs, and slowed progress toward implementing new or improved ways of working.</w:t>
          </w:r>
        </w:p>
        <w:p w14:paraId="17010E17" w14:textId="77777777" w:rsidR="001E723E" w:rsidRPr="001E723E" w:rsidRDefault="001E723E" w:rsidP="001E723E">
          <w:r w:rsidRPr="001E723E">
            <w:t xml:space="preserve">• </w:t>
          </w:r>
          <w:r w:rsidRPr="00782DFD">
            <w:rPr>
              <w:b/>
              <w:bCs/>
              <w:u w:val="single"/>
            </w:rPr>
            <w:t>Workforce Shortages</w:t>
          </w:r>
          <w:r w:rsidRPr="001E723E">
            <w:br/>
            <w:t>Staff availability was significantly reduced due to illness, self</w:t>
          </w:r>
          <w:r w:rsidRPr="001E723E">
            <w:noBreakHyphen/>
            <w:t>isolation requirements, and caring responsibilities. These workforce shortages placed additional pressure on remaining staff, increased workloads, and limited the organisation’s capacity to adapt to change. Reduced staffing levels also hindered training, collaboration, and the consistent application of new processes.</w:t>
          </w:r>
        </w:p>
        <w:p w14:paraId="1E864666" w14:textId="77777777" w:rsidR="001E723E" w:rsidRPr="001E723E" w:rsidRDefault="001E723E" w:rsidP="001E723E">
          <w:r w:rsidRPr="001E723E">
            <w:t xml:space="preserve">• </w:t>
          </w:r>
          <w:r w:rsidRPr="00782DFD">
            <w:rPr>
              <w:b/>
              <w:bCs/>
              <w:u w:val="single"/>
            </w:rPr>
            <w:t>Technological Limitations</w:t>
          </w:r>
          <w:r w:rsidRPr="001E723E">
            <w:br/>
            <w:t>Existing digital infrastructure was insufficient to fully support a rapid transition to remote or virtual management. Limitations in hardware, software, and digital skills restricted effective remote working, online inspections, and virtual communication with tenants and colleagues. This slowed decision</w:t>
          </w:r>
          <w:r w:rsidRPr="001E723E">
            <w:noBreakHyphen/>
            <w:t>making, reduced efficiency, and created resistance to change by exposing gaps in technological readiness.</w:t>
          </w:r>
        </w:p>
        <w:p w14:paraId="4999262A" w14:textId="77777777" w:rsidR="004A11F6" w:rsidRDefault="004A11F6" w:rsidP="007D1947"/>
        <w:p w14:paraId="1359F054" w14:textId="77777777" w:rsidR="004A11F6" w:rsidRDefault="004A11F6" w:rsidP="007D1947"/>
        <w:p w14:paraId="4734E8F2" w14:textId="77777777" w:rsidR="00BF4376" w:rsidRDefault="00BF4376" w:rsidP="007D1947"/>
        <w:p w14:paraId="57AB3D11" w14:textId="77777777" w:rsidR="00BF4376" w:rsidRDefault="00BF4376" w:rsidP="007D1947"/>
        <w:p w14:paraId="0D40B2DE" w14:textId="77777777" w:rsidR="00BF4376" w:rsidRDefault="00BF4376" w:rsidP="00AA2A91">
          <w:pPr>
            <w:pStyle w:val="Heading1"/>
            <w:rPr>
              <w:color w:val="auto"/>
              <w:sz w:val="24"/>
              <w:szCs w:val="24"/>
            </w:rPr>
          </w:pPr>
        </w:p>
        <w:p w14:paraId="23AA343E" w14:textId="77777777" w:rsidR="00A62E0D" w:rsidRPr="00BF4376" w:rsidRDefault="00A62E0D" w:rsidP="00BF4376"/>
        <w:p w14:paraId="62821367" w14:textId="77777777" w:rsidR="00BF4376" w:rsidRPr="00782DFD" w:rsidRDefault="00BF4376" w:rsidP="00BF4376">
          <w:pPr>
            <w:rPr>
              <w:b/>
              <w:bCs/>
              <w:sz w:val="24"/>
              <w:szCs w:val="24"/>
              <w:u w:val="single"/>
            </w:rPr>
          </w:pPr>
          <w:r w:rsidRPr="00782DFD">
            <w:rPr>
              <w:b/>
              <w:bCs/>
              <w:sz w:val="24"/>
              <w:szCs w:val="24"/>
              <w:u w:val="single"/>
            </w:rPr>
            <w:t xml:space="preserve">Lewin’s three step change management model </w:t>
          </w:r>
        </w:p>
        <w:p w14:paraId="3A4BB5B5" w14:textId="77777777" w:rsidR="00A17C4A" w:rsidRDefault="00BF4376" w:rsidP="00A17C4A">
          <w:pPr>
            <w:rPr>
              <w:sz w:val="24"/>
              <w:szCs w:val="24"/>
            </w:rPr>
          </w:pPr>
          <w:r w:rsidRPr="00BF4376">
            <w:rPr>
              <w:sz w:val="24"/>
              <w:szCs w:val="24"/>
            </w:rPr>
            <w:t>(Unfreeze → Change → Refreeze)</w:t>
          </w:r>
        </w:p>
        <w:p w14:paraId="64FE6E94" w14:textId="32764BD4" w:rsidR="00321E32" w:rsidRDefault="00BF4376" w:rsidP="00321E32">
          <w:pPr>
            <w:rPr>
              <w:sz w:val="24"/>
              <w:szCs w:val="24"/>
            </w:rPr>
          </w:pPr>
          <w:r w:rsidRPr="00B629C2">
            <w:rPr>
              <w:sz w:val="24"/>
              <w:szCs w:val="24"/>
            </w:rPr>
            <w:t>Using Lewin’s three step change management model</w:t>
          </w:r>
          <w:r>
            <w:rPr>
              <w:sz w:val="24"/>
              <w:szCs w:val="24"/>
            </w:rPr>
            <w:t xml:space="preserve"> </w:t>
          </w:r>
          <w:r w:rsidRPr="00BF4376">
            <w:rPr>
              <w:sz w:val="24"/>
              <w:szCs w:val="24"/>
            </w:rPr>
            <w:t xml:space="preserve">(Unfreeze → Change → Refreeze), Pembrokeshire County Council </w:t>
          </w:r>
          <w:r>
            <w:rPr>
              <w:sz w:val="24"/>
              <w:szCs w:val="24"/>
            </w:rPr>
            <w:t>could:</w:t>
          </w:r>
          <w:sdt>
            <w:sdtPr>
              <w:rPr>
                <w:sz w:val="24"/>
                <w:szCs w:val="24"/>
              </w:rPr>
              <w:id w:val="-1501029021"/>
              <w:citation/>
            </w:sdtPr>
            <w:sdtContent>
              <w:r w:rsidR="00720C03">
                <w:rPr>
                  <w:sz w:val="24"/>
                  <w:szCs w:val="24"/>
                </w:rPr>
                <w:fldChar w:fldCharType="begin"/>
              </w:r>
              <w:r w:rsidR="00720C03">
                <w:rPr>
                  <w:sz w:val="24"/>
                  <w:szCs w:val="24"/>
                </w:rPr>
                <w:instrText xml:space="preserve"> CITATION Pri25 \l 2057 </w:instrText>
              </w:r>
              <w:r w:rsidR="00720C03">
                <w:rPr>
                  <w:sz w:val="24"/>
                  <w:szCs w:val="24"/>
                </w:rPr>
                <w:fldChar w:fldCharType="separate"/>
              </w:r>
              <w:r w:rsidR="001E723E">
                <w:rPr>
                  <w:noProof/>
                  <w:sz w:val="24"/>
                  <w:szCs w:val="24"/>
                </w:rPr>
                <w:t xml:space="preserve"> </w:t>
              </w:r>
              <w:r w:rsidR="001E723E" w:rsidRPr="001E723E">
                <w:rPr>
                  <w:noProof/>
                  <w:sz w:val="24"/>
                  <w:szCs w:val="24"/>
                </w:rPr>
                <w:t>(Malik, 2025)</w:t>
              </w:r>
              <w:r w:rsidR="00720C03">
                <w:rPr>
                  <w:sz w:val="24"/>
                  <w:szCs w:val="24"/>
                </w:rPr>
                <w:fldChar w:fldCharType="end"/>
              </w:r>
            </w:sdtContent>
          </w:sdt>
        </w:p>
        <w:p w14:paraId="0B2AF2EF" w14:textId="751FD4AA" w:rsidR="00321E32" w:rsidRPr="00321E32" w:rsidRDefault="00321E32" w:rsidP="00321E32">
          <w:pPr>
            <w:rPr>
              <w:b/>
              <w:bCs/>
              <w:sz w:val="24"/>
              <w:szCs w:val="24"/>
              <w:u w:val="single"/>
            </w:rPr>
          </w:pPr>
          <w:r w:rsidRPr="00321E32">
            <w:rPr>
              <w:b/>
              <w:bCs/>
              <w:sz w:val="24"/>
              <w:szCs w:val="24"/>
              <w:u w:val="single"/>
            </w:rPr>
            <w:t xml:space="preserve">Unfreeze  </w:t>
          </w:r>
        </w:p>
        <w:p w14:paraId="52213205" w14:textId="73DEC4F6" w:rsidR="003D6E20" w:rsidRDefault="003D6E20" w:rsidP="00321E32">
          <w:pPr>
            <w:rPr>
              <w:sz w:val="24"/>
              <w:szCs w:val="24"/>
            </w:rPr>
          </w:pPr>
          <w:r w:rsidRPr="003D6E20">
            <w:rPr>
              <w:sz w:val="24"/>
              <w:szCs w:val="24"/>
            </w:rPr>
            <w:t xml:space="preserve">The pandemic acted as </w:t>
          </w:r>
          <w:r>
            <w:rPr>
              <w:sz w:val="24"/>
              <w:szCs w:val="24"/>
            </w:rPr>
            <w:t>the ultimate</w:t>
          </w:r>
          <w:r w:rsidRPr="003D6E20">
            <w:rPr>
              <w:sz w:val="24"/>
              <w:szCs w:val="24"/>
            </w:rPr>
            <w:t xml:space="preserve"> unfreezing event, instantly disrupting the status quo and rendering Pembrokeshire County Council’s traditional, in-person routine maintenance cycles entirely unviable. This sudden shift forced an immediate organizational acceptance that "business as usual" was no longer an option, necessitating a rapid transition toward an emergency-only, risk-assessed approach for all building maintenance activities. To manage this safely, </w:t>
          </w:r>
          <w:r w:rsidR="005122DC" w:rsidRPr="003B48BA">
            <w:rPr>
              <w:sz w:val="24"/>
              <w:szCs w:val="24"/>
            </w:rPr>
            <w:t>Pembrokeshire County Council</w:t>
          </w:r>
          <w:r w:rsidRPr="003D6E20">
            <w:rPr>
              <w:sz w:val="24"/>
              <w:szCs w:val="24"/>
            </w:rPr>
            <w:t xml:space="preserve"> had to categorise its asset portfolio and identify critical facilities—such as hospitals, care homes, high-rise accommodation, and crematoriums—that required uninterrupted service to maintain </w:t>
          </w:r>
          <w:hyperlink r:id="rId12" w:tgtFrame="_blank" w:history="1">
            <w:r w:rsidRPr="003D6E20">
              <w:rPr>
                <w:sz w:val="24"/>
                <w:szCs w:val="24"/>
              </w:rPr>
              <w:t>public health and safety</w:t>
            </w:r>
          </w:hyperlink>
          <w:r w:rsidRPr="003D6E20">
            <w:rPr>
              <w:sz w:val="24"/>
              <w:szCs w:val="24"/>
            </w:rPr>
            <w:t>. This initial stage was crucial for breaking down existing operational habits and </w:t>
          </w:r>
          <w:hyperlink r:id="rId13" w:tgtFrame="_blank" w:history="1">
            <w:r w:rsidRPr="003D6E20">
              <w:rPr>
                <w:sz w:val="24"/>
                <w:szCs w:val="24"/>
              </w:rPr>
              <w:t>redeploying resources</w:t>
            </w:r>
          </w:hyperlink>
          <w:r w:rsidRPr="003D6E20">
            <w:rPr>
              <w:sz w:val="24"/>
              <w:szCs w:val="24"/>
            </w:rPr>
            <w:t xml:space="preserve"> to where they were most urgently needed, effectively </w:t>
          </w:r>
          <w:r>
            <w:rPr>
              <w:sz w:val="24"/>
              <w:szCs w:val="24"/>
            </w:rPr>
            <w:t>bypassing</w:t>
          </w:r>
          <w:r w:rsidRPr="003D6E20">
            <w:rPr>
              <w:sz w:val="24"/>
              <w:szCs w:val="24"/>
            </w:rPr>
            <w:t xml:space="preserve"> the old maintenance model to make way for the COVID-secure innovations that followed in the </w:t>
          </w:r>
          <w:hyperlink r:id="rId14" w:tgtFrame="_blank" w:history="1">
            <w:r w:rsidRPr="003D6E20">
              <w:rPr>
                <w:sz w:val="24"/>
                <w:szCs w:val="24"/>
              </w:rPr>
              <w:t>recovery and regeneration strategy</w:t>
            </w:r>
          </w:hyperlink>
          <w:r w:rsidRPr="003D6E20">
            <w:rPr>
              <w:sz w:val="24"/>
              <w:szCs w:val="24"/>
            </w:rPr>
            <w:t>.</w:t>
          </w:r>
        </w:p>
        <w:p w14:paraId="7E64D70C" w14:textId="76E534A2" w:rsidR="00321E32" w:rsidRDefault="00321E32" w:rsidP="00321E32">
          <w:pPr>
            <w:rPr>
              <w:sz w:val="24"/>
              <w:szCs w:val="24"/>
            </w:rPr>
          </w:pPr>
          <w:r w:rsidRPr="00321E32">
            <w:rPr>
              <w:b/>
              <w:bCs/>
              <w:sz w:val="24"/>
              <w:szCs w:val="24"/>
              <w:u w:val="single"/>
            </w:rPr>
            <w:t>Change</w:t>
          </w:r>
        </w:p>
        <w:p w14:paraId="05AF4933" w14:textId="56816F91" w:rsidR="003B48BA" w:rsidRPr="003B48BA" w:rsidRDefault="003B48BA" w:rsidP="003B48BA">
          <w:pPr>
            <w:rPr>
              <w:sz w:val="24"/>
              <w:szCs w:val="24"/>
            </w:rPr>
          </w:pPr>
          <w:r w:rsidRPr="003B48BA">
            <w:rPr>
              <w:sz w:val="24"/>
              <w:szCs w:val="24"/>
            </w:rPr>
            <w:t>During the transition phase following the pandemic, Pembrokeshire County Council actively reshaped its operational model to overcome a range of “Restraining Forces,” including workforce shortages, social isolation, digital exclusion, and service disruption. A central driver of this transformation was accelerated digital adoption: maintenance teams introduced virtual inspections using digital diagnostic tools to assess property condition and safety remotely, reducing physical entry into tenant homes while maintaining statutory compliance. In parallel, Pembrokeshire County Council implemented a strategic redeployment and specialisation programme, shifting staff from non-essential cosmetic works and leisure services into critical areas such as void management, essential health and safety checks, and the Community Hub</w:t>
          </w:r>
          <w:r>
            <w:rPr>
              <w:sz w:val="24"/>
              <w:szCs w:val="24"/>
            </w:rPr>
            <w:t xml:space="preserve"> </w:t>
          </w:r>
          <w:r w:rsidRPr="003B48BA">
            <w:rPr>
              <w:sz w:val="24"/>
              <w:szCs w:val="24"/>
            </w:rPr>
            <w:t>delivered in partnership with PAVS, Delta Wellbeing, and Hywel Dda University Health Board</w:t>
          </w:r>
          <w:r>
            <w:rPr>
              <w:sz w:val="24"/>
              <w:szCs w:val="24"/>
            </w:rPr>
            <w:t xml:space="preserve"> </w:t>
          </w:r>
          <w:r w:rsidRPr="003B48BA">
            <w:rPr>
              <w:sz w:val="24"/>
              <w:szCs w:val="24"/>
            </w:rPr>
            <w:t>to support vulnerable and shielding residents. Broader digital inclusion initiatives, including Connect Pembrokeshire and Digital Communities, provided residents with loaned tablets, MiFi devices, and digital skills training, while the Technology Enabled Care (TEC) Team expanded virtual care through assistive technologies and a “try before you buy” smart home demonstration flat. Internally, Pembrokeshire County Council accelerated agile, and hybrid working practices, building on pre-pandemic foundations, and modernised its financial and operational infrastructure through the One</w:t>
          </w:r>
          <w:r>
            <w:rPr>
              <w:sz w:val="24"/>
              <w:szCs w:val="24"/>
            </w:rPr>
            <w:t xml:space="preserve"> </w:t>
          </w:r>
          <w:r w:rsidRPr="003B48BA">
            <w:rPr>
              <w:sz w:val="24"/>
              <w:szCs w:val="24"/>
            </w:rPr>
            <w:t>Council Enterprise Resource Planning system with Technology</w:t>
          </w:r>
          <w:r>
            <w:rPr>
              <w:sz w:val="24"/>
              <w:szCs w:val="24"/>
            </w:rPr>
            <w:t xml:space="preserve"> </w:t>
          </w:r>
          <w:r w:rsidRPr="003B48BA">
            <w:rPr>
              <w:sz w:val="24"/>
              <w:szCs w:val="24"/>
            </w:rPr>
            <w:t xml:space="preserve">One, consolidating finance and procurement into a digital-first platform. These changes were underpinned by enhanced safety measures, including rigorous Personal Protective </w:t>
          </w:r>
          <w:r w:rsidRPr="003B48BA">
            <w:rPr>
              <w:sz w:val="24"/>
              <w:szCs w:val="24"/>
            </w:rPr>
            <w:lastRenderedPageBreak/>
            <w:t>Equipment protocols and updated Risk Assessment Method Statement for contractors, and collectively formed part of the Pembrokeshire Recovery and Regeneration Strategy 2020–2030, enabling Pembrokeshire County Council to maintain service continuity, protect community safety, and embed a sustainable, technology-enabled “new normal.”</w:t>
          </w:r>
        </w:p>
        <w:p w14:paraId="7E77EBCC" w14:textId="77777777" w:rsidR="00CF55C9" w:rsidRDefault="00CF55C9" w:rsidP="00321E32">
          <w:pPr>
            <w:rPr>
              <w:b/>
              <w:bCs/>
              <w:sz w:val="24"/>
              <w:szCs w:val="24"/>
              <w:u w:val="single"/>
            </w:rPr>
          </w:pPr>
        </w:p>
        <w:p w14:paraId="03282E93" w14:textId="77777777" w:rsidR="00351B72" w:rsidRDefault="00351B72" w:rsidP="00321E32">
          <w:pPr>
            <w:rPr>
              <w:b/>
              <w:bCs/>
              <w:sz w:val="24"/>
              <w:szCs w:val="24"/>
              <w:u w:val="single"/>
            </w:rPr>
          </w:pPr>
        </w:p>
        <w:p w14:paraId="7F8DE046" w14:textId="64FBC7A2" w:rsidR="00321E32" w:rsidRPr="00321E32" w:rsidRDefault="00321E32" w:rsidP="00321E32">
          <w:pPr>
            <w:rPr>
              <w:b/>
              <w:bCs/>
              <w:sz w:val="24"/>
              <w:szCs w:val="24"/>
              <w:u w:val="single"/>
            </w:rPr>
          </w:pPr>
          <w:r w:rsidRPr="00321E32">
            <w:rPr>
              <w:b/>
              <w:bCs/>
              <w:sz w:val="24"/>
              <w:szCs w:val="24"/>
              <w:u w:val="single"/>
            </w:rPr>
            <w:t xml:space="preserve">Refreeze </w:t>
          </w:r>
        </w:p>
        <w:p w14:paraId="362D3129" w14:textId="1D713ED1" w:rsidR="00EA70A5" w:rsidRDefault="00B01A19" w:rsidP="00EA70A5">
          <w:pPr>
            <w:rPr>
              <w:sz w:val="24"/>
              <w:szCs w:val="24"/>
            </w:rPr>
          </w:pPr>
          <w:r w:rsidRPr="00B01A19">
            <w:rPr>
              <w:sz w:val="24"/>
              <w:szCs w:val="24"/>
            </w:rPr>
            <w:t>Basically, by making these COVID-era changes permanent, Pembrokeshire County Council isn't just "getting by" anymore—they’ve upgraded to a better way of working called "Building Back Better." They’ve ditched the old, slow paperwork for the </w:t>
          </w:r>
          <w:hyperlink r:id="rId15" w:tgtFrame="_blank" w:history="1">
            <w:r w:rsidRPr="00B01A19">
              <w:t>Pembrokeshire Housing Online portal</w:t>
            </w:r>
          </w:hyperlink>
          <w:r w:rsidRPr="00B01A19">
            <w:rPr>
              <w:sz w:val="24"/>
              <w:szCs w:val="24"/>
            </w:rPr>
            <w:t>, meaning tenants can report repairs 24/7 and staff have better tech skills. They’ve also fixed their supply issues so they don't run out of parts and made </w:t>
          </w:r>
          <w:hyperlink r:id="rId16" w:tgtFrame="_blank" w:history="1">
            <w:r w:rsidRPr="00B01A19">
              <w:t>safety rules</w:t>
            </w:r>
          </w:hyperlink>
          <w:r w:rsidRPr="00B01A19">
            <w:rPr>
              <w:sz w:val="24"/>
              <w:szCs w:val="24"/>
            </w:rPr>
            <w:t> a natural part of the daily job. By locking these updates into their </w:t>
          </w:r>
          <w:hyperlink r:id="rId17" w:tgtFrame="_blank" w:history="1">
            <w:r w:rsidRPr="00B01A19">
              <w:t>long-term plans</w:t>
            </w:r>
          </w:hyperlink>
          <w:r w:rsidRPr="00B01A19">
            <w:rPr>
              <w:sz w:val="24"/>
              <w:szCs w:val="24"/>
            </w:rPr>
            <w:t xml:space="preserve">, </w:t>
          </w:r>
          <w:r w:rsidR="005122DC" w:rsidRPr="003B48BA">
            <w:rPr>
              <w:sz w:val="24"/>
              <w:szCs w:val="24"/>
            </w:rPr>
            <w:t>Pembrokeshire County Council</w:t>
          </w:r>
          <w:r w:rsidRPr="00B01A19">
            <w:rPr>
              <w:sz w:val="24"/>
              <w:szCs w:val="24"/>
            </w:rPr>
            <w:t xml:space="preserve"> has ensured that the </w:t>
          </w:r>
          <w:hyperlink r:id="rId18" w:tgtFrame="_blank" w:history="1">
            <w:r w:rsidRPr="00B01A19">
              <w:rPr>
                <w:sz w:val="24"/>
                <w:szCs w:val="24"/>
              </w:rPr>
              <w:t>community-focused</w:t>
            </w:r>
          </w:hyperlink>
          <w:r w:rsidRPr="00B01A19">
            <w:rPr>
              <w:sz w:val="24"/>
              <w:szCs w:val="24"/>
            </w:rPr>
            <w:t> and modern way they work now is here to stay, making them much stronger for whatever happens next.</w:t>
          </w:r>
        </w:p>
        <w:p w14:paraId="38493E85" w14:textId="77777777" w:rsidR="00EA70A5" w:rsidRPr="00EA70A5" w:rsidRDefault="00EA70A5" w:rsidP="00EA70A5">
          <w:pPr>
            <w:rPr>
              <w:sz w:val="24"/>
              <w:szCs w:val="24"/>
            </w:rPr>
          </w:pPr>
        </w:p>
        <w:p w14:paraId="52624AC6" w14:textId="77777777" w:rsidR="00EA70A5" w:rsidRDefault="00EA70A5" w:rsidP="00AA2A91">
          <w:pPr>
            <w:pStyle w:val="Heading1"/>
            <w:rPr>
              <w:b/>
              <w:bCs/>
              <w:color w:val="auto"/>
              <w:u w:val="single"/>
            </w:rPr>
          </w:pPr>
        </w:p>
        <w:p w14:paraId="6504F871" w14:textId="70DDF173" w:rsidR="00480872" w:rsidRPr="00EA70A5" w:rsidRDefault="00EA70A5" w:rsidP="00AA2A91">
          <w:pPr>
            <w:pStyle w:val="Heading1"/>
            <w:rPr>
              <w:b/>
              <w:bCs/>
              <w:color w:val="auto"/>
              <w:u w:val="single"/>
            </w:rPr>
          </w:pPr>
          <w:bookmarkStart w:id="1" w:name="_Toc223550513"/>
          <w:r w:rsidRPr="00EA70A5">
            <w:rPr>
              <w:b/>
              <w:bCs/>
              <w:color w:val="auto"/>
              <w:u w:val="single"/>
            </w:rPr>
            <w:t>How Employees were guided and supported during Covid-19</w:t>
          </w:r>
          <w:bookmarkEnd w:id="1"/>
        </w:p>
        <w:p w14:paraId="3BECC254" w14:textId="77777777" w:rsidR="005014C5" w:rsidRDefault="005014C5" w:rsidP="005014C5"/>
        <w:p w14:paraId="1A7B9AF6" w14:textId="1D9CD2A9" w:rsidR="00FD3987" w:rsidRDefault="00FD3987" w:rsidP="00FD3987">
          <w:r w:rsidRPr="00FD3987">
            <w:t>To effectively guide Pembrokeshire County Council</w:t>
          </w:r>
          <w:r w:rsidR="001E723E">
            <w:t xml:space="preserve"> </w:t>
          </w:r>
          <w:r w:rsidRPr="00FD3987">
            <w:t xml:space="preserve">staff through the transition from traditional maintenance to a digital-first, risk-based model, </w:t>
          </w:r>
          <w:r>
            <w:t>managers</w:t>
          </w:r>
          <w:r w:rsidRPr="00FD3987">
            <w:t xml:space="preserve"> </w:t>
          </w:r>
          <w:r>
            <w:t>could</w:t>
          </w:r>
          <w:r w:rsidRPr="00FD3987">
            <w:t xml:space="preserve"> integrate Herzberg’s Two-Factor Theory with Lewin’s change stages to safeguard motivation. </w:t>
          </w:r>
        </w:p>
        <w:p w14:paraId="11A7DA9B" w14:textId="69404643" w:rsidR="00FD3987" w:rsidRPr="00FD3987" w:rsidRDefault="00FD3987" w:rsidP="00FD3987">
          <w:r w:rsidRPr="00FD3987">
            <w:t>During the unfreezing phase, the priority is addressing Hygiene Factors</w:t>
          </w:r>
          <w:r>
            <w:t xml:space="preserve">, </w:t>
          </w:r>
          <w:r w:rsidRPr="00FD3987">
            <w:t>the fundamental workplace elements that prevent dissatisfaction. This involves providing explicit COVID-19 safety protocols and guaranteed access to PPE to mitigate the "Workforce Shortages" and "Access Restrictions" identified as restraining forces. By ensuring job security during </w:t>
          </w:r>
          <w:hyperlink r:id="rId19" w:tgtFrame="_blank" w:history="1">
            <w:r w:rsidRPr="00FD3987">
              <w:t>redeployment to critical hubs</w:t>
            </w:r>
          </w:hyperlink>
          <w:r w:rsidRPr="00FD3987">
            <w:t xml:space="preserve">, </w:t>
          </w:r>
          <w:r w:rsidR="00782DFD">
            <w:t>Pembrokeshire county council</w:t>
          </w:r>
          <w:r w:rsidRPr="00FD3987">
            <w:t xml:space="preserve"> removes the baseline anxiety that stifles change, creating a stable foundation for transition.</w:t>
          </w:r>
        </w:p>
        <w:p w14:paraId="6F7A257A" w14:textId="43D05B0E" w:rsidR="00FD3987" w:rsidRPr="00FD3987" w:rsidRDefault="00FD3987" w:rsidP="00FD3987">
          <w:r w:rsidRPr="00FD3987">
            <w:t>As the council moves into the changing phase, the focus shifts to Motivators</w:t>
          </w:r>
          <w:r w:rsidR="00B01A19">
            <w:t xml:space="preserve"> and </w:t>
          </w:r>
          <w:r w:rsidRPr="00FD3987">
            <w:t>internal drivers like achievement and recognition. Rather than mandating the </w:t>
          </w:r>
          <w:hyperlink r:id="rId20" w:tgtFrame="_blank" w:history="1">
            <w:r w:rsidRPr="00FD3987">
              <w:t>Housing Online portal</w:t>
            </w:r>
          </w:hyperlink>
          <w:r w:rsidRPr="00FD3987">
            <w:t>, P</w:t>
          </w:r>
          <w:r w:rsidR="00782DFD">
            <w:t>embrokeshire county council</w:t>
          </w:r>
          <w:r w:rsidRPr="00FD3987">
            <w:t xml:space="preserve"> can empower maintenance teams by involving them in the design of digital workflows and virtual inspection protocols. This grants employees a sense of autonomy and responsibility, turning a technological hurdle into a professional development opportunity. Leveraging Public Health </w:t>
          </w:r>
          <w:r w:rsidR="00B01A19" w:rsidRPr="00FD3987">
            <w:t>Wales’s</w:t>
          </w:r>
          <w:r w:rsidRPr="00FD3987">
            <w:t xml:space="preserve"> wellbeing initiatives during this stage provides the emotional scaffolding needed to maintain performance when the "Maintenance Debt" backlog feels overwhelming.</w:t>
          </w:r>
        </w:p>
        <w:p w14:paraId="3BFCA9DD" w14:textId="72140475" w:rsidR="00FD3987" w:rsidRPr="00FD3987" w:rsidRDefault="00FD3987" w:rsidP="00FD3987">
          <w:r w:rsidRPr="00FD3987">
            <w:t>Finally, in the refreezing stage, P</w:t>
          </w:r>
          <w:r w:rsidR="00782DFD">
            <w:t>embrokeshire county council</w:t>
          </w:r>
          <w:r w:rsidRPr="00FD3987">
            <w:t xml:space="preserve"> must solidify these gains by formally embedding the new digital-first standards into the </w:t>
          </w:r>
          <w:hyperlink r:id="rId21" w:tgtFrame="_blank" w:history="1">
            <w:r w:rsidRPr="00FD3987">
              <w:t>Pembrokeshire Corporate Strategy</w:t>
            </w:r>
          </w:hyperlink>
          <w:r w:rsidRPr="00FD3987">
            <w:t xml:space="preserve">. Motivation is sustained long-term by offering advancement opportunities for staff who have mastered the new </w:t>
          </w:r>
          <w:r w:rsidRPr="00FD3987">
            <w:lastRenderedPageBreak/>
            <w:t>tech-driven environment. By aligning the council’s </w:t>
          </w:r>
          <w:hyperlink r:id="rId22" w:tgtFrame="_blank" w:history="1">
            <w:r w:rsidRPr="00FD3987">
              <w:t>long-term recovery goals</w:t>
            </w:r>
          </w:hyperlink>
          <w:r w:rsidRPr="00FD3987">
            <w:t> with individual performance recognition, P</w:t>
          </w:r>
          <w:r w:rsidR="00782DFD">
            <w:t>embrokeshire county council</w:t>
          </w:r>
          <w:r w:rsidRPr="00FD3987">
            <w:t xml:space="preserve"> transforms the "fiscal hangover" of the pandemic into a culture of continuous improvement, ensuring that the high-energy adaptation seen during the crisis becomes the permanent, motivated standard for the workforce.</w:t>
          </w:r>
        </w:p>
        <w:p w14:paraId="17EF61E3" w14:textId="77777777" w:rsidR="00CF55C9" w:rsidRDefault="00CF55C9" w:rsidP="006019D5">
          <w:pPr>
            <w:pStyle w:val="Heading1"/>
            <w:rPr>
              <w:b/>
              <w:bCs/>
              <w:color w:val="auto"/>
              <w:u w:val="single"/>
            </w:rPr>
          </w:pPr>
          <w:bookmarkStart w:id="2" w:name="_Toc96925031"/>
        </w:p>
        <w:p w14:paraId="735EB39C" w14:textId="599DDB35" w:rsidR="00AA2A91" w:rsidRPr="006019D5" w:rsidRDefault="00AA2A91" w:rsidP="006019D5">
          <w:pPr>
            <w:pStyle w:val="Heading1"/>
            <w:rPr>
              <w:b/>
              <w:bCs/>
              <w:color w:val="auto"/>
              <w:u w:val="single"/>
            </w:rPr>
          </w:pPr>
          <w:bookmarkStart w:id="3" w:name="_Toc223550514"/>
          <w:r w:rsidRPr="006019D5">
            <w:rPr>
              <w:b/>
              <w:bCs/>
              <w:color w:val="auto"/>
              <w:u w:val="single"/>
            </w:rPr>
            <w:t>Conclusion</w:t>
          </w:r>
          <w:bookmarkEnd w:id="3"/>
          <w:r w:rsidR="00D854A5" w:rsidRPr="006019D5">
            <w:rPr>
              <w:b/>
              <w:bCs/>
              <w:color w:val="auto"/>
              <w:u w:val="single"/>
            </w:rPr>
            <w:t xml:space="preserve"> </w:t>
          </w:r>
          <w:bookmarkEnd w:id="2"/>
        </w:p>
        <w:p w14:paraId="598D017B" w14:textId="76772CA4" w:rsidR="006019D5" w:rsidRPr="006019D5" w:rsidRDefault="006019D5" w:rsidP="006019D5">
          <w:r w:rsidRPr="006019D5">
            <w:t>In conclusion, the transformation of Pembrokeshire County Council’s building maintenance department illustrates that successful organisational change is as much about human psychology as it is about operational logistics. By applying Lewin’s Force Field Analysis, it is evident that the pandemic acted as a powerful "unfreezing" catalyst, allowing the council to overcome long-standing inertia and bypass traditional, manual repair cycles in favour of a digital-first equilibrium. This transition was successfully managed because leadership prioritised Herzberg’s hygiene factors</w:t>
          </w:r>
          <w:r w:rsidR="001E723E">
            <w:t xml:space="preserve">, </w:t>
          </w:r>
          <w:r w:rsidRPr="006019D5">
            <w:t>specifically staff safety and job security</w:t>
          </w:r>
          <w:r w:rsidR="001E723E">
            <w:t xml:space="preserve"> </w:t>
          </w:r>
          <w:r w:rsidRPr="006019D5">
            <w:t>before introducing "motivators" like the </w:t>
          </w:r>
          <w:hyperlink r:id="rId23" w:tgtFrame="_blank" w:history="1">
            <w:r w:rsidRPr="006019D5">
              <w:t>Pembrokeshire Housing Online portal</w:t>
            </w:r>
          </w:hyperlink>
          <w:r w:rsidRPr="006019D5">
            <w:t> which empowered the workforce with greater autonomy and technical responsibility.</w:t>
          </w:r>
        </w:p>
        <w:p w14:paraId="117EA17B" w14:textId="1400006E" w:rsidR="006019D5" w:rsidRPr="006019D5" w:rsidRDefault="006019D5" w:rsidP="006019D5">
          <w:r w:rsidRPr="006019D5">
            <w:t>The move toward "Building Back Better" has resulted in a more agile, </w:t>
          </w:r>
          <w:hyperlink r:id="rId24" w:tgtFrame="_blank" w:history="1">
            <w:r w:rsidRPr="006019D5">
              <w:t>community-focused</w:t>
            </w:r>
          </w:hyperlink>
          <w:r w:rsidRPr="006019D5">
            <w:t> service model that is better integrated into the </w:t>
          </w:r>
          <w:hyperlink r:id="rId25" w:tgtFrame="_blank" w:history="1">
            <w:r w:rsidRPr="006019D5">
              <w:t>Pembrokeshire Corporate Strategy</w:t>
            </w:r>
          </w:hyperlink>
          <w:r w:rsidRPr="006019D5">
            <w:t>. However, the "refrozen" state remains a work in progress</w:t>
          </w:r>
          <w:r w:rsidR="001E723E">
            <w:t>.</w:t>
          </w:r>
          <w:r w:rsidRPr="006019D5">
            <w:t xml:space="preserve"> </w:t>
          </w:r>
          <w:r w:rsidR="001E723E">
            <w:t>T</w:t>
          </w:r>
          <w:r w:rsidRPr="006019D5">
            <w:t xml:space="preserve">o truly sustain this success, </w:t>
          </w:r>
          <w:r w:rsidR="001E723E" w:rsidRPr="006019D5">
            <w:t>Pembrokeshire County Council</w:t>
          </w:r>
          <w:r w:rsidRPr="006019D5">
            <w:t xml:space="preserve"> must now address the lingering maintenance backlog and mitigate the risks of digital exclusion for vulnerable residents. Ultimately, </w:t>
          </w:r>
          <w:r w:rsidR="001E723E" w:rsidRPr="006019D5">
            <w:t>Pembrokeshire County Council’s</w:t>
          </w:r>
          <w:r w:rsidRPr="006019D5">
            <w:t xml:space="preserve"> journey proves that when a local authority aligns driving forces with a genuine focus on employee motivation, it can turn a period of acute crisis into a permanent foundation for modern, resilient service delivery</w:t>
          </w:r>
          <w:r>
            <w:t>.</w:t>
          </w:r>
        </w:p>
        <w:p w14:paraId="618ED85F" w14:textId="77777777" w:rsidR="006019D5" w:rsidRPr="006019D5" w:rsidRDefault="006019D5" w:rsidP="006019D5"/>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C924378" w14:textId="77777777" w:rsidR="00AA2A91" w:rsidRDefault="00AA2A91" w:rsidP="00AA2A91"/>
        <w:p w14:paraId="12335BCA" w14:textId="77777777" w:rsidR="00AA2A91" w:rsidRDefault="00AA2A91" w:rsidP="00AA2A91"/>
        <w:p w14:paraId="57551E56" w14:textId="77777777" w:rsidR="00AA2A91" w:rsidRDefault="00AA2A91" w:rsidP="00AA2A91"/>
        <w:bookmarkStart w:id="4" w:name="_Toc223550515" w:displacedByCustomXml="next"/>
        <w:sdt>
          <w:sdtPr>
            <w:rPr>
              <w:rFonts w:asciiTheme="minorHAnsi" w:eastAsiaTheme="minorHAnsi" w:hAnsiTheme="minorHAnsi" w:cstheme="minorBidi"/>
              <w:color w:val="auto"/>
              <w:sz w:val="22"/>
              <w:szCs w:val="22"/>
            </w:rPr>
            <w:id w:val="-330137186"/>
            <w:docPartObj>
              <w:docPartGallery w:val="Bibliographies"/>
              <w:docPartUnique/>
            </w:docPartObj>
          </w:sdtPr>
          <w:sdtContent>
            <w:p w14:paraId="4F204C65" w14:textId="71481A67" w:rsidR="00720C03" w:rsidRPr="00CF55C9" w:rsidRDefault="00720C03">
              <w:pPr>
                <w:pStyle w:val="Heading1"/>
                <w:rPr>
                  <w:color w:val="auto"/>
                </w:rPr>
              </w:pPr>
              <w:r w:rsidRPr="00CF55C9">
                <w:rPr>
                  <w:color w:val="auto"/>
                </w:rPr>
                <w:t>Bibliography</w:t>
              </w:r>
              <w:bookmarkEnd w:id="4"/>
            </w:p>
            <w:sdt>
              <w:sdtPr>
                <w:id w:val="111145805"/>
                <w:bibliography/>
              </w:sdtPr>
              <w:sdtContent>
                <w:p w14:paraId="7B0DC778" w14:textId="77777777" w:rsidR="001E723E" w:rsidRDefault="00720C03" w:rsidP="001E723E">
                  <w:pPr>
                    <w:pStyle w:val="Bibliography"/>
                    <w:ind w:left="720" w:hanging="720"/>
                    <w:rPr>
                      <w:noProof/>
                      <w:sz w:val="24"/>
                      <w:szCs w:val="24"/>
                    </w:rPr>
                  </w:pPr>
                  <w:r>
                    <w:fldChar w:fldCharType="begin"/>
                  </w:r>
                  <w:r>
                    <w:instrText>BIBLIOGRAPHY</w:instrText>
                  </w:r>
                  <w:r>
                    <w:fldChar w:fldCharType="separate"/>
                  </w:r>
                  <w:r w:rsidR="001E723E">
                    <w:rPr>
                      <w:i/>
                      <w:iCs/>
                      <w:noProof/>
                    </w:rPr>
                    <w:t>Business.</w:t>
                  </w:r>
                  <w:r w:rsidR="001E723E">
                    <w:rPr>
                      <w:noProof/>
                    </w:rPr>
                    <w:t xml:space="preserve"> (2018, February 18). Retrieved from Lewin's Force Field Model (Change Management): https://www.tutor2u.net/business/reference/models-of-change-management-lewins-force-field-model?srsltid=AfmBOoqo-cx0q3yMyFYF9Ef8_YMl7yhYBeCoTrJlP5J-h8E1zBSREb9R</w:t>
                  </w:r>
                </w:p>
                <w:p w14:paraId="5AAA3C74" w14:textId="77777777" w:rsidR="001E723E" w:rsidRDefault="001E723E" w:rsidP="001E723E">
                  <w:pPr>
                    <w:pStyle w:val="Bibliography"/>
                    <w:ind w:left="720" w:hanging="720"/>
                    <w:rPr>
                      <w:noProof/>
                    </w:rPr>
                  </w:pPr>
                  <w:r>
                    <w:rPr>
                      <w:noProof/>
                    </w:rPr>
                    <w:t xml:space="preserve">council, P. c. (n.d.). </w:t>
                  </w:r>
                  <w:r>
                    <w:rPr>
                      <w:i/>
                      <w:iCs/>
                      <w:noProof/>
                    </w:rPr>
                    <w:t>New Housing Online service to report repairs launched for Pembrokeshire County Council tenants</w:t>
                  </w:r>
                  <w:r>
                    <w:rPr>
                      <w:noProof/>
                    </w:rPr>
                    <w:t>. Retrieved from https://newsroom.pembrokeshire.gov.uk/news/new-housing-online-service-to-report-repairs-launched-for-pembrokeshire-county-council-tenants</w:t>
                  </w:r>
                </w:p>
                <w:p w14:paraId="4FDE23B4" w14:textId="77777777" w:rsidR="001E723E" w:rsidRDefault="001E723E" w:rsidP="001E723E">
                  <w:pPr>
                    <w:pStyle w:val="Bibliography"/>
                    <w:ind w:left="720" w:hanging="720"/>
                    <w:rPr>
                      <w:noProof/>
                    </w:rPr>
                  </w:pPr>
                  <w:r>
                    <w:rPr>
                      <w:noProof/>
                    </w:rPr>
                    <w:t xml:space="preserve">Council, P. C. (n.d.). </w:t>
                  </w:r>
                  <w:r>
                    <w:rPr>
                      <w:i/>
                      <w:iCs/>
                      <w:noProof/>
                    </w:rPr>
                    <w:t>Pembrokeshire County Council</w:t>
                  </w:r>
                  <w:r>
                    <w:rPr>
                      <w:noProof/>
                    </w:rPr>
                    <w:t>. Retrieved from Report a Repair: Planned and Responsive Maintenance: www.pembrokeshire.gov.uk</w:t>
                  </w:r>
                </w:p>
                <w:p w14:paraId="180C8A02" w14:textId="77777777" w:rsidR="001E723E" w:rsidRDefault="001E723E" w:rsidP="001E723E">
                  <w:pPr>
                    <w:pStyle w:val="Bibliography"/>
                    <w:ind w:left="720" w:hanging="720"/>
                    <w:rPr>
                      <w:noProof/>
                    </w:rPr>
                  </w:pPr>
                  <w:r>
                    <w:rPr>
                      <w:noProof/>
                    </w:rPr>
                    <w:t xml:space="preserve">Fortner, K. (2024). </w:t>
                  </w:r>
                  <w:r>
                    <w:rPr>
                      <w:i/>
                      <w:iCs/>
                      <w:noProof/>
                    </w:rPr>
                    <w:t>Analysis of Indoor Airborne Infectious Disease Transmission .</w:t>
                  </w:r>
                  <w:r>
                    <w:rPr>
                      <w:noProof/>
                    </w:rPr>
                    <w:t xml:space="preserve"> Pennsylvania State University.</w:t>
                  </w:r>
                </w:p>
                <w:p w14:paraId="34172B7F" w14:textId="77777777" w:rsidR="001E723E" w:rsidRDefault="001E723E" w:rsidP="001E723E">
                  <w:pPr>
                    <w:pStyle w:val="Bibliography"/>
                    <w:ind w:left="720" w:hanging="720"/>
                    <w:rPr>
                      <w:noProof/>
                    </w:rPr>
                  </w:pPr>
                  <w:r>
                    <w:rPr>
                      <w:noProof/>
                    </w:rPr>
                    <w:t xml:space="preserve">Gov.uk. (2020, April 21). </w:t>
                  </w:r>
                  <w:r>
                    <w:rPr>
                      <w:i/>
                      <w:iCs/>
                      <w:noProof/>
                    </w:rPr>
                    <w:t>Application of the Building Regulations during the coronavirus (COVID-19) outbreak</w:t>
                  </w:r>
                  <w:r>
                    <w:rPr>
                      <w:noProof/>
                    </w:rPr>
                    <w:t>. Retrieved from Guidance for Building Control Bodies : https://www.gov.uk/guidance/application-of-the-building-regulations-during-the-coronavirus-covid-19-outbreak#:~:text=Where%20an%20approved%20inspector%20is,the%20format%20of%20relevant%20plans.</w:t>
                  </w:r>
                </w:p>
                <w:p w14:paraId="77EC6686" w14:textId="77777777" w:rsidR="001E723E" w:rsidRDefault="001E723E" w:rsidP="001E723E">
                  <w:pPr>
                    <w:pStyle w:val="Bibliography"/>
                    <w:ind w:left="720" w:hanging="720"/>
                    <w:rPr>
                      <w:noProof/>
                    </w:rPr>
                  </w:pPr>
                  <w:r>
                    <w:rPr>
                      <w:noProof/>
                    </w:rPr>
                    <w:t xml:space="preserve">Malik, P. (2025, December 9). </w:t>
                  </w:r>
                  <w:r>
                    <w:rPr>
                      <w:i/>
                      <w:iCs/>
                      <w:noProof/>
                    </w:rPr>
                    <w:t>Lewin’s 3-Stage Model of Change Theory: Overview.</w:t>
                  </w:r>
                  <w:r>
                    <w:rPr>
                      <w:noProof/>
                    </w:rPr>
                    <w:t xml:space="preserve"> Retrieved from Whatfix: https://whatfix.com/blog/lewins-change-model/</w:t>
                  </w:r>
                </w:p>
                <w:p w14:paraId="43261625" w14:textId="77777777" w:rsidR="001E723E" w:rsidRDefault="001E723E" w:rsidP="001E723E">
                  <w:pPr>
                    <w:pStyle w:val="Bibliography"/>
                    <w:ind w:left="720" w:hanging="720"/>
                    <w:rPr>
                      <w:noProof/>
                    </w:rPr>
                  </w:pPr>
                  <w:r>
                    <w:rPr>
                      <w:noProof/>
                    </w:rPr>
                    <w:t xml:space="preserve">six, S. (2024, April 23). </w:t>
                  </w:r>
                  <w:r>
                    <w:rPr>
                      <w:i/>
                      <w:iCs/>
                      <w:noProof/>
                    </w:rPr>
                    <w:t>Lewin’s Force Field Analysis in Change Management. What, Why, and How</w:t>
                  </w:r>
                  <w:r>
                    <w:rPr>
                      <w:noProof/>
                    </w:rPr>
                    <w:t>. Retrieved from Lean Six Sigma Training Certification: https://www.6sigma.us/six-sigma-in-focus/lewin-force-field-analysis-in-change-management/</w:t>
                  </w:r>
                </w:p>
                <w:p w14:paraId="251F9ADB" w14:textId="52250545" w:rsidR="00720C03" w:rsidRDefault="00720C03" w:rsidP="001E723E">
                  <w:r>
                    <w:rPr>
                      <w:b/>
                      <w:bCs/>
                    </w:rPr>
                    <w:fldChar w:fldCharType="end"/>
                  </w:r>
                </w:p>
              </w:sdtContent>
            </w:sdt>
          </w:sdtContent>
        </w:sdt>
        <w:p w14:paraId="77D69E6F" w14:textId="77777777" w:rsidR="004A11F6" w:rsidRPr="007D1947" w:rsidRDefault="004A11F6" w:rsidP="007D1947"/>
        <w:p w14:paraId="7F890C1F" w14:textId="77777777" w:rsidR="00CA09F3" w:rsidRDefault="00000000"/>
      </w:sdtContent>
    </w:sdt>
    <w:sectPr w:rsidR="00CA09F3" w:rsidSect="007D1947">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BCE2E0" w14:textId="77777777" w:rsidR="009D0B8A" w:rsidRDefault="009D0B8A" w:rsidP="00171DF7">
      <w:pPr>
        <w:spacing w:after="0" w:line="240" w:lineRule="auto"/>
      </w:pPr>
      <w:r>
        <w:separator/>
      </w:r>
    </w:p>
  </w:endnote>
  <w:endnote w:type="continuationSeparator" w:id="0">
    <w:p w14:paraId="1ED6595B" w14:textId="77777777" w:rsidR="009D0B8A" w:rsidRDefault="009D0B8A" w:rsidP="00171D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7146158"/>
      <w:docPartObj>
        <w:docPartGallery w:val="Page Numbers (Bottom of Page)"/>
        <w:docPartUnique/>
      </w:docPartObj>
    </w:sdtPr>
    <w:sdtEndPr>
      <w:rPr>
        <w:color w:val="7F7F7F" w:themeColor="background1" w:themeShade="7F"/>
        <w:spacing w:val="60"/>
      </w:rPr>
    </w:sdtEndPr>
    <w:sdtContent>
      <w:p w14:paraId="5C29F44C" w14:textId="71A9B8F4" w:rsidR="00E26746" w:rsidRDefault="00E26746">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27BEAFCD" w14:textId="77777777" w:rsidR="00E26746" w:rsidRDefault="00E267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409EBA" w14:textId="77777777" w:rsidR="009D0B8A" w:rsidRDefault="009D0B8A" w:rsidP="00171DF7">
      <w:pPr>
        <w:spacing w:after="0" w:line="240" w:lineRule="auto"/>
      </w:pPr>
      <w:r>
        <w:separator/>
      </w:r>
    </w:p>
  </w:footnote>
  <w:footnote w:type="continuationSeparator" w:id="0">
    <w:p w14:paraId="5218C15F" w14:textId="77777777" w:rsidR="009D0B8A" w:rsidRDefault="009D0B8A" w:rsidP="00171D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B78DB"/>
    <w:multiLevelType w:val="multilevel"/>
    <w:tmpl w:val="C648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94302C"/>
    <w:multiLevelType w:val="multilevel"/>
    <w:tmpl w:val="C648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A9737D"/>
    <w:multiLevelType w:val="multilevel"/>
    <w:tmpl w:val="C648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267C12"/>
    <w:multiLevelType w:val="multilevel"/>
    <w:tmpl w:val="44528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FC395B"/>
    <w:multiLevelType w:val="multilevel"/>
    <w:tmpl w:val="48045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FE17B5"/>
    <w:multiLevelType w:val="multilevel"/>
    <w:tmpl w:val="C648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986702"/>
    <w:multiLevelType w:val="hybridMultilevel"/>
    <w:tmpl w:val="2A80D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065091"/>
    <w:multiLevelType w:val="multilevel"/>
    <w:tmpl w:val="25545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35391B"/>
    <w:multiLevelType w:val="multilevel"/>
    <w:tmpl w:val="2140F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F20A84"/>
    <w:multiLevelType w:val="multilevel"/>
    <w:tmpl w:val="C648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AD408F"/>
    <w:multiLevelType w:val="multilevel"/>
    <w:tmpl w:val="C648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AF7858"/>
    <w:multiLevelType w:val="multilevel"/>
    <w:tmpl w:val="54EC6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4828D9"/>
    <w:multiLevelType w:val="multilevel"/>
    <w:tmpl w:val="C648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041295"/>
    <w:multiLevelType w:val="multilevel"/>
    <w:tmpl w:val="C648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303D67"/>
    <w:multiLevelType w:val="multilevel"/>
    <w:tmpl w:val="C648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142B93"/>
    <w:multiLevelType w:val="multilevel"/>
    <w:tmpl w:val="C648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4224AA"/>
    <w:multiLevelType w:val="multilevel"/>
    <w:tmpl w:val="C648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5C39BF"/>
    <w:multiLevelType w:val="multilevel"/>
    <w:tmpl w:val="C648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3A4495"/>
    <w:multiLevelType w:val="multilevel"/>
    <w:tmpl w:val="74681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C48325C"/>
    <w:multiLevelType w:val="multilevel"/>
    <w:tmpl w:val="44F84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B22AD2"/>
    <w:multiLevelType w:val="multilevel"/>
    <w:tmpl w:val="C648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287A35"/>
    <w:multiLevelType w:val="multilevel"/>
    <w:tmpl w:val="31526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286812"/>
    <w:multiLevelType w:val="multilevel"/>
    <w:tmpl w:val="C648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1C7972"/>
    <w:multiLevelType w:val="multilevel"/>
    <w:tmpl w:val="C648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CF7BF9"/>
    <w:multiLevelType w:val="multilevel"/>
    <w:tmpl w:val="921E0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4B1672"/>
    <w:multiLevelType w:val="multilevel"/>
    <w:tmpl w:val="9BF6A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C61E80"/>
    <w:multiLevelType w:val="multilevel"/>
    <w:tmpl w:val="C648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EA7AC8"/>
    <w:multiLevelType w:val="multilevel"/>
    <w:tmpl w:val="C648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A53225"/>
    <w:multiLevelType w:val="multilevel"/>
    <w:tmpl w:val="C648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4C076D"/>
    <w:multiLevelType w:val="hybridMultilevel"/>
    <w:tmpl w:val="9ACC25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80F2CAE"/>
    <w:multiLevelType w:val="multilevel"/>
    <w:tmpl w:val="A23E9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F20723"/>
    <w:multiLevelType w:val="multilevel"/>
    <w:tmpl w:val="C648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7352176">
    <w:abstractNumId w:val="11"/>
  </w:num>
  <w:num w:numId="2" w16cid:durableId="1117068645">
    <w:abstractNumId w:val="3"/>
  </w:num>
  <w:num w:numId="3" w16cid:durableId="1817062206">
    <w:abstractNumId w:val="24"/>
  </w:num>
  <w:num w:numId="4" w16cid:durableId="987322839">
    <w:abstractNumId w:val="8"/>
  </w:num>
  <w:num w:numId="5" w16cid:durableId="1907102998">
    <w:abstractNumId w:val="19"/>
  </w:num>
  <w:num w:numId="6" w16cid:durableId="266473070">
    <w:abstractNumId w:val="4"/>
  </w:num>
  <w:num w:numId="7" w16cid:durableId="1573735047">
    <w:abstractNumId w:val="21"/>
  </w:num>
  <w:num w:numId="8" w16cid:durableId="1149175061">
    <w:abstractNumId w:val="20"/>
  </w:num>
  <w:num w:numId="9" w16cid:durableId="800658118">
    <w:abstractNumId w:val="7"/>
  </w:num>
  <w:num w:numId="10" w16cid:durableId="2120175101">
    <w:abstractNumId w:val="30"/>
  </w:num>
  <w:num w:numId="11" w16cid:durableId="302585949">
    <w:abstractNumId w:val="29"/>
  </w:num>
  <w:num w:numId="12" w16cid:durableId="1542403091">
    <w:abstractNumId w:val="23"/>
  </w:num>
  <w:num w:numId="13" w16cid:durableId="1899242357">
    <w:abstractNumId w:val="31"/>
  </w:num>
  <w:num w:numId="14" w16cid:durableId="1047031274">
    <w:abstractNumId w:val="0"/>
  </w:num>
  <w:num w:numId="15" w16cid:durableId="58989479">
    <w:abstractNumId w:val="28"/>
  </w:num>
  <w:num w:numId="16" w16cid:durableId="1284657472">
    <w:abstractNumId w:val="1"/>
  </w:num>
  <w:num w:numId="17" w16cid:durableId="763188464">
    <w:abstractNumId w:val="13"/>
  </w:num>
  <w:num w:numId="18" w16cid:durableId="1092897397">
    <w:abstractNumId w:val="14"/>
  </w:num>
  <w:num w:numId="19" w16cid:durableId="1669819822">
    <w:abstractNumId w:val="2"/>
  </w:num>
  <w:num w:numId="20" w16cid:durableId="1645045174">
    <w:abstractNumId w:val="12"/>
  </w:num>
  <w:num w:numId="21" w16cid:durableId="487526576">
    <w:abstractNumId w:val="26"/>
  </w:num>
  <w:num w:numId="22" w16cid:durableId="172107949">
    <w:abstractNumId w:val="15"/>
  </w:num>
  <w:num w:numId="23" w16cid:durableId="1836141493">
    <w:abstractNumId w:val="10"/>
  </w:num>
  <w:num w:numId="24" w16cid:durableId="1501038732">
    <w:abstractNumId w:val="5"/>
  </w:num>
  <w:num w:numId="25" w16cid:durableId="533933084">
    <w:abstractNumId w:val="27"/>
  </w:num>
  <w:num w:numId="26" w16cid:durableId="1669820935">
    <w:abstractNumId w:val="16"/>
  </w:num>
  <w:num w:numId="27" w16cid:durableId="117191617">
    <w:abstractNumId w:val="9"/>
  </w:num>
  <w:num w:numId="28" w16cid:durableId="1997298796">
    <w:abstractNumId w:val="22"/>
  </w:num>
  <w:num w:numId="29" w16cid:durableId="712852636">
    <w:abstractNumId w:val="17"/>
  </w:num>
  <w:num w:numId="30" w16cid:durableId="399249381">
    <w:abstractNumId w:val="25"/>
  </w:num>
  <w:num w:numId="31" w16cid:durableId="870991797">
    <w:abstractNumId w:val="18"/>
  </w:num>
  <w:num w:numId="32" w16cid:durableId="86798920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2C6"/>
    <w:rsid w:val="00051655"/>
    <w:rsid w:val="000B604F"/>
    <w:rsid w:val="00107936"/>
    <w:rsid w:val="00115B96"/>
    <w:rsid w:val="00166B70"/>
    <w:rsid w:val="00171DF7"/>
    <w:rsid w:val="001E723E"/>
    <w:rsid w:val="00265389"/>
    <w:rsid w:val="00292977"/>
    <w:rsid w:val="002F0D16"/>
    <w:rsid w:val="00321E32"/>
    <w:rsid w:val="00324CCD"/>
    <w:rsid w:val="00351B72"/>
    <w:rsid w:val="00372175"/>
    <w:rsid w:val="003B48BA"/>
    <w:rsid w:val="003D6E20"/>
    <w:rsid w:val="0041100F"/>
    <w:rsid w:val="004315C3"/>
    <w:rsid w:val="004333E1"/>
    <w:rsid w:val="00471C45"/>
    <w:rsid w:val="00480872"/>
    <w:rsid w:val="004A11F6"/>
    <w:rsid w:val="004D519C"/>
    <w:rsid w:val="004E609A"/>
    <w:rsid w:val="004F1501"/>
    <w:rsid w:val="005014C5"/>
    <w:rsid w:val="005122DC"/>
    <w:rsid w:val="005340F3"/>
    <w:rsid w:val="005B3E69"/>
    <w:rsid w:val="006019D5"/>
    <w:rsid w:val="00693E27"/>
    <w:rsid w:val="00720C03"/>
    <w:rsid w:val="00782DFD"/>
    <w:rsid w:val="007A0312"/>
    <w:rsid w:val="007D1947"/>
    <w:rsid w:val="007F2A11"/>
    <w:rsid w:val="008977CC"/>
    <w:rsid w:val="008D4C45"/>
    <w:rsid w:val="009149A7"/>
    <w:rsid w:val="00931CAA"/>
    <w:rsid w:val="009B0547"/>
    <w:rsid w:val="009D0B8A"/>
    <w:rsid w:val="009D6226"/>
    <w:rsid w:val="00A12B58"/>
    <w:rsid w:val="00A17C4A"/>
    <w:rsid w:val="00A4233F"/>
    <w:rsid w:val="00A62E0D"/>
    <w:rsid w:val="00AA2A91"/>
    <w:rsid w:val="00B01A19"/>
    <w:rsid w:val="00B31427"/>
    <w:rsid w:val="00B629C2"/>
    <w:rsid w:val="00B720E9"/>
    <w:rsid w:val="00BD7CA6"/>
    <w:rsid w:val="00BF4376"/>
    <w:rsid w:val="00CA09F3"/>
    <w:rsid w:val="00CF55C9"/>
    <w:rsid w:val="00D5015B"/>
    <w:rsid w:val="00D854A5"/>
    <w:rsid w:val="00DB10B4"/>
    <w:rsid w:val="00E0140F"/>
    <w:rsid w:val="00E26746"/>
    <w:rsid w:val="00E861E3"/>
    <w:rsid w:val="00E91208"/>
    <w:rsid w:val="00EA70A5"/>
    <w:rsid w:val="00EF61B0"/>
    <w:rsid w:val="00F12A1D"/>
    <w:rsid w:val="00F14129"/>
    <w:rsid w:val="00FD3987"/>
    <w:rsid w:val="00FF61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C03"/>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F61B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semiHidden/>
    <w:rsid w:val="00EF61B0"/>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171DF7"/>
    <w:rPr>
      <w:rFonts w:ascii="Times New Roman" w:hAnsi="Times New Roman" w:cs="Times New Roman"/>
      <w:sz w:val="24"/>
      <w:szCs w:val="24"/>
    </w:rPr>
  </w:style>
  <w:style w:type="paragraph" w:styleId="Header">
    <w:name w:val="header"/>
    <w:basedOn w:val="Normal"/>
    <w:link w:val="HeaderChar"/>
    <w:uiPriority w:val="99"/>
    <w:unhideWhenUsed/>
    <w:rsid w:val="00171D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1DF7"/>
  </w:style>
  <w:style w:type="paragraph" w:styleId="Footer">
    <w:name w:val="footer"/>
    <w:basedOn w:val="Normal"/>
    <w:link w:val="FooterChar"/>
    <w:uiPriority w:val="99"/>
    <w:unhideWhenUsed/>
    <w:rsid w:val="00171D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1DF7"/>
  </w:style>
  <w:style w:type="paragraph" w:styleId="ListParagraph">
    <w:name w:val="List Paragraph"/>
    <w:basedOn w:val="Normal"/>
    <w:uiPriority w:val="34"/>
    <w:qFormat/>
    <w:rsid w:val="00E26746"/>
    <w:pPr>
      <w:ind w:left="720"/>
      <w:contextualSpacing/>
    </w:pPr>
  </w:style>
  <w:style w:type="character" w:styleId="UnresolvedMention">
    <w:name w:val="Unresolved Mention"/>
    <w:basedOn w:val="DefaultParagraphFont"/>
    <w:uiPriority w:val="99"/>
    <w:semiHidden/>
    <w:unhideWhenUsed/>
    <w:rsid w:val="00EA70A5"/>
    <w:rPr>
      <w:color w:val="605E5C"/>
      <w:shd w:val="clear" w:color="auto" w:fill="E1DFDD"/>
    </w:rPr>
  </w:style>
  <w:style w:type="paragraph" w:styleId="Bibliography">
    <w:name w:val="Bibliography"/>
    <w:basedOn w:val="Normal"/>
    <w:next w:val="Normal"/>
    <w:uiPriority w:val="37"/>
    <w:unhideWhenUsed/>
    <w:rsid w:val="00720C03"/>
  </w:style>
  <w:style w:type="paragraph" w:styleId="TOC3">
    <w:name w:val="toc 3"/>
    <w:basedOn w:val="Normal"/>
    <w:next w:val="Normal"/>
    <w:autoRedefine/>
    <w:uiPriority w:val="39"/>
    <w:unhideWhenUsed/>
    <w:rsid w:val="00351B72"/>
    <w:pPr>
      <w:spacing w:after="100"/>
      <w:ind w:left="440"/>
    </w:pPr>
    <w:rPr>
      <w:rFonts w:eastAsiaTheme="minorEastAsia"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16457">
      <w:bodyDiv w:val="1"/>
      <w:marLeft w:val="0"/>
      <w:marRight w:val="0"/>
      <w:marTop w:val="0"/>
      <w:marBottom w:val="0"/>
      <w:divBdr>
        <w:top w:val="none" w:sz="0" w:space="0" w:color="auto"/>
        <w:left w:val="none" w:sz="0" w:space="0" w:color="auto"/>
        <w:bottom w:val="none" w:sz="0" w:space="0" w:color="auto"/>
        <w:right w:val="none" w:sz="0" w:space="0" w:color="auto"/>
      </w:divBdr>
    </w:div>
    <w:div w:id="5177974">
      <w:bodyDiv w:val="1"/>
      <w:marLeft w:val="0"/>
      <w:marRight w:val="0"/>
      <w:marTop w:val="0"/>
      <w:marBottom w:val="0"/>
      <w:divBdr>
        <w:top w:val="none" w:sz="0" w:space="0" w:color="auto"/>
        <w:left w:val="none" w:sz="0" w:space="0" w:color="auto"/>
        <w:bottom w:val="none" w:sz="0" w:space="0" w:color="auto"/>
        <w:right w:val="none" w:sz="0" w:space="0" w:color="auto"/>
      </w:divBdr>
    </w:div>
    <w:div w:id="14505743">
      <w:bodyDiv w:val="1"/>
      <w:marLeft w:val="0"/>
      <w:marRight w:val="0"/>
      <w:marTop w:val="0"/>
      <w:marBottom w:val="0"/>
      <w:divBdr>
        <w:top w:val="none" w:sz="0" w:space="0" w:color="auto"/>
        <w:left w:val="none" w:sz="0" w:space="0" w:color="auto"/>
        <w:bottom w:val="none" w:sz="0" w:space="0" w:color="auto"/>
        <w:right w:val="none" w:sz="0" w:space="0" w:color="auto"/>
      </w:divBdr>
    </w:div>
    <w:div w:id="133834892">
      <w:bodyDiv w:val="1"/>
      <w:marLeft w:val="0"/>
      <w:marRight w:val="0"/>
      <w:marTop w:val="0"/>
      <w:marBottom w:val="0"/>
      <w:divBdr>
        <w:top w:val="none" w:sz="0" w:space="0" w:color="auto"/>
        <w:left w:val="none" w:sz="0" w:space="0" w:color="auto"/>
        <w:bottom w:val="none" w:sz="0" w:space="0" w:color="auto"/>
        <w:right w:val="none" w:sz="0" w:space="0" w:color="auto"/>
      </w:divBdr>
    </w:div>
    <w:div w:id="169761703">
      <w:bodyDiv w:val="1"/>
      <w:marLeft w:val="0"/>
      <w:marRight w:val="0"/>
      <w:marTop w:val="0"/>
      <w:marBottom w:val="0"/>
      <w:divBdr>
        <w:top w:val="none" w:sz="0" w:space="0" w:color="auto"/>
        <w:left w:val="none" w:sz="0" w:space="0" w:color="auto"/>
        <w:bottom w:val="none" w:sz="0" w:space="0" w:color="auto"/>
        <w:right w:val="none" w:sz="0" w:space="0" w:color="auto"/>
      </w:divBdr>
    </w:div>
    <w:div w:id="217785617">
      <w:bodyDiv w:val="1"/>
      <w:marLeft w:val="0"/>
      <w:marRight w:val="0"/>
      <w:marTop w:val="0"/>
      <w:marBottom w:val="0"/>
      <w:divBdr>
        <w:top w:val="none" w:sz="0" w:space="0" w:color="auto"/>
        <w:left w:val="none" w:sz="0" w:space="0" w:color="auto"/>
        <w:bottom w:val="none" w:sz="0" w:space="0" w:color="auto"/>
        <w:right w:val="none" w:sz="0" w:space="0" w:color="auto"/>
      </w:divBdr>
    </w:div>
    <w:div w:id="326595398">
      <w:bodyDiv w:val="1"/>
      <w:marLeft w:val="0"/>
      <w:marRight w:val="0"/>
      <w:marTop w:val="0"/>
      <w:marBottom w:val="0"/>
      <w:divBdr>
        <w:top w:val="none" w:sz="0" w:space="0" w:color="auto"/>
        <w:left w:val="none" w:sz="0" w:space="0" w:color="auto"/>
        <w:bottom w:val="none" w:sz="0" w:space="0" w:color="auto"/>
        <w:right w:val="none" w:sz="0" w:space="0" w:color="auto"/>
      </w:divBdr>
    </w:div>
    <w:div w:id="335494899">
      <w:bodyDiv w:val="1"/>
      <w:marLeft w:val="0"/>
      <w:marRight w:val="0"/>
      <w:marTop w:val="0"/>
      <w:marBottom w:val="0"/>
      <w:divBdr>
        <w:top w:val="none" w:sz="0" w:space="0" w:color="auto"/>
        <w:left w:val="none" w:sz="0" w:space="0" w:color="auto"/>
        <w:bottom w:val="none" w:sz="0" w:space="0" w:color="auto"/>
        <w:right w:val="none" w:sz="0" w:space="0" w:color="auto"/>
      </w:divBdr>
    </w:div>
    <w:div w:id="390421681">
      <w:bodyDiv w:val="1"/>
      <w:marLeft w:val="0"/>
      <w:marRight w:val="0"/>
      <w:marTop w:val="0"/>
      <w:marBottom w:val="0"/>
      <w:divBdr>
        <w:top w:val="none" w:sz="0" w:space="0" w:color="auto"/>
        <w:left w:val="none" w:sz="0" w:space="0" w:color="auto"/>
        <w:bottom w:val="none" w:sz="0" w:space="0" w:color="auto"/>
        <w:right w:val="none" w:sz="0" w:space="0" w:color="auto"/>
      </w:divBdr>
    </w:div>
    <w:div w:id="430517245">
      <w:bodyDiv w:val="1"/>
      <w:marLeft w:val="0"/>
      <w:marRight w:val="0"/>
      <w:marTop w:val="0"/>
      <w:marBottom w:val="0"/>
      <w:divBdr>
        <w:top w:val="none" w:sz="0" w:space="0" w:color="auto"/>
        <w:left w:val="none" w:sz="0" w:space="0" w:color="auto"/>
        <w:bottom w:val="none" w:sz="0" w:space="0" w:color="auto"/>
        <w:right w:val="none" w:sz="0" w:space="0" w:color="auto"/>
      </w:divBdr>
    </w:div>
    <w:div w:id="518616640">
      <w:bodyDiv w:val="1"/>
      <w:marLeft w:val="0"/>
      <w:marRight w:val="0"/>
      <w:marTop w:val="0"/>
      <w:marBottom w:val="0"/>
      <w:divBdr>
        <w:top w:val="none" w:sz="0" w:space="0" w:color="auto"/>
        <w:left w:val="none" w:sz="0" w:space="0" w:color="auto"/>
        <w:bottom w:val="none" w:sz="0" w:space="0" w:color="auto"/>
        <w:right w:val="none" w:sz="0" w:space="0" w:color="auto"/>
      </w:divBdr>
    </w:div>
    <w:div w:id="520241543">
      <w:bodyDiv w:val="1"/>
      <w:marLeft w:val="0"/>
      <w:marRight w:val="0"/>
      <w:marTop w:val="0"/>
      <w:marBottom w:val="0"/>
      <w:divBdr>
        <w:top w:val="none" w:sz="0" w:space="0" w:color="auto"/>
        <w:left w:val="none" w:sz="0" w:space="0" w:color="auto"/>
        <w:bottom w:val="none" w:sz="0" w:space="0" w:color="auto"/>
        <w:right w:val="none" w:sz="0" w:space="0" w:color="auto"/>
      </w:divBdr>
    </w:div>
    <w:div w:id="616303189">
      <w:bodyDiv w:val="1"/>
      <w:marLeft w:val="0"/>
      <w:marRight w:val="0"/>
      <w:marTop w:val="0"/>
      <w:marBottom w:val="0"/>
      <w:divBdr>
        <w:top w:val="none" w:sz="0" w:space="0" w:color="auto"/>
        <w:left w:val="none" w:sz="0" w:space="0" w:color="auto"/>
        <w:bottom w:val="none" w:sz="0" w:space="0" w:color="auto"/>
        <w:right w:val="none" w:sz="0" w:space="0" w:color="auto"/>
      </w:divBdr>
    </w:div>
    <w:div w:id="704646682">
      <w:bodyDiv w:val="1"/>
      <w:marLeft w:val="0"/>
      <w:marRight w:val="0"/>
      <w:marTop w:val="0"/>
      <w:marBottom w:val="0"/>
      <w:divBdr>
        <w:top w:val="none" w:sz="0" w:space="0" w:color="auto"/>
        <w:left w:val="none" w:sz="0" w:space="0" w:color="auto"/>
        <w:bottom w:val="none" w:sz="0" w:space="0" w:color="auto"/>
        <w:right w:val="none" w:sz="0" w:space="0" w:color="auto"/>
      </w:divBdr>
    </w:div>
    <w:div w:id="925575442">
      <w:bodyDiv w:val="1"/>
      <w:marLeft w:val="0"/>
      <w:marRight w:val="0"/>
      <w:marTop w:val="0"/>
      <w:marBottom w:val="0"/>
      <w:divBdr>
        <w:top w:val="none" w:sz="0" w:space="0" w:color="auto"/>
        <w:left w:val="none" w:sz="0" w:space="0" w:color="auto"/>
        <w:bottom w:val="none" w:sz="0" w:space="0" w:color="auto"/>
        <w:right w:val="none" w:sz="0" w:space="0" w:color="auto"/>
      </w:divBdr>
    </w:div>
    <w:div w:id="974795144">
      <w:bodyDiv w:val="1"/>
      <w:marLeft w:val="0"/>
      <w:marRight w:val="0"/>
      <w:marTop w:val="0"/>
      <w:marBottom w:val="0"/>
      <w:divBdr>
        <w:top w:val="none" w:sz="0" w:space="0" w:color="auto"/>
        <w:left w:val="none" w:sz="0" w:space="0" w:color="auto"/>
        <w:bottom w:val="none" w:sz="0" w:space="0" w:color="auto"/>
        <w:right w:val="none" w:sz="0" w:space="0" w:color="auto"/>
      </w:divBdr>
    </w:div>
    <w:div w:id="983388526">
      <w:bodyDiv w:val="1"/>
      <w:marLeft w:val="0"/>
      <w:marRight w:val="0"/>
      <w:marTop w:val="0"/>
      <w:marBottom w:val="0"/>
      <w:divBdr>
        <w:top w:val="none" w:sz="0" w:space="0" w:color="auto"/>
        <w:left w:val="none" w:sz="0" w:space="0" w:color="auto"/>
        <w:bottom w:val="none" w:sz="0" w:space="0" w:color="auto"/>
        <w:right w:val="none" w:sz="0" w:space="0" w:color="auto"/>
      </w:divBdr>
    </w:div>
    <w:div w:id="1083719821">
      <w:bodyDiv w:val="1"/>
      <w:marLeft w:val="0"/>
      <w:marRight w:val="0"/>
      <w:marTop w:val="0"/>
      <w:marBottom w:val="0"/>
      <w:divBdr>
        <w:top w:val="none" w:sz="0" w:space="0" w:color="auto"/>
        <w:left w:val="none" w:sz="0" w:space="0" w:color="auto"/>
        <w:bottom w:val="none" w:sz="0" w:space="0" w:color="auto"/>
        <w:right w:val="none" w:sz="0" w:space="0" w:color="auto"/>
      </w:divBdr>
    </w:div>
    <w:div w:id="1121218688">
      <w:bodyDiv w:val="1"/>
      <w:marLeft w:val="0"/>
      <w:marRight w:val="0"/>
      <w:marTop w:val="0"/>
      <w:marBottom w:val="0"/>
      <w:divBdr>
        <w:top w:val="none" w:sz="0" w:space="0" w:color="auto"/>
        <w:left w:val="none" w:sz="0" w:space="0" w:color="auto"/>
        <w:bottom w:val="none" w:sz="0" w:space="0" w:color="auto"/>
        <w:right w:val="none" w:sz="0" w:space="0" w:color="auto"/>
      </w:divBdr>
    </w:div>
    <w:div w:id="1149638615">
      <w:bodyDiv w:val="1"/>
      <w:marLeft w:val="0"/>
      <w:marRight w:val="0"/>
      <w:marTop w:val="0"/>
      <w:marBottom w:val="0"/>
      <w:divBdr>
        <w:top w:val="none" w:sz="0" w:space="0" w:color="auto"/>
        <w:left w:val="none" w:sz="0" w:space="0" w:color="auto"/>
        <w:bottom w:val="none" w:sz="0" w:space="0" w:color="auto"/>
        <w:right w:val="none" w:sz="0" w:space="0" w:color="auto"/>
      </w:divBdr>
    </w:div>
    <w:div w:id="1345860468">
      <w:bodyDiv w:val="1"/>
      <w:marLeft w:val="0"/>
      <w:marRight w:val="0"/>
      <w:marTop w:val="0"/>
      <w:marBottom w:val="0"/>
      <w:divBdr>
        <w:top w:val="none" w:sz="0" w:space="0" w:color="auto"/>
        <w:left w:val="none" w:sz="0" w:space="0" w:color="auto"/>
        <w:bottom w:val="none" w:sz="0" w:space="0" w:color="auto"/>
        <w:right w:val="none" w:sz="0" w:space="0" w:color="auto"/>
      </w:divBdr>
    </w:div>
    <w:div w:id="1491405920">
      <w:bodyDiv w:val="1"/>
      <w:marLeft w:val="0"/>
      <w:marRight w:val="0"/>
      <w:marTop w:val="0"/>
      <w:marBottom w:val="0"/>
      <w:divBdr>
        <w:top w:val="none" w:sz="0" w:space="0" w:color="auto"/>
        <w:left w:val="none" w:sz="0" w:space="0" w:color="auto"/>
        <w:bottom w:val="none" w:sz="0" w:space="0" w:color="auto"/>
        <w:right w:val="none" w:sz="0" w:space="0" w:color="auto"/>
      </w:divBdr>
    </w:div>
    <w:div w:id="1497963661">
      <w:bodyDiv w:val="1"/>
      <w:marLeft w:val="0"/>
      <w:marRight w:val="0"/>
      <w:marTop w:val="0"/>
      <w:marBottom w:val="0"/>
      <w:divBdr>
        <w:top w:val="none" w:sz="0" w:space="0" w:color="auto"/>
        <w:left w:val="none" w:sz="0" w:space="0" w:color="auto"/>
        <w:bottom w:val="none" w:sz="0" w:space="0" w:color="auto"/>
        <w:right w:val="none" w:sz="0" w:space="0" w:color="auto"/>
      </w:divBdr>
    </w:div>
    <w:div w:id="1500391877">
      <w:bodyDiv w:val="1"/>
      <w:marLeft w:val="0"/>
      <w:marRight w:val="0"/>
      <w:marTop w:val="0"/>
      <w:marBottom w:val="0"/>
      <w:divBdr>
        <w:top w:val="none" w:sz="0" w:space="0" w:color="auto"/>
        <w:left w:val="none" w:sz="0" w:space="0" w:color="auto"/>
        <w:bottom w:val="none" w:sz="0" w:space="0" w:color="auto"/>
        <w:right w:val="none" w:sz="0" w:space="0" w:color="auto"/>
      </w:divBdr>
    </w:div>
    <w:div w:id="1630283177">
      <w:bodyDiv w:val="1"/>
      <w:marLeft w:val="0"/>
      <w:marRight w:val="0"/>
      <w:marTop w:val="0"/>
      <w:marBottom w:val="0"/>
      <w:divBdr>
        <w:top w:val="none" w:sz="0" w:space="0" w:color="auto"/>
        <w:left w:val="none" w:sz="0" w:space="0" w:color="auto"/>
        <w:bottom w:val="none" w:sz="0" w:space="0" w:color="auto"/>
        <w:right w:val="none" w:sz="0" w:space="0" w:color="auto"/>
      </w:divBdr>
    </w:div>
    <w:div w:id="1690328075">
      <w:bodyDiv w:val="1"/>
      <w:marLeft w:val="0"/>
      <w:marRight w:val="0"/>
      <w:marTop w:val="0"/>
      <w:marBottom w:val="0"/>
      <w:divBdr>
        <w:top w:val="none" w:sz="0" w:space="0" w:color="auto"/>
        <w:left w:val="none" w:sz="0" w:space="0" w:color="auto"/>
        <w:bottom w:val="none" w:sz="0" w:space="0" w:color="auto"/>
        <w:right w:val="none" w:sz="0" w:space="0" w:color="auto"/>
      </w:divBdr>
    </w:div>
    <w:div w:id="1752312497">
      <w:bodyDiv w:val="1"/>
      <w:marLeft w:val="0"/>
      <w:marRight w:val="0"/>
      <w:marTop w:val="0"/>
      <w:marBottom w:val="0"/>
      <w:divBdr>
        <w:top w:val="none" w:sz="0" w:space="0" w:color="auto"/>
        <w:left w:val="none" w:sz="0" w:space="0" w:color="auto"/>
        <w:bottom w:val="none" w:sz="0" w:space="0" w:color="auto"/>
        <w:right w:val="none" w:sz="0" w:space="0" w:color="auto"/>
      </w:divBdr>
    </w:div>
    <w:div w:id="1753770833">
      <w:bodyDiv w:val="1"/>
      <w:marLeft w:val="0"/>
      <w:marRight w:val="0"/>
      <w:marTop w:val="0"/>
      <w:marBottom w:val="0"/>
      <w:divBdr>
        <w:top w:val="none" w:sz="0" w:space="0" w:color="auto"/>
        <w:left w:val="none" w:sz="0" w:space="0" w:color="auto"/>
        <w:bottom w:val="none" w:sz="0" w:space="0" w:color="auto"/>
        <w:right w:val="none" w:sz="0" w:space="0" w:color="auto"/>
      </w:divBdr>
    </w:div>
    <w:div w:id="1780290991">
      <w:bodyDiv w:val="1"/>
      <w:marLeft w:val="0"/>
      <w:marRight w:val="0"/>
      <w:marTop w:val="0"/>
      <w:marBottom w:val="0"/>
      <w:divBdr>
        <w:top w:val="none" w:sz="0" w:space="0" w:color="auto"/>
        <w:left w:val="none" w:sz="0" w:space="0" w:color="auto"/>
        <w:bottom w:val="none" w:sz="0" w:space="0" w:color="auto"/>
        <w:right w:val="none" w:sz="0" w:space="0" w:color="auto"/>
      </w:divBdr>
    </w:div>
    <w:div w:id="1784759864">
      <w:bodyDiv w:val="1"/>
      <w:marLeft w:val="0"/>
      <w:marRight w:val="0"/>
      <w:marTop w:val="0"/>
      <w:marBottom w:val="0"/>
      <w:divBdr>
        <w:top w:val="none" w:sz="0" w:space="0" w:color="auto"/>
        <w:left w:val="none" w:sz="0" w:space="0" w:color="auto"/>
        <w:bottom w:val="none" w:sz="0" w:space="0" w:color="auto"/>
        <w:right w:val="none" w:sz="0" w:space="0" w:color="auto"/>
      </w:divBdr>
    </w:div>
    <w:div w:id="1854415230">
      <w:bodyDiv w:val="1"/>
      <w:marLeft w:val="0"/>
      <w:marRight w:val="0"/>
      <w:marTop w:val="0"/>
      <w:marBottom w:val="0"/>
      <w:divBdr>
        <w:top w:val="none" w:sz="0" w:space="0" w:color="auto"/>
        <w:left w:val="none" w:sz="0" w:space="0" w:color="auto"/>
        <w:bottom w:val="none" w:sz="0" w:space="0" w:color="auto"/>
        <w:right w:val="none" w:sz="0" w:space="0" w:color="auto"/>
      </w:divBdr>
    </w:div>
    <w:div w:id="2000839290">
      <w:bodyDiv w:val="1"/>
      <w:marLeft w:val="0"/>
      <w:marRight w:val="0"/>
      <w:marTop w:val="0"/>
      <w:marBottom w:val="0"/>
      <w:divBdr>
        <w:top w:val="none" w:sz="0" w:space="0" w:color="auto"/>
        <w:left w:val="none" w:sz="0" w:space="0" w:color="auto"/>
        <w:bottom w:val="none" w:sz="0" w:space="0" w:color="auto"/>
        <w:right w:val="none" w:sz="0" w:space="0" w:color="auto"/>
      </w:divBdr>
    </w:div>
    <w:div w:id="2097940142">
      <w:bodyDiv w:val="1"/>
      <w:marLeft w:val="0"/>
      <w:marRight w:val="0"/>
      <w:marTop w:val="0"/>
      <w:marBottom w:val="0"/>
      <w:divBdr>
        <w:top w:val="none" w:sz="0" w:space="0" w:color="auto"/>
        <w:left w:val="none" w:sz="0" w:space="0" w:color="auto"/>
        <w:bottom w:val="none" w:sz="0" w:space="0" w:color="auto"/>
        <w:right w:val="none" w:sz="0" w:space="0" w:color="auto"/>
      </w:divBdr>
    </w:div>
    <w:div w:id="2122869274">
      <w:bodyDiv w:val="1"/>
      <w:marLeft w:val="0"/>
      <w:marRight w:val="0"/>
      <w:marTop w:val="0"/>
      <w:marBottom w:val="0"/>
      <w:divBdr>
        <w:top w:val="none" w:sz="0" w:space="0" w:color="auto"/>
        <w:left w:val="none" w:sz="0" w:space="0" w:color="auto"/>
        <w:bottom w:val="none" w:sz="0" w:space="0" w:color="auto"/>
        <w:right w:val="none" w:sz="0" w:space="0" w:color="auto"/>
      </w:divBdr>
    </w:div>
    <w:div w:id="2145269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embrokeshire.gov.uk/newsroom/community-hub-staff-kindness-helps-keep-couple-connected" TargetMode="External"/><Relationship Id="rId18" Type="http://schemas.openxmlformats.org/officeDocument/2006/relationships/hyperlink" Target="https://www.pembrokeshire.gov.uk/newsroom/community-hub-staff-kindness-helps-keep-couple-connected"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pembrokeshire.gov.uk/corporate-strategy-2025-30" TargetMode="External"/><Relationship Id="rId7" Type="http://schemas.openxmlformats.org/officeDocument/2006/relationships/endnotes" Target="endnotes.xml"/><Relationship Id="rId12" Type="http://schemas.openxmlformats.org/officeDocument/2006/relationships/hyperlink" Target="https://www.pembrokeshire.gov.uk/corporate-strategy-2025-30" TargetMode="External"/><Relationship Id="rId17" Type="http://schemas.openxmlformats.org/officeDocument/2006/relationships/hyperlink" Target="https://www.pembrokeshire.gov.uk/housing-strategy/setting-the-scene-and8211-pembrokeshires-strategic-priorities" TargetMode="External"/><Relationship Id="rId25" Type="http://schemas.openxmlformats.org/officeDocument/2006/relationships/hyperlink" Target="https://www.pembrokeshire.gov.uk/corporate-strategy-2025-30" TargetMode="External"/><Relationship Id="rId2" Type="http://schemas.openxmlformats.org/officeDocument/2006/relationships/numbering" Target="numbering.xml"/><Relationship Id="rId16" Type="http://schemas.openxmlformats.org/officeDocument/2006/relationships/hyperlink" Target="https://www.pembrokeshire.gov.uk/corporate-strategy-2025-30" TargetMode="External"/><Relationship Id="rId20" Type="http://schemas.openxmlformats.org/officeDocument/2006/relationships/hyperlink" Target="https://newsroom.pembrokeshire.gov.uk/news/new-housing-online-service-to-report-repairs-launched-for-pembrokeshire-county-council-tenant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wsroom.pembrokeshire.gov.uk/news/new-housing-online-service-to-report-repairs-launched-for-pembrokeshire-county-council-tenants" TargetMode="External"/><Relationship Id="rId24" Type="http://schemas.openxmlformats.org/officeDocument/2006/relationships/hyperlink" Target="https://www.pembrokeshire.gov.uk/newsroom/community-hub-staff-kindness-helps-keep-couple-connected" TargetMode="External"/><Relationship Id="rId5" Type="http://schemas.openxmlformats.org/officeDocument/2006/relationships/webSettings" Target="webSettings.xml"/><Relationship Id="rId15" Type="http://schemas.openxmlformats.org/officeDocument/2006/relationships/hyperlink" Target="https://newsroom.pembrokeshire.gov.uk/news/new-housing-online-service-to-report-repairs-launched-for-pembrokeshire-county-council-tenants" TargetMode="External"/><Relationship Id="rId23" Type="http://schemas.openxmlformats.org/officeDocument/2006/relationships/hyperlink" Target="https://newsroom.pembrokeshire.gov.uk/news/new-housing-online-service-to-report-repairs-launched-for-pembrokeshire-county-council-tenants" TargetMode="External"/><Relationship Id="rId28"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s://www.pembrokeshire.gov.uk/newsroom/community-hub-staff-kindness-helps-keep-couple-connecte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embrokeshire.gov.uk/housing-strategy/setting-the-scene-and8211-pembrokeshires-strategic-priorities" TargetMode="External"/><Relationship Id="rId22" Type="http://schemas.openxmlformats.org/officeDocument/2006/relationships/hyperlink" Target="https://www.pembrokeshire.gov.uk/housing-strategy/setting-the-scene-and8211-pembrokeshires-strategic-priorities"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047BF"/>
    <w:rsid w:val="000B604F"/>
    <w:rsid w:val="00145AD8"/>
    <w:rsid w:val="00242260"/>
    <w:rsid w:val="002450A7"/>
    <w:rsid w:val="003203C2"/>
    <w:rsid w:val="00372175"/>
    <w:rsid w:val="0038776D"/>
    <w:rsid w:val="004D25D2"/>
    <w:rsid w:val="00832373"/>
    <w:rsid w:val="008977CC"/>
    <w:rsid w:val="00900F92"/>
    <w:rsid w:val="009D7389"/>
    <w:rsid w:val="00A34C42"/>
    <w:rsid w:val="00A71A7F"/>
    <w:rsid w:val="00B31427"/>
    <w:rsid w:val="00B720E9"/>
    <w:rsid w:val="00BC1251"/>
    <w:rsid w:val="00C67429"/>
    <w:rsid w:val="00CB0E1C"/>
    <w:rsid w:val="00F14129"/>
    <w:rsid w:val="00FA429A"/>
    <w:rsid w:val="00FD622A"/>
    <w:rsid w:val="00FF61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Gov20</b:Tag>
    <b:SourceType>InternetSite</b:SourceType>
    <b:Guid>{047661E2-E42C-42A2-BC0B-F3752CC0A9BB}</b:Guid>
    <b:Author>
      <b:Author>
        <b:NameList>
          <b:Person>
            <b:Last>Gov.uk</b:Last>
          </b:Person>
        </b:NameList>
      </b:Author>
    </b:Author>
    <b:Title>Application of the Building Regulations during the coronavirus (COVID-19) outbreak</b:Title>
    <b:InternetSiteTitle>Guidance for Building Control Bodies </b:InternetSiteTitle>
    <b:Year>2020</b:Year>
    <b:Month>April</b:Month>
    <b:Day>21</b:Day>
    <b:URL>https://www.gov.uk/guidance/application-of-the-building-regulations-during-the-coronavirus-covid-19-outbreak#:~:text=Where%20an%20approved%20inspector%20is,the%20format%20of%20relevant%20plans.</b:URL>
    <b:RefOrder>6</b:RefOrder>
  </b:Source>
  <b:Source>
    <b:Tag>Pem1</b:Tag>
    <b:SourceType>InternetSite</b:SourceType>
    <b:Guid>{A3EAD18C-E327-4FE4-949E-59C3AD975EED}</b:Guid>
    <b:Author>
      <b:Author>
        <b:NameList>
          <b:Person>
            <b:Last>Council</b:Last>
            <b:First>Pembrokeshire</b:First>
            <b:Middle>County</b:Middle>
          </b:Person>
        </b:NameList>
      </b:Author>
    </b:Author>
    <b:Title>Pembrokeshire County Council</b:Title>
    <b:InternetSiteTitle>Report a Repair: Planned and Responsive Maintenance</b:InternetSiteTitle>
    <b:URL>www.pembrokeshire.gov.uk</b:URL>
    <b:RefOrder>2</b:RefOrder>
  </b:Source>
  <b:Source>
    <b:Tag>Pem2</b:Tag>
    <b:SourceType>InternetSite</b:SourceType>
    <b:Guid>{F4A31AC8-3ACB-43BF-B5A7-BC292433AF6E}</b:Guid>
    <b:Author>
      <b:Author>
        <b:NameList>
          <b:Person>
            <b:Last>council</b:Last>
            <b:First>Pembrokeshire</b:First>
            <b:Middle>county</b:Middle>
          </b:Person>
        </b:NameList>
      </b:Author>
    </b:Author>
    <b:Title>New Housing Online service to report repairs launched for Pembrokeshire County Council tenants</b:Title>
    <b:URL>https://newsroom.pembrokeshire.gov.uk/news/new-housing-online-service-to-report-repairs-launched-for-pembrokeshire-county-council-tenants</b:URL>
    <b:RefOrder>3</b:RefOrder>
  </b:Source>
  <b:Source>
    <b:Tag>Bus18</b:Tag>
    <b:SourceType>DocumentFromInternetSite</b:SourceType>
    <b:Guid>{AF22B774-4EF5-4298-84CE-095ED87BAEDF}</b:Guid>
    <b:Title>Business</b:Title>
    <b:InternetSiteTitle>Lewin's Force Field Model (Change Management)</b:InternetSiteTitle>
    <b:Year>2018</b:Year>
    <b:Month>February</b:Month>
    <b:Day>18</b:Day>
    <b:URL>https://www.tutor2u.net/business/reference/models-of-change-management-lewins-force-field-model?srsltid=AfmBOoqo-cx0q3yMyFYF9Ef8_YMl7yhYBeCoTrJlP5J-h8E1zBSREb9R</b:URL>
    <b:RefOrder>4</b:RefOrder>
  </b:Source>
  <b:Source>
    <b:Tag>Pem</b:Tag>
    <b:SourceType>InternetSite</b:SourceType>
    <b:Guid>{C01FA48C-B65F-497B-8023-B7C955BFF203}</b:Guid>
    <b:Author>
      <b:Author>
        <b:NameList>
          <b:Person>
            <b:Last>six</b:Last>
            <b:First>Sigma</b:First>
          </b:Person>
        </b:NameList>
      </b:Author>
    </b:Author>
    <b:Title>Lewin’s Force Field Analysis in Change Management. What, Why, and How</b:Title>
    <b:InternetSiteTitle>Lean Six Sigma Training Certification</b:InternetSiteTitle>
    <b:URL>https://www.6sigma.us/six-sigma-in-focus/lewin-force-field-analysis-in-change-management/</b:URL>
    <b:Year>2024</b:Year>
    <b:Month>April</b:Month>
    <b:Day>23</b:Day>
    <b:RefOrder>1</b:RefOrder>
  </b:Source>
  <b:Source>
    <b:Tag>Pri25</b:Tag>
    <b:SourceType>DocumentFromInternetSite</b:SourceType>
    <b:Guid>{D4C6BC7A-9D41-45EF-88C1-A1EDA1332C11}</b:Guid>
    <b:Author>
      <b:Author>
        <b:NameList>
          <b:Person>
            <b:Last>Malik</b:Last>
            <b:First>Priyanka</b:First>
          </b:Person>
        </b:NameList>
      </b:Author>
    </b:Author>
    <b:Title>Lewin’s 3-Stage Model of Change Theory: Overview</b:Title>
    <b:InternetSiteTitle>Whatfix</b:InternetSiteTitle>
    <b:Year>2025</b:Year>
    <b:Month>December</b:Month>
    <b:Day>9</b:Day>
    <b:URL>https://whatfix.com/blog/lewins-change-model/</b:URL>
    <b:RefOrder>7</b:RefOrder>
  </b:Source>
  <b:Source>
    <b:Tag>Kyl24</b:Tag>
    <b:SourceType>Book</b:SourceType>
    <b:Guid>{80AFC087-7E85-48FF-8A4E-7C285A279FFE}</b:Guid>
    <b:Title>Analysis of Indoor Airborne Infectious Disease Transmission </b:Title>
    <b:Year>2024</b:Year>
    <b:Author>
      <b:Author>
        <b:NameList>
          <b:Person>
            <b:Last>Fortner</b:Last>
            <b:First>Kyle</b:First>
          </b:Person>
        </b:NameList>
      </b:Author>
    </b:Author>
    <b:Publisher>Pennsylvania State University</b:Publisher>
    <b:RefOrder>5</b:RefOrder>
  </b:Source>
</b:Sources>
</file>

<file path=customXml/itemProps1.xml><?xml version="1.0" encoding="utf-8"?>
<ds:datastoreItem xmlns:ds="http://schemas.openxmlformats.org/officeDocument/2006/customXml" ds:itemID="{FE8CF1B2-F4A8-45BC-BA06-AD0729D197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9</Pages>
  <Words>2511</Words>
  <Characters>17462</Characters>
  <Application>Microsoft Office Word</Application>
  <DocSecurity>0</DocSecurity>
  <Lines>316</Lines>
  <Paragraphs>61</Paragraphs>
  <ScaleCrop>false</ScaleCrop>
  <HeadingPairs>
    <vt:vector size="2" baseType="variant">
      <vt:variant>
        <vt:lpstr>Title</vt:lpstr>
      </vt:variant>
      <vt:variant>
        <vt:i4>1</vt:i4>
      </vt:variant>
    </vt:vector>
  </HeadingPairs>
  <TitlesOfParts>
    <vt:vector size="1" baseType="lpstr">
      <vt:lpstr>Approaches to Innovation and Organisational Change</vt:lpstr>
    </vt:vector>
  </TitlesOfParts>
  <Company>University of Wales Trinity Saint David</Company>
  <LinksUpToDate>false</LinksUpToDate>
  <CharactersWithSpaces>19975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Innovation and Organisational Change</dc:title>
  <dc:subject>Adam Bentley 1909683</dc:subject>
  <dc:creator>Marie Pitson</dc:creator>
  <cp:keywords/>
  <dc:description/>
  <cp:lastModifiedBy>Adam Bentley</cp:lastModifiedBy>
  <cp:revision>10</cp:revision>
  <dcterms:created xsi:type="dcterms:W3CDTF">2026-03-01T17:31:00Z</dcterms:created>
  <dcterms:modified xsi:type="dcterms:W3CDTF">2026-04-17T15:03:00Z</dcterms:modified>
</cp:coreProperties>
</file>