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2C1B54" w14:textId="77777777" w:rsidR="008666A5" w:rsidRDefault="008666A5" w:rsidP="008666A5">
      <w:pPr>
        <w:spacing w:after="0" w:line="240" w:lineRule="auto"/>
        <w:jc w:val="both"/>
        <w:textAlignment w:val="baseline"/>
        <w:rPr>
          <w:rFonts w:ascii="Times New Roman" w:eastAsia="Times New Roman" w:hAnsi="Times New Roman" w:cs="Times New Roman"/>
          <w:kern w:val="0"/>
          <w:sz w:val="28"/>
          <w:szCs w:val="28"/>
          <w14:ligatures w14:val="none"/>
        </w:rPr>
      </w:pPr>
      <w:r w:rsidRPr="008666A5">
        <w:rPr>
          <w:rFonts w:ascii="Times New Roman" w:eastAsia="Times New Roman" w:hAnsi="Times New Roman" w:cs="Times New Roman"/>
          <w:kern w:val="0"/>
          <w:sz w:val="28"/>
          <w:szCs w:val="28"/>
          <w14:ligatures w14:val="none"/>
        </w:rPr>
        <w:t> </w:t>
      </w:r>
    </w:p>
    <w:p w14:paraId="13FA5694" w14:textId="77777777" w:rsidR="00243057" w:rsidRDefault="00243057" w:rsidP="008666A5">
      <w:pPr>
        <w:spacing w:after="0" w:line="240" w:lineRule="auto"/>
        <w:jc w:val="both"/>
        <w:textAlignment w:val="baseline"/>
        <w:rPr>
          <w:rFonts w:ascii="Times New Roman" w:eastAsia="Times New Roman" w:hAnsi="Times New Roman" w:cs="Times New Roman"/>
          <w:kern w:val="0"/>
          <w:sz w:val="28"/>
          <w:szCs w:val="28"/>
          <w14:ligatures w14:val="none"/>
        </w:rPr>
      </w:pPr>
    </w:p>
    <w:p w14:paraId="5163E5FA" w14:textId="77777777" w:rsidR="00243057" w:rsidRDefault="00243057" w:rsidP="008666A5">
      <w:pPr>
        <w:spacing w:after="0" w:line="240" w:lineRule="auto"/>
        <w:jc w:val="both"/>
        <w:textAlignment w:val="baseline"/>
        <w:rPr>
          <w:rFonts w:ascii="Times New Roman" w:eastAsia="Times New Roman" w:hAnsi="Times New Roman" w:cs="Times New Roman"/>
          <w:kern w:val="0"/>
          <w:sz w:val="28"/>
          <w:szCs w:val="28"/>
          <w14:ligatures w14:val="none"/>
        </w:rPr>
      </w:pPr>
    </w:p>
    <w:p w14:paraId="77095F59" w14:textId="77777777" w:rsidR="00243057" w:rsidRPr="008666A5" w:rsidRDefault="00243057" w:rsidP="008666A5">
      <w:pPr>
        <w:spacing w:after="0" w:line="240" w:lineRule="auto"/>
        <w:jc w:val="both"/>
        <w:textAlignment w:val="baseline"/>
        <w:rPr>
          <w:rFonts w:ascii="Segoe UI" w:eastAsia="Times New Roman" w:hAnsi="Segoe UI" w:cs="Segoe UI"/>
          <w:kern w:val="0"/>
          <w:sz w:val="18"/>
          <w:szCs w:val="18"/>
          <w14:ligatures w14:val="none"/>
        </w:rPr>
      </w:pPr>
    </w:p>
    <w:p w14:paraId="46214D71"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06A4BF6C"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color w:val="C00000"/>
          <w:kern w:val="0"/>
          <w14:ligatures w14:val="none"/>
        </w:rPr>
        <w:t>LITERACY: A KEY TO LEARNING</w:t>
      </w:r>
      <w:r w:rsidRPr="008666A5">
        <w:rPr>
          <w:rFonts w:ascii="Times New Roman" w:eastAsia="Times New Roman" w:hAnsi="Times New Roman" w:cs="Times New Roman"/>
          <w:color w:val="C00000"/>
          <w:kern w:val="0"/>
          <w14:ligatures w14:val="none"/>
        </w:rPr>
        <w:t> </w:t>
      </w:r>
    </w:p>
    <w:p w14:paraId="79503DC4"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ECIE5008</w:t>
      </w:r>
      <w:r w:rsidRPr="008666A5">
        <w:rPr>
          <w:rFonts w:ascii="Times New Roman" w:eastAsia="Times New Roman" w:hAnsi="Times New Roman" w:cs="Times New Roman"/>
          <w:kern w:val="0"/>
          <w14:ligatures w14:val="none"/>
        </w:rPr>
        <w:t> </w:t>
      </w:r>
    </w:p>
    <w:p w14:paraId="165E7680"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DATE OF SUBMISSION:</w:t>
      </w:r>
      <w:r w:rsidRPr="008666A5">
        <w:rPr>
          <w:rFonts w:ascii="Times New Roman" w:eastAsia="Times New Roman" w:hAnsi="Times New Roman" w:cs="Times New Roman"/>
          <w:kern w:val="0"/>
          <w14:ligatures w14:val="none"/>
        </w:rPr>
        <w:t> </w:t>
      </w:r>
    </w:p>
    <w:p w14:paraId="40F4CE5D"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26/ 04/2026</w:t>
      </w:r>
      <w:r w:rsidRPr="008666A5">
        <w:rPr>
          <w:rFonts w:ascii="Times New Roman" w:eastAsia="Times New Roman" w:hAnsi="Times New Roman" w:cs="Times New Roman"/>
          <w:kern w:val="0"/>
          <w14:ligatures w14:val="none"/>
        </w:rPr>
        <w:t> </w:t>
      </w:r>
    </w:p>
    <w:p w14:paraId="0A9D92AA"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5A10452B"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3D3A726A"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Submitted by:</w:t>
      </w:r>
      <w:r w:rsidRPr="008666A5">
        <w:rPr>
          <w:rFonts w:ascii="Times New Roman" w:eastAsia="Times New Roman" w:hAnsi="Times New Roman" w:cs="Times New Roman"/>
          <w:kern w:val="0"/>
          <w14:ligatures w14:val="none"/>
        </w:rPr>
        <w:t> </w:t>
      </w:r>
    </w:p>
    <w:p w14:paraId="064426A7"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Nerissa Leka</w:t>
      </w:r>
      <w:r w:rsidRPr="008666A5">
        <w:rPr>
          <w:rFonts w:ascii="Times New Roman" w:eastAsia="Times New Roman" w:hAnsi="Times New Roman" w:cs="Times New Roman"/>
          <w:kern w:val="0"/>
          <w14:ligatures w14:val="none"/>
        </w:rPr>
        <w:t> </w:t>
      </w:r>
    </w:p>
    <w:p w14:paraId="7F8B757C"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24270551"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0803C43A"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138BA9B5"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6FFA46EA"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6F7F67C1"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05BC54EC"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25129450"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54D08BD7"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5F919B95"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700A9338"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60BEC15B"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110C9D33"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2BF7588A"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4B0C63A6"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3557B604"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0EFC023B" w14:textId="77777777" w:rsidR="00243057" w:rsidRDefault="00243057" w:rsidP="00243057">
      <w:pPr>
        <w:spacing w:after="0" w:line="360" w:lineRule="auto"/>
        <w:jc w:val="center"/>
        <w:textAlignment w:val="baseline"/>
        <w:rPr>
          <w:rFonts w:ascii="Times New Roman" w:eastAsia="Times New Roman" w:hAnsi="Times New Roman" w:cs="Times New Roman"/>
          <w:kern w:val="0"/>
          <w14:ligatures w14:val="none"/>
        </w:rPr>
      </w:pPr>
    </w:p>
    <w:p w14:paraId="71D6C755" w14:textId="77777777" w:rsidR="00243057" w:rsidRDefault="00243057" w:rsidP="00243057">
      <w:pPr>
        <w:spacing w:after="0" w:line="360" w:lineRule="auto"/>
        <w:jc w:val="center"/>
        <w:textAlignment w:val="baseline"/>
        <w:rPr>
          <w:rFonts w:ascii="Times New Roman" w:eastAsia="Times New Roman" w:hAnsi="Times New Roman" w:cs="Times New Roman"/>
          <w:kern w:val="0"/>
          <w14:ligatures w14:val="none"/>
        </w:rPr>
      </w:pPr>
    </w:p>
    <w:p w14:paraId="31A5D822" w14:textId="77777777" w:rsidR="00243057" w:rsidRDefault="00243057" w:rsidP="00243057">
      <w:pPr>
        <w:spacing w:after="0" w:line="360" w:lineRule="auto"/>
        <w:jc w:val="center"/>
        <w:textAlignment w:val="baseline"/>
        <w:rPr>
          <w:rFonts w:ascii="Times New Roman" w:eastAsia="Times New Roman" w:hAnsi="Times New Roman" w:cs="Times New Roman"/>
          <w:kern w:val="0"/>
          <w14:ligatures w14:val="none"/>
        </w:rPr>
      </w:pPr>
    </w:p>
    <w:p w14:paraId="2F16C142" w14:textId="77777777" w:rsidR="00243057" w:rsidRDefault="00243057" w:rsidP="00243057">
      <w:pPr>
        <w:spacing w:after="0" w:line="360" w:lineRule="auto"/>
        <w:jc w:val="center"/>
        <w:textAlignment w:val="baseline"/>
        <w:rPr>
          <w:rFonts w:ascii="Times New Roman" w:eastAsia="Times New Roman" w:hAnsi="Times New Roman" w:cs="Times New Roman"/>
          <w:kern w:val="0"/>
          <w14:ligatures w14:val="none"/>
        </w:rPr>
      </w:pPr>
    </w:p>
    <w:p w14:paraId="00EE81B6" w14:textId="4261701C"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lastRenderedPageBreak/>
        <w:t> </w:t>
      </w:r>
    </w:p>
    <w:p w14:paraId="58F2D6D1"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7727F680"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INTRODUCTION</w:t>
      </w:r>
      <w:r w:rsidRPr="008666A5">
        <w:rPr>
          <w:rFonts w:ascii="Times New Roman" w:eastAsia="Times New Roman" w:hAnsi="Times New Roman" w:cs="Times New Roman"/>
          <w:kern w:val="0"/>
          <w14:ligatures w14:val="none"/>
        </w:rPr>
        <w:t> </w:t>
      </w:r>
    </w:p>
    <w:p w14:paraId="53288B5A"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5576E977"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This essay is comprised of two parts, each exploring Literacy as a key component to learning. The first part will discuss literacy itself and relating it to three influential theorist and their significant contribution to the development of literacy as well as their impact on cognitive development and learning. It will also discuss policies that changed literacy in past 30 years; current policies in settings and most importantly, on how poverty and deprivation link to poor oracy skills.  </w:t>
      </w:r>
    </w:p>
    <w:p w14:paraId="4DE7580A"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The second part is a reflective commentary relating to a video in which I deliver a story to a group of young people ages ranging from ten to sixteen. The reflection will be structured using Gibb’s reflective cycle. </w:t>
      </w:r>
    </w:p>
    <w:p w14:paraId="3F29615B"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3188C537"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Part 1</w:t>
      </w:r>
      <w:r w:rsidRPr="008666A5">
        <w:rPr>
          <w:rFonts w:ascii="Times New Roman" w:eastAsia="Times New Roman" w:hAnsi="Times New Roman" w:cs="Times New Roman"/>
          <w:kern w:val="0"/>
          <w14:ligatures w14:val="none"/>
        </w:rPr>
        <w:t> </w:t>
      </w:r>
    </w:p>
    <w:p w14:paraId="67028AB2"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Literacy is more than the ability to read, write or speak and it is a crucial component to learning. It is essential because it allows people to understand the world, participate in society and to even shape their own lives.  Overtime, it has evolved from its traditional view of simply decoding words to a broader concept that reflects how people interact into this fast-pacing world. Consequently, poor literacy may lead to decreased confidence and self-esteem making it difficult to relate within the society (National, Literacy Trust, 2026). Reports show that children who grow up in families with little money face significant barriers to literacy development as they may not be able to afford books, they may not have the opportunity to speak, read and play in ways that can enhance their language skills. Also, the stress that comes from the financial problems can make it harder for the children to focus, learn, and develop the skills they need to become confident readers and speakers. Hence, the impact of the deprivation due to poverty becomes intergenerational link to poor literacy that became difficult to break (OECD, 2016).  </w:t>
      </w:r>
    </w:p>
    <w:p w14:paraId="678FC5F3"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xml:space="preserve">Meanwhile, literacy policies over the past three decades have gone major changes and development. At the same time, childhood is transforming and education system must change with it (British Academy, 2019). As an overview, the traditional reading and writing instructions from the UK literacy is shifted to include digital literacy, phonics-based approaches, and targeted interventions to   address educational inequalities (Gov.UK, 2023). In the 1980s, The Educational Reform Act (1988) introduced the </w:t>
      </w:r>
      <w:r w:rsidRPr="008666A5">
        <w:rPr>
          <w:rFonts w:ascii="Times New Roman" w:eastAsia="Times New Roman" w:hAnsi="Times New Roman" w:cs="Times New Roman"/>
          <w:kern w:val="0"/>
          <w14:ligatures w14:val="none"/>
        </w:rPr>
        <w:lastRenderedPageBreak/>
        <w:t>National Curriculum, Standardized Testing (SATs) and grant-maintained schools underscoring Literacy and Numeracy as the main subject. The reforms aimed to raise educational standard through increase competition and accountability; during the 1990s and early 2000s, literacy policies broadened to tackle educational inequalities as well as improve teacher’s professional development. Literacy hour program was initiated in the primary sector and targeted support for the disadvantaged pupils. The shifts emphasized equity and access, aiming to ensure all children to develop fundamental skill in writing and reading skills (White, 2024). Subsequently, from 2010 onwards curriculum reform increasingly incorporated digital literacy including both digital skills and media skills (National Literacy Trust, 2026). </w:t>
      </w:r>
    </w:p>
    <w:p w14:paraId="11A9DBB7"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On the other hand, Wales Devolution of Educational Powers during the 1990s, enabled Wales Literacy reforms and a shift away from England as the National Assembly for Wales was established, marking the commencement of a distinct Welsh policy direction in 1999 (Smith, 2016). According to research, Welsh Baccalaureate was introduced, broadening skills education along with communication and literacy during 2003-2007. Between 2010-2015 was called the accountability era following a poor PISA reading result in 2009 (OECD, 2010), which marked the “second wave” of Welsh Education Policy that focused on literacy standards, school improvements and performance monitoring. National Literacy and Numeracy Framework (LNF) was introduced in 2013 as a statutory requirement to raise standard, replacing non-statutory guidelines, in response to the poor PISA result (Dauncey, 2013). From 2015-2021was the “third wave” reform, centred on the curriculum for Wales which embeds literacy as a cross-curricular responsibility along with Additional Learning Needs (ALN) in 2018, affecting literacy support for learners' with specific need (Gov. Wales, 2018). Significantly, Wales literature during the COVID pandemic was committed to supporting mental well-being through reading, promoting digital literature initiatives and providing financial support to the authors making sure vulnerable children can still access reading materials (Literature Wales, 2020). There were implementation challenges and system upheaval during the 2020s and since 2021 was the New Phase of the third wave, marked by uncertainty and major implementation challenges as the curriculum for Wales rolls out.  </w:t>
      </w:r>
    </w:p>
    <w:p w14:paraId="3C5EA631"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Moving on, As of March 2026, The Welsh government has initiated a new Statement of Intent for Teaching Early Reading to support Evidence-Informed Instruction. Amendments include a strong focus on Systematic Synthetic Phonics within the curriculum for Wales, the launch of the </w:t>
      </w:r>
      <w:proofErr w:type="gramStart"/>
      <w:r w:rsidRPr="008666A5">
        <w:rPr>
          <w:rFonts w:ascii="Times New Roman" w:eastAsia="Times New Roman" w:hAnsi="Times New Roman" w:cs="Times New Roman"/>
          <w:kern w:val="0"/>
          <w14:ligatures w14:val="none"/>
        </w:rPr>
        <w:t>CAL:ON</w:t>
      </w:r>
      <w:proofErr w:type="gramEnd"/>
      <w:r w:rsidRPr="008666A5">
        <w:rPr>
          <w:rFonts w:ascii="Times New Roman" w:eastAsia="Times New Roman" w:hAnsi="Times New Roman" w:cs="Times New Roman"/>
          <w:kern w:val="0"/>
          <w14:ligatures w14:val="none"/>
        </w:rPr>
        <w:t xml:space="preserve"> (Centre for the Advancement of Literacy: </w:t>
      </w:r>
      <w:r w:rsidRPr="008666A5">
        <w:rPr>
          <w:rFonts w:ascii="Times New Roman" w:eastAsia="Times New Roman" w:hAnsi="Times New Roman" w:cs="Times New Roman"/>
          <w:kern w:val="0"/>
          <w14:ligatures w14:val="none"/>
        </w:rPr>
        <w:lastRenderedPageBreak/>
        <w:t>research-led Outcomes and Nation-wide change) Cymru project for literacy expertise and a national push for improved reading standards across schools (</w:t>
      </w:r>
      <w:proofErr w:type="spellStart"/>
      <w:r w:rsidRPr="008666A5">
        <w:rPr>
          <w:rFonts w:ascii="Times New Roman" w:eastAsia="Times New Roman" w:hAnsi="Times New Roman" w:cs="Times New Roman"/>
          <w:kern w:val="0"/>
          <w14:ligatures w14:val="none"/>
        </w:rPr>
        <w:t>Gov.Wales</w:t>
      </w:r>
      <w:proofErr w:type="spellEnd"/>
      <w:r w:rsidRPr="008666A5">
        <w:rPr>
          <w:rFonts w:ascii="Times New Roman" w:eastAsia="Times New Roman" w:hAnsi="Times New Roman" w:cs="Times New Roman"/>
          <w:kern w:val="0"/>
          <w14:ligatures w14:val="none"/>
        </w:rPr>
        <w:t>, 2026). </w:t>
      </w:r>
    </w:p>
    <w:p w14:paraId="161A6DCF"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In relation to this, School A Literacy Policy includes: provision of regular opportunities to all students to develop their listening, speaking, and discussion skills to learn to, and through, talk; develop and stretch students’ ability and opportunities to read widely with understanding and growing independence as well as ensure that students learn to write effectively for specific purposes, including planning, revising and editing, with increasing accuracy and sophistication. Strategies in achieving these include promotion of oral communication skills through presentations, discussion and debates; encourage extensive reading across all subjects by using variety of texts and subject-specific materials; develop writing skills through structured tasks, including essays, reports, and creative writing emphasising clarity, coherence, and correct grammar with legible handwriting that would foster critical thinking by encouraging learners to question and evaluate information (Henry Tudor School, 2026). </w:t>
      </w:r>
    </w:p>
    <w:p w14:paraId="0EF36708"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The above expanded understanding of literacy aligns with several key learning theories such as Vygotsky’s Sociocultural Theory of Cognitive Development (1962). According to Vygotsky, learning is a process of obtaining knowledge, and problem-solving strategies through interactions with people more skilled than the other (Medical College of Wisconsin, 2022). He believed that parents, teachers, peers, caregivers and the society relatively influenced individual development which linked in classroom through teachers moving the students from what they know to a higher level by providing the support coming from everyone involved. </w:t>
      </w:r>
    </w:p>
    <w:p w14:paraId="2AC466AA"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In addition, B.F. Skinner’s behaviourist theory (1957) offered a different perspective, viewing literacy as a behaviour shaped through reinforcement. He believed that through repeated practice, feedback and reinforcement, reading and writing skills will develop in no time (Cranmore, 2022) which clearly links to school practices mentioned above by encouraging their independence. </w:t>
      </w:r>
    </w:p>
    <w:p w14:paraId="4BA3498B"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Also, Noam Chomsky’s Theory of language Development (1960) (a biological endowment called Language Acquisition Device) suggests that children are born with the ability for language which acts as the foundation of literacy. This natural ability if enriched through meaningful exposure and interactions which is reflected in school practices such as oral communication and writing complex texts, will activate and refine the inner linguistic structure of the child (</w:t>
      </w:r>
      <w:proofErr w:type="spellStart"/>
      <w:r w:rsidRPr="008666A5">
        <w:rPr>
          <w:rFonts w:ascii="Times New Roman" w:eastAsia="Times New Roman" w:hAnsi="Times New Roman" w:cs="Times New Roman"/>
          <w:kern w:val="0"/>
          <w14:ligatures w14:val="none"/>
        </w:rPr>
        <w:t>PsychologyFor</w:t>
      </w:r>
      <w:proofErr w:type="spellEnd"/>
      <w:r w:rsidRPr="008666A5">
        <w:rPr>
          <w:rFonts w:ascii="Times New Roman" w:eastAsia="Times New Roman" w:hAnsi="Times New Roman" w:cs="Times New Roman"/>
          <w:kern w:val="0"/>
          <w14:ligatures w14:val="none"/>
        </w:rPr>
        <w:t>, 2025). </w:t>
      </w:r>
    </w:p>
    <w:p w14:paraId="524945C4"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xml:space="preserve">In conclusion, this essay has given a general overview of literacy, highlighted literacy for the past three decades, presented how poverty affected literacy, given an insight of current </w:t>
      </w:r>
      <w:r w:rsidRPr="008666A5">
        <w:rPr>
          <w:rFonts w:ascii="Times New Roman" w:eastAsia="Times New Roman" w:hAnsi="Times New Roman" w:cs="Times New Roman"/>
          <w:kern w:val="0"/>
          <w14:ligatures w14:val="none"/>
        </w:rPr>
        <w:lastRenderedPageBreak/>
        <w:t>practices and have discussed how some theories are related to literacy. Together, these discussions emphasise the complexity of literacy as both a social and educational construct, and the importance of informed, equitable approaches to supporting all learners. </w:t>
      </w:r>
    </w:p>
    <w:p w14:paraId="60065C19"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6F081A7F"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24ED7E2A"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460DC6D5"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1991AE5A"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04DA656D"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4971B8F3"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2AD11E84"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338C786F"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2EF502EE"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1D6B6BB3"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169B4AA9"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3C8AB57B"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147259F8"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087E3EAE" w14:textId="3061010F"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4445B44E"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7420BCA2"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195BF799"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5B8CF98E"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4682C786"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3DA2625E"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558B6065"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4E6383A9"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64B7353E"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1D746714" w14:textId="77777777" w:rsidR="00243057" w:rsidRDefault="00243057" w:rsidP="00243057">
      <w:pPr>
        <w:spacing w:after="0" w:line="360" w:lineRule="auto"/>
        <w:jc w:val="center"/>
        <w:textAlignment w:val="baseline"/>
        <w:rPr>
          <w:rFonts w:ascii="Times New Roman" w:eastAsia="Times New Roman" w:hAnsi="Times New Roman" w:cs="Times New Roman"/>
          <w:kern w:val="0"/>
          <w:sz w:val="28"/>
          <w:szCs w:val="28"/>
          <w14:ligatures w14:val="none"/>
        </w:rPr>
      </w:pPr>
    </w:p>
    <w:p w14:paraId="6E3740FF" w14:textId="63826BF4"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sz w:val="28"/>
          <w:szCs w:val="28"/>
          <w14:ligatures w14:val="none"/>
        </w:rPr>
        <w:t> </w:t>
      </w:r>
    </w:p>
    <w:p w14:paraId="58C561C8"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27452C45"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lastRenderedPageBreak/>
        <w:t>Part 2</w:t>
      </w:r>
      <w:r w:rsidRPr="008666A5">
        <w:rPr>
          <w:rFonts w:ascii="Times New Roman" w:eastAsia="Times New Roman" w:hAnsi="Times New Roman" w:cs="Times New Roman"/>
          <w:kern w:val="0"/>
          <w14:ligatures w14:val="none"/>
        </w:rPr>
        <w:t> </w:t>
      </w:r>
    </w:p>
    <w:p w14:paraId="23C01B26"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Reflective Commentary from the Video </w:t>
      </w:r>
      <w:r w:rsidRPr="008666A5">
        <w:rPr>
          <w:rFonts w:ascii="Times New Roman" w:eastAsia="Times New Roman" w:hAnsi="Times New Roman" w:cs="Times New Roman"/>
          <w:kern w:val="0"/>
          <w14:ligatures w14:val="none"/>
        </w:rPr>
        <w:t> </w:t>
      </w:r>
    </w:p>
    <w:p w14:paraId="1BDE509B"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Using Gibb’s Reflective Cycle </w:t>
      </w:r>
      <w:r w:rsidRPr="008666A5">
        <w:rPr>
          <w:rFonts w:ascii="Times New Roman" w:eastAsia="Times New Roman" w:hAnsi="Times New Roman" w:cs="Times New Roman"/>
          <w:kern w:val="0"/>
          <w14:ligatures w14:val="none"/>
        </w:rPr>
        <w:t> </w:t>
      </w:r>
    </w:p>
    <w:p w14:paraId="3AC70EF2"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Description</w:t>
      </w:r>
      <w:r w:rsidRPr="008666A5">
        <w:rPr>
          <w:rFonts w:ascii="Times New Roman" w:eastAsia="Times New Roman" w:hAnsi="Times New Roman" w:cs="Times New Roman"/>
          <w:kern w:val="0"/>
          <w14:ligatures w14:val="none"/>
        </w:rPr>
        <w:t> </w:t>
      </w:r>
    </w:p>
    <w:p w14:paraId="01951C14"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This essay will reflect on my video in which I relay a Bible story to a group of young people aged ten to sixteen, after obtaining permission from their parents and guardians. The video was recorded by my seventeen-year-old daughter after our fellowship in church. To support the story, I have used visual images to show the gist of the story and bring the characters to life purposely, to capture the children’s attention effectively. The follow up activity involved a multi choice questions for the young people.  It was a sunny day but the warmth it brings is not enough to heat the room up and so we had to turn the rattling heaters on at the time. I had the place and chairs prepared for the children to feel comfortable as I was aiming for them to listen to one of the well-known bible stories. However, before I was due to talk, several parents begun moving around the room preparing for lunch and chatting. It was noisy and I almost lost my</w:t>
      </w:r>
      <w:r w:rsidRPr="008666A5">
        <w:rPr>
          <w:rFonts w:ascii="Times New Roman" w:eastAsia="Times New Roman" w:hAnsi="Times New Roman" w:cs="Times New Roman"/>
          <w:kern w:val="0"/>
          <w:sz w:val="28"/>
          <w:szCs w:val="28"/>
          <w14:ligatures w14:val="none"/>
        </w:rPr>
        <w:t> </w:t>
      </w:r>
      <w:r w:rsidRPr="008666A5">
        <w:rPr>
          <w:rFonts w:ascii="Times New Roman" w:eastAsia="Times New Roman" w:hAnsi="Times New Roman" w:cs="Times New Roman"/>
          <w:kern w:val="0"/>
          <w14:ligatures w14:val="none"/>
        </w:rPr>
        <w:t>concentration completely. I have lost my momentum and struggled to find the right words that I even used the wrong name for the main character of the story but corrected myself.  The children appeared to be attentive throughout and I finished the story inviting them for</w:t>
      </w:r>
      <w:r w:rsidRPr="008666A5">
        <w:rPr>
          <w:rFonts w:ascii="Times New Roman" w:eastAsia="Times New Roman" w:hAnsi="Times New Roman" w:cs="Times New Roman"/>
          <w:kern w:val="0"/>
          <w:sz w:val="28"/>
          <w:szCs w:val="28"/>
          <w14:ligatures w14:val="none"/>
        </w:rPr>
        <w:t> </w:t>
      </w:r>
      <w:r w:rsidRPr="008666A5">
        <w:rPr>
          <w:rFonts w:ascii="Times New Roman" w:eastAsia="Times New Roman" w:hAnsi="Times New Roman" w:cs="Times New Roman"/>
          <w:kern w:val="0"/>
          <w14:ligatures w14:val="none"/>
        </w:rPr>
        <w:t>questions to clarify which they did not have. The video</w:t>
      </w:r>
      <w:r w:rsidRPr="008666A5">
        <w:rPr>
          <w:rFonts w:ascii="Times New Roman" w:eastAsia="Times New Roman" w:hAnsi="Times New Roman" w:cs="Times New Roman"/>
          <w:kern w:val="0"/>
          <w:sz w:val="28"/>
          <w:szCs w:val="28"/>
          <w14:ligatures w14:val="none"/>
        </w:rPr>
        <w:t> </w:t>
      </w:r>
      <w:r w:rsidRPr="008666A5">
        <w:rPr>
          <w:rFonts w:ascii="Times New Roman" w:eastAsia="Times New Roman" w:hAnsi="Times New Roman" w:cs="Times New Roman"/>
          <w:kern w:val="0"/>
          <w14:ligatures w14:val="none"/>
        </w:rPr>
        <w:t>concluded with me thanking the children and I approached my daughter and given her tight embrace after the recording ended. </w:t>
      </w:r>
    </w:p>
    <w:p w14:paraId="5062EDA7"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Feelings</w:t>
      </w:r>
      <w:r w:rsidRPr="008666A5">
        <w:rPr>
          <w:rFonts w:ascii="Times New Roman" w:eastAsia="Times New Roman" w:hAnsi="Times New Roman" w:cs="Times New Roman"/>
          <w:kern w:val="0"/>
          <w14:ligatures w14:val="none"/>
        </w:rPr>
        <w:t> </w:t>
      </w:r>
    </w:p>
    <w:p w14:paraId="7E43F6F5"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xml:space="preserve">Initially, I was feeling very confident and looked forward to telling the story to the children as it was one of my favourites and had become my household story due to the moral lesson it taught. Also, I felt excited that I was able to bring the characters to life using visual aid which help the children make more sense of the story. This pleased me because this approach is aligned with Vygotsky’s (1978), Theory of Cognitive Development emphasizing the role of social interaction and culture to support learning (McLeod, 2025). Unfortunately, with the event that followed I felt annoyed and angry at the time. I was also embarrassed by my inability to speak fluently to relay the story in a better way the children can understand and reflect about. I was most disappointed with the actions of the parents that I felt they were inconsiderate of me trying to record my video for my assignment. The situation made me upset that I had lost my appetite for lunch and could not bring myself to join in the conversation. I did not confront the parents because I felt taking five minutes of their time and their children </w:t>
      </w:r>
      <w:r w:rsidRPr="008666A5">
        <w:rPr>
          <w:rFonts w:ascii="Times New Roman" w:eastAsia="Times New Roman" w:hAnsi="Times New Roman" w:cs="Times New Roman"/>
          <w:kern w:val="0"/>
          <w14:ligatures w14:val="none"/>
        </w:rPr>
        <w:lastRenderedPageBreak/>
        <w:t>is too much of an asked. Reflecting on the experience later, I decided I will speak to the parents next time we meet rather than feeling miserable about it. I also recognised that my mixed emotions were a natural response to feeling under pressure which aligns with the behaviourists view that emotional reactions are shaped by external stimuli (Skinner, 1953). </w:t>
      </w:r>
    </w:p>
    <w:p w14:paraId="106611C3"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Evaluation</w:t>
      </w:r>
      <w:r w:rsidRPr="008666A5">
        <w:rPr>
          <w:rFonts w:ascii="Times New Roman" w:eastAsia="Times New Roman" w:hAnsi="Times New Roman" w:cs="Times New Roman"/>
          <w:kern w:val="0"/>
          <w14:ligatures w14:val="none"/>
        </w:rPr>
        <w:t> </w:t>
      </w:r>
    </w:p>
    <w:p w14:paraId="36C429F3"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Overall, I managed to complete the video recording within the required time frame which I consider a positive aspect of the experience. I was able to stay focused on the task despite of the parents' action creating unnecessary disruptions. However, the interruptions negatively affected the flow of the story telling and made it difficult for me to deliver the story as confidently as I had planned. Although I felt tempted to discontinue and reschedule the session, I decided to carry on because I was unsure whether I would have another opportunity to gather the children together. My decision allowed me to complete the task, but the circumstances reduced the quality of the experience. </w:t>
      </w:r>
    </w:p>
    <w:p w14:paraId="1E8A2D64"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Analysis</w:t>
      </w:r>
      <w:r w:rsidRPr="008666A5">
        <w:rPr>
          <w:rFonts w:ascii="Times New Roman" w:eastAsia="Times New Roman" w:hAnsi="Times New Roman" w:cs="Times New Roman"/>
          <w:kern w:val="0"/>
          <w14:ligatures w14:val="none"/>
        </w:rPr>
        <w:t> </w:t>
      </w:r>
    </w:p>
    <w:p w14:paraId="35FC0E33"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Watching the recording afterwards, have left me dismayed and mostly dissatisfied; parents evidently walking around, creating noise and disruption. I realised that I should have dealt with the situation at the time. I could have asked my daughter to stop the recording and spoke to the parents to allow me just five minutes of delay from whatever they wanted to do. Dealing with situations immediately is preferable resulting to a better outcome according to the Thomas-Kilmann Conflict Mode of Instrument (Thomas and Kilmann, 1974). Instead, I ignored the situation and pretended everything was fine which led me to resent and viewed the parents as disrespectful. Goleman (1995) also suggested that unresolved issues can aggravate emotional responses which explained how I felt towards the parents at that moment.  </w:t>
      </w:r>
    </w:p>
    <w:p w14:paraId="21B98F33"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Conclusion</w:t>
      </w:r>
      <w:r w:rsidRPr="008666A5">
        <w:rPr>
          <w:rFonts w:ascii="Times New Roman" w:eastAsia="Times New Roman" w:hAnsi="Times New Roman" w:cs="Times New Roman"/>
          <w:kern w:val="0"/>
          <w14:ligatures w14:val="none"/>
        </w:rPr>
        <w:t> </w:t>
      </w:r>
    </w:p>
    <w:p w14:paraId="66B754BE"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On reflection, I recognised there are several mistakes and I would do things differently in a similar situation. I should have addressed the situation right there and then and asked the parents to cooperate for me to deliver the story effectively. I should have been also assertive in guiding my daughter on how she can take the recording better not to include other people on the footage. Overall, the whole experience has taught me the importance of openness and communicating concerns rather than keeping quiet and internalising frustrations as unexpressed emotions can lead to somatic distress and strain relationships according to Jerome, (2026). This awareness will help me approach future situations with more confidence and clarity. </w:t>
      </w:r>
    </w:p>
    <w:p w14:paraId="223AE63A"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lastRenderedPageBreak/>
        <w:t>Action Plan</w:t>
      </w:r>
      <w:r w:rsidRPr="008666A5">
        <w:rPr>
          <w:rFonts w:ascii="Times New Roman" w:eastAsia="Times New Roman" w:hAnsi="Times New Roman" w:cs="Times New Roman"/>
          <w:kern w:val="0"/>
          <w14:ligatures w14:val="none"/>
        </w:rPr>
        <w:t> </w:t>
      </w:r>
    </w:p>
    <w:p w14:paraId="489EF372"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In the future, I will take necessary steps to ensure that my story telling or any activity I will do is more controlled and set within a supportive environment. Firstly, I will speak clearly to the parents, or everyone involved to request a quiet space whilst I deliver the story or the activity making sure the expectations are understood by everyone involved. In the event of any disruptions, I will be confident to pause the session and politely address the issue rather than ignoring it while feeling uncomfortable and angry. I also intend to give clearer instruction to my daughter or to anyone helping me in the future about how to record the session including camera positioning to avoid unnecessary background distractions. As for my own development, I will work hard to improve my assertiveness and communication skills to help me manage similar situations effectively. Lastly, I will continue practicing openness and expressing concerns early to avoid frustrations piling up and at the same time improve interactions to other people (Pitts and Socha, 2013). </w:t>
      </w:r>
    </w:p>
    <w:p w14:paraId="14EE34FB"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11734F7D"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0FBD1AC5"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64B8BF6C"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1E94737E"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401F79C5"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128F61F8"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21AE340C"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330F78BE"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7397D654"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23065565"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4506C75A"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301AA25C"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08D37506"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333D133D"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4917DD82"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33998F9B"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2526FCCF"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63BD6052"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732522CC"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72B4D35C"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1E1D55F4"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lastRenderedPageBreak/>
        <w:t> </w:t>
      </w:r>
    </w:p>
    <w:p w14:paraId="667729E9"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048FB94C"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18C4506F"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3E4E722A"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627E85CE"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2AE013CB"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b/>
          <w:bCs/>
          <w:kern w:val="0"/>
          <w14:ligatures w14:val="none"/>
        </w:rPr>
        <w:t>R E F E R E N C E</w:t>
      </w:r>
      <w:r w:rsidRPr="008666A5">
        <w:rPr>
          <w:rFonts w:ascii="Times New Roman" w:eastAsia="Times New Roman" w:hAnsi="Times New Roman" w:cs="Times New Roman"/>
          <w:kern w:val="0"/>
          <w14:ligatures w14:val="none"/>
        </w:rPr>
        <w:t> </w:t>
      </w:r>
    </w:p>
    <w:p w14:paraId="7164120F" w14:textId="77777777" w:rsidR="008666A5" w:rsidRPr="008666A5" w:rsidRDefault="008666A5" w:rsidP="00243057">
      <w:pPr>
        <w:spacing w:after="0" w:line="360" w:lineRule="auto"/>
        <w:jc w:val="center"/>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 </w:t>
      </w:r>
    </w:p>
    <w:p w14:paraId="2715B5F2"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British Academy, (2019) Reframing Childhood past and present. Available at: </w:t>
      </w:r>
      <w:hyperlink r:id="rId7" w:tgtFrame="_blank" w:history="1">
        <w:r w:rsidRPr="008666A5">
          <w:rPr>
            <w:rFonts w:ascii="Times New Roman" w:eastAsia="Times New Roman" w:hAnsi="Times New Roman" w:cs="Times New Roman"/>
            <w:color w:val="467886"/>
            <w:kern w:val="0"/>
            <w:u w:val="single"/>
            <w14:ligatures w14:val="none"/>
          </w:rPr>
          <w:t>https://www.thebritishacademy.ac.uk/documents/227/The-British-Academy-Reframing-Childhood-Past-and-Present-Chronologies</w:t>
        </w:r>
      </w:hyperlink>
      <w:r w:rsidRPr="008666A5">
        <w:rPr>
          <w:rFonts w:ascii="Times New Roman" w:eastAsia="Times New Roman" w:hAnsi="Times New Roman" w:cs="Times New Roman"/>
          <w:kern w:val="0"/>
          <w14:ligatures w14:val="none"/>
        </w:rPr>
        <w:t>. Accessed: 19/04/2026 </w:t>
      </w:r>
    </w:p>
    <w:p w14:paraId="06F1DF5B"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Cranmore, J.L. (2022) The Palgrave handbook of educational thinkers. Available at: </w:t>
      </w:r>
      <w:hyperlink r:id="rId8" w:tgtFrame="_blank" w:history="1">
        <w:r w:rsidRPr="008666A5">
          <w:rPr>
            <w:rFonts w:ascii="Times New Roman" w:eastAsia="Times New Roman" w:hAnsi="Times New Roman" w:cs="Times New Roman"/>
            <w:color w:val="467886"/>
            <w:kern w:val="0"/>
            <w:u w:val="single"/>
            <w14:ligatures w14:val="none"/>
          </w:rPr>
          <w:t xml:space="preserve">B. F. Skinner: Lasting Influences in Education and </w:t>
        </w:r>
        <w:proofErr w:type="spellStart"/>
        <w:r w:rsidRPr="008666A5">
          <w:rPr>
            <w:rFonts w:ascii="Times New Roman" w:eastAsia="Times New Roman" w:hAnsi="Times New Roman" w:cs="Times New Roman"/>
            <w:color w:val="467886"/>
            <w:kern w:val="0"/>
            <w:u w:val="single"/>
            <w14:ligatures w14:val="none"/>
          </w:rPr>
          <w:t>Behaviorism</w:t>
        </w:r>
        <w:proofErr w:type="spellEnd"/>
        <w:r w:rsidRPr="008666A5">
          <w:rPr>
            <w:rFonts w:ascii="Times New Roman" w:eastAsia="Times New Roman" w:hAnsi="Times New Roman" w:cs="Times New Roman"/>
            <w:color w:val="467886"/>
            <w:kern w:val="0"/>
            <w:u w:val="single"/>
            <w14:ligatures w14:val="none"/>
          </w:rPr>
          <w:t xml:space="preserve"> | Springer Nature Link</w:t>
        </w:r>
      </w:hyperlink>
      <w:r w:rsidRPr="008666A5">
        <w:rPr>
          <w:rFonts w:ascii="Times New Roman" w:eastAsia="Times New Roman" w:hAnsi="Times New Roman" w:cs="Times New Roman"/>
          <w:kern w:val="0"/>
          <w14:ligatures w14:val="none"/>
        </w:rPr>
        <w:t> Accessed: 24/04/2026 </w:t>
      </w:r>
    </w:p>
    <w:p w14:paraId="081262C1"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Dauncey, M. (2013) Literacy and Numeracy research paper available. Available at: </w:t>
      </w:r>
      <w:hyperlink r:id="rId9" w:tgtFrame="_blank" w:history="1">
        <w:r w:rsidRPr="008666A5">
          <w:rPr>
            <w:rFonts w:ascii="Times New Roman" w:eastAsia="Times New Roman" w:hAnsi="Times New Roman" w:cs="Times New Roman"/>
            <w:color w:val="467886"/>
            <w:kern w:val="0"/>
            <w:u w:val="single"/>
            <w14:ligatures w14:val="none"/>
          </w:rPr>
          <w:t>Literacy and Numeracy Research Paper available</w:t>
        </w:r>
      </w:hyperlink>
      <w:r w:rsidRPr="008666A5">
        <w:rPr>
          <w:rFonts w:ascii="Times New Roman" w:eastAsia="Times New Roman" w:hAnsi="Times New Roman" w:cs="Times New Roman"/>
          <w:kern w:val="0"/>
          <w14:ligatures w14:val="none"/>
        </w:rPr>
        <w:t> Accessed: 20/04/2026 </w:t>
      </w:r>
    </w:p>
    <w:p w14:paraId="44633E89"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Dauncey, M. (2013) Literacy and numeracy in Wales Available at: </w:t>
      </w:r>
      <w:hyperlink r:id="rId10" w:tgtFrame="_blank" w:history="1">
        <w:r w:rsidRPr="008666A5">
          <w:rPr>
            <w:rFonts w:ascii="Times New Roman" w:eastAsia="Times New Roman" w:hAnsi="Times New Roman" w:cs="Times New Roman"/>
            <w:color w:val="467886"/>
            <w:kern w:val="0"/>
            <w:u w:val="single"/>
            <w14:ligatures w14:val="none"/>
          </w:rPr>
          <w:t>13-039-english.pdf</w:t>
        </w:r>
      </w:hyperlink>
      <w:r w:rsidRPr="008666A5">
        <w:rPr>
          <w:rFonts w:ascii="Times New Roman" w:eastAsia="Times New Roman" w:hAnsi="Times New Roman" w:cs="Times New Roman"/>
          <w:kern w:val="0"/>
          <w14:ligatures w14:val="none"/>
        </w:rPr>
        <w:t> Accessed: 20/04/2026 </w:t>
      </w:r>
    </w:p>
    <w:p w14:paraId="2E62DEFE"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Goleman, D., (1995).  Emotional Intelligence Available at: </w:t>
      </w:r>
      <w:hyperlink r:id="rId11" w:tgtFrame="_blank" w:history="1">
        <w:r w:rsidRPr="008666A5">
          <w:rPr>
            <w:rFonts w:ascii="Times New Roman" w:eastAsia="Times New Roman" w:hAnsi="Times New Roman" w:cs="Times New Roman"/>
            <w:color w:val="467886"/>
            <w:kern w:val="0"/>
            <w:u w:val="single"/>
            <w14:ligatures w14:val="none"/>
          </w:rPr>
          <w:t>https://psycnet.apa.org/record/1995-98387-000</w:t>
        </w:r>
      </w:hyperlink>
      <w:r w:rsidRPr="008666A5">
        <w:rPr>
          <w:rFonts w:ascii="Times New Roman" w:eastAsia="Times New Roman" w:hAnsi="Times New Roman" w:cs="Times New Roman"/>
          <w:kern w:val="0"/>
          <w14:ligatures w14:val="none"/>
        </w:rPr>
        <w:t> Accessed: 06/04/2026 </w:t>
      </w:r>
    </w:p>
    <w:p w14:paraId="22118C38"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Gov. Wales, (2018) Additional Learning Needs and Educational Tribunal (Wales) Act 2018 Available at: </w:t>
      </w:r>
      <w:hyperlink r:id="rId12" w:tgtFrame="_blank" w:history="1">
        <w:r w:rsidRPr="008666A5">
          <w:rPr>
            <w:rFonts w:ascii="Times New Roman" w:eastAsia="Times New Roman" w:hAnsi="Times New Roman" w:cs="Times New Roman"/>
            <w:color w:val="467886"/>
            <w:kern w:val="0"/>
            <w:u w:val="single"/>
            <w14:ligatures w14:val="none"/>
          </w:rPr>
          <w:t>https://www.gov.wales/sites/default/files/publications/2018-02/additional-learning-needs-and-education-tribunal-wales-act-2018-explanato</w:t>
        </w:r>
      </w:hyperlink>
      <w:r w:rsidRPr="008666A5">
        <w:rPr>
          <w:rFonts w:ascii="Times New Roman" w:eastAsia="Times New Roman" w:hAnsi="Times New Roman" w:cs="Times New Roman"/>
          <w:kern w:val="0"/>
          <w14:ligatures w14:val="none"/>
        </w:rPr>
        <w:t> Accessed: 22/04/2026 </w:t>
      </w:r>
    </w:p>
    <w:p w14:paraId="163D00EF"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Gov. UK, (2023) The reading framework. Available at: </w:t>
      </w:r>
      <w:hyperlink r:id="rId13" w:tgtFrame="_blank" w:history="1">
        <w:r w:rsidRPr="008666A5">
          <w:rPr>
            <w:rFonts w:ascii="Times New Roman" w:eastAsia="Times New Roman" w:hAnsi="Times New Roman" w:cs="Times New Roman"/>
            <w:color w:val="467886"/>
            <w:kern w:val="0"/>
            <w:u w:val="single"/>
            <w14:ligatures w14:val="none"/>
          </w:rPr>
          <w:t>The reading framework - GOV.UK</w:t>
        </w:r>
      </w:hyperlink>
      <w:r w:rsidRPr="008666A5">
        <w:rPr>
          <w:rFonts w:ascii="Times New Roman" w:eastAsia="Times New Roman" w:hAnsi="Times New Roman" w:cs="Times New Roman"/>
          <w:kern w:val="0"/>
          <w14:ligatures w14:val="none"/>
        </w:rPr>
        <w:t> Accessed: 19/04/2026 </w:t>
      </w:r>
    </w:p>
    <w:p w14:paraId="3D599A54"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Gov. Wales, (2026) Statement of intent teaching early reading. Available at: </w:t>
      </w:r>
      <w:hyperlink r:id="rId14" w:tgtFrame="_blank" w:history="1">
        <w:r w:rsidRPr="008666A5">
          <w:rPr>
            <w:rFonts w:ascii="Times New Roman" w:eastAsia="Times New Roman" w:hAnsi="Times New Roman" w:cs="Times New Roman"/>
            <w:color w:val="467886"/>
            <w:kern w:val="0"/>
            <w:u w:val="single"/>
            <w14:ligatures w14:val="none"/>
          </w:rPr>
          <w:t>Statement of intent: teaching early reading [HTML] | GOV.WALES</w:t>
        </w:r>
      </w:hyperlink>
      <w:r w:rsidRPr="008666A5">
        <w:rPr>
          <w:rFonts w:ascii="Times New Roman" w:eastAsia="Times New Roman" w:hAnsi="Times New Roman" w:cs="Times New Roman"/>
          <w:kern w:val="0"/>
          <w14:ligatures w14:val="none"/>
        </w:rPr>
        <w:t> Accessed: 22/04/20226 </w:t>
      </w:r>
    </w:p>
    <w:p w14:paraId="318269A0"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Henry Tudor School, (2026) Literacy Policy. Available at: </w:t>
      </w:r>
      <w:hyperlink r:id="rId15" w:tgtFrame="_blank" w:history="1">
        <w:r w:rsidRPr="008666A5">
          <w:rPr>
            <w:rFonts w:ascii="Times New Roman" w:eastAsia="Times New Roman" w:hAnsi="Times New Roman" w:cs="Times New Roman"/>
            <w:color w:val="467886"/>
            <w:kern w:val="0"/>
            <w:u w:val="single"/>
            <w14:ligatures w14:val="none"/>
          </w:rPr>
          <w:t>Home | Ysgol Harri Tudur</w:t>
        </w:r>
      </w:hyperlink>
      <w:r w:rsidRPr="008666A5">
        <w:rPr>
          <w:rFonts w:ascii="Times New Roman" w:eastAsia="Times New Roman" w:hAnsi="Times New Roman" w:cs="Times New Roman"/>
          <w:kern w:val="0"/>
          <w14:ligatures w14:val="none"/>
        </w:rPr>
        <w:t> Accessed: 23/04/2026 </w:t>
      </w:r>
    </w:p>
    <w:p w14:paraId="731AE22F"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color w:val="000000"/>
          <w:kern w:val="0"/>
          <w14:ligatures w14:val="none"/>
        </w:rPr>
        <w:t>Jerome, L. W., (2026) What happens when we push emotions down? Available at: </w:t>
      </w:r>
      <w:hyperlink r:id="rId16" w:tgtFrame="_blank" w:history="1">
        <w:r w:rsidRPr="008666A5">
          <w:rPr>
            <w:rFonts w:ascii="Times New Roman" w:eastAsia="Times New Roman" w:hAnsi="Times New Roman" w:cs="Times New Roman"/>
            <w:color w:val="467886"/>
            <w:kern w:val="0"/>
            <w:u w:val="single"/>
            <w14:ligatures w14:val="none"/>
          </w:rPr>
          <w:t>https://www.psychologytoday.com</w:t>
        </w:r>
      </w:hyperlink>
      <w:r w:rsidRPr="008666A5">
        <w:rPr>
          <w:rFonts w:ascii="Times New Roman" w:eastAsia="Times New Roman" w:hAnsi="Times New Roman" w:cs="Times New Roman"/>
          <w:color w:val="000000"/>
          <w:kern w:val="0"/>
          <w14:ligatures w14:val="none"/>
        </w:rPr>
        <w:t> Accessed: 06/04/2026 </w:t>
      </w:r>
    </w:p>
    <w:p w14:paraId="696414B7"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Lemetyinen, H. (2026) Language Acquisition Theory. Available at: </w:t>
      </w:r>
      <w:hyperlink r:id="rId17" w:tgtFrame="_blank" w:history="1">
        <w:r w:rsidRPr="008666A5">
          <w:rPr>
            <w:rFonts w:ascii="Times New Roman" w:eastAsia="Times New Roman" w:hAnsi="Times New Roman" w:cs="Times New Roman"/>
            <w:color w:val="467886"/>
            <w:kern w:val="0"/>
            <w:u w:val="single"/>
            <w14:ligatures w14:val="none"/>
          </w:rPr>
          <w:t xml:space="preserve">Language Acquisition Theory </w:t>
        </w:r>
        <w:proofErr w:type="gramStart"/>
        <w:r w:rsidRPr="008666A5">
          <w:rPr>
            <w:rFonts w:ascii="Times New Roman" w:eastAsia="Times New Roman" w:hAnsi="Times New Roman" w:cs="Times New Roman"/>
            <w:color w:val="467886"/>
            <w:kern w:val="0"/>
            <w:u w:val="single"/>
            <w14:ligatures w14:val="none"/>
          </w:rPr>
          <w:t>In</w:t>
        </w:r>
        <w:proofErr w:type="gramEnd"/>
        <w:r w:rsidRPr="008666A5">
          <w:rPr>
            <w:rFonts w:ascii="Times New Roman" w:eastAsia="Times New Roman" w:hAnsi="Times New Roman" w:cs="Times New Roman"/>
            <w:color w:val="467886"/>
            <w:kern w:val="0"/>
            <w:u w:val="single"/>
            <w14:ligatures w14:val="none"/>
          </w:rPr>
          <w:t xml:space="preserve"> Psychology</w:t>
        </w:r>
      </w:hyperlink>
      <w:r w:rsidRPr="008666A5">
        <w:rPr>
          <w:rFonts w:ascii="Times New Roman" w:eastAsia="Times New Roman" w:hAnsi="Times New Roman" w:cs="Times New Roman"/>
          <w:kern w:val="0"/>
          <w14:ligatures w14:val="none"/>
        </w:rPr>
        <w:t> Accessed: 25/04/2026 </w:t>
      </w:r>
    </w:p>
    <w:p w14:paraId="3F7BA332"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lastRenderedPageBreak/>
        <w:t>Literature Wales, (2020) Literature Wales and COVID-19 Available at: </w:t>
      </w:r>
      <w:hyperlink r:id="rId18" w:tgtFrame="_blank" w:history="1">
        <w:r w:rsidRPr="008666A5">
          <w:rPr>
            <w:rFonts w:ascii="Times New Roman" w:eastAsia="Times New Roman" w:hAnsi="Times New Roman" w:cs="Times New Roman"/>
            <w:color w:val="467886"/>
            <w:kern w:val="0"/>
            <w:u w:val="single"/>
            <w14:ligatures w14:val="none"/>
          </w:rPr>
          <w:t>Literature Wales supports 10 freelance writers to devise and create digital content and projects - Literature Wales</w:t>
        </w:r>
      </w:hyperlink>
      <w:r w:rsidRPr="008666A5">
        <w:rPr>
          <w:rFonts w:ascii="Times New Roman" w:eastAsia="Times New Roman" w:hAnsi="Times New Roman" w:cs="Times New Roman"/>
          <w:kern w:val="0"/>
          <w14:ligatures w14:val="none"/>
        </w:rPr>
        <w:t> Accessed: 23/04/2026 </w:t>
      </w:r>
    </w:p>
    <w:p w14:paraId="05309287"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McLeod, S., (2025) Available at: </w:t>
      </w:r>
      <w:hyperlink r:id="rId19" w:tgtFrame="_blank" w:history="1">
        <w:r w:rsidRPr="008666A5">
          <w:rPr>
            <w:rFonts w:ascii="Times New Roman" w:eastAsia="Times New Roman" w:hAnsi="Times New Roman" w:cs="Times New Roman"/>
            <w:color w:val="467886"/>
            <w:kern w:val="0"/>
            <w:u w:val="single"/>
            <w14:ligatures w14:val="none"/>
          </w:rPr>
          <w:t>Vygotsky's Sociocultural Theory of Cognitive Development</w:t>
        </w:r>
      </w:hyperlink>
      <w:r w:rsidRPr="008666A5">
        <w:rPr>
          <w:rFonts w:ascii="Times New Roman" w:eastAsia="Times New Roman" w:hAnsi="Times New Roman" w:cs="Times New Roman"/>
          <w:kern w:val="0"/>
          <w14:ligatures w14:val="none"/>
        </w:rPr>
        <w:t> Accessed: 11/04/2026 </w:t>
      </w:r>
    </w:p>
    <w:p w14:paraId="337204F5"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Medical College of Wisconsin, (2022) Sociocultural Theory of Cognitive Development Available at: </w:t>
      </w:r>
      <w:hyperlink r:id="rId20" w:tgtFrame="_blank" w:history="1">
        <w:r w:rsidRPr="008666A5">
          <w:rPr>
            <w:rFonts w:ascii="Times New Roman" w:eastAsia="Times New Roman" w:hAnsi="Times New Roman" w:cs="Times New Roman"/>
            <w:color w:val="467886"/>
            <w:kern w:val="0"/>
            <w:u w:val="single"/>
            <w14:ligatures w14:val="none"/>
          </w:rPr>
          <w:t>https://www.mcw.edu</w:t>
        </w:r>
      </w:hyperlink>
      <w:r w:rsidRPr="008666A5">
        <w:rPr>
          <w:rFonts w:ascii="Times New Roman" w:eastAsia="Times New Roman" w:hAnsi="Times New Roman" w:cs="Times New Roman"/>
          <w:kern w:val="0"/>
          <w14:ligatures w14:val="none"/>
        </w:rPr>
        <w:t> Accessed: 24/04/2026 </w:t>
      </w:r>
    </w:p>
    <w:p w14:paraId="38350285"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National Literacy Trust, (2026) The importance of literacy Available at: </w:t>
      </w:r>
      <w:hyperlink r:id="rId21" w:tgtFrame="_blank" w:history="1">
        <w:r w:rsidRPr="008666A5">
          <w:rPr>
            <w:rFonts w:ascii="Times New Roman" w:eastAsia="Times New Roman" w:hAnsi="Times New Roman" w:cs="Times New Roman"/>
            <w:color w:val="467886"/>
            <w:kern w:val="0"/>
            <w:u w:val="single"/>
            <w14:ligatures w14:val="none"/>
          </w:rPr>
          <w:t>National Literacy Trust | UK Literacy Charity</w:t>
        </w:r>
      </w:hyperlink>
      <w:r w:rsidRPr="008666A5">
        <w:rPr>
          <w:rFonts w:ascii="Times New Roman" w:eastAsia="Times New Roman" w:hAnsi="Times New Roman" w:cs="Times New Roman"/>
          <w:kern w:val="0"/>
          <w14:ligatures w14:val="none"/>
        </w:rPr>
        <w:t> Accessed: 09/04/2026 </w:t>
      </w:r>
    </w:p>
    <w:p w14:paraId="64AE8826"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National Literacy Trust, (2026) What is Literacy, Digital Literacy Technology. Available at: </w:t>
      </w:r>
      <w:hyperlink r:id="rId22" w:tgtFrame="_blank" w:history="1">
        <w:r w:rsidRPr="008666A5">
          <w:rPr>
            <w:rFonts w:ascii="Times New Roman" w:eastAsia="Times New Roman" w:hAnsi="Times New Roman" w:cs="Times New Roman"/>
            <w:color w:val="467886"/>
            <w:kern w:val="0"/>
            <w:u w:val="single"/>
            <w14:ligatures w14:val="none"/>
          </w:rPr>
          <w:t>What is digital literacy? | National Literacy Trust</w:t>
        </w:r>
      </w:hyperlink>
      <w:r w:rsidRPr="008666A5">
        <w:rPr>
          <w:rFonts w:ascii="Times New Roman" w:eastAsia="Times New Roman" w:hAnsi="Times New Roman" w:cs="Times New Roman"/>
          <w:kern w:val="0"/>
          <w14:ligatures w14:val="none"/>
        </w:rPr>
        <w:t> Accessed: 20/04/2026 </w:t>
      </w:r>
    </w:p>
    <w:p w14:paraId="16A9FFDC"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OECD, (2010) PISA 2009 Results: What students know and can do. Available at: </w:t>
      </w:r>
      <w:hyperlink r:id="rId23" w:tgtFrame="_blank" w:history="1">
        <w:r w:rsidRPr="008666A5">
          <w:rPr>
            <w:rFonts w:ascii="Times New Roman" w:eastAsia="Times New Roman" w:hAnsi="Times New Roman" w:cs="Times New Roman"/>
            <w:color w:val="467886"/>
            <w:kern w:val="0"/>
            <w:u w:val="single"/>
            <w14:ligatures w14:val="none"/>
          </w:rPr>
          <w:t>PISA 2009 Results: What Students Know and Can Do | OECD</w:t>
        </w:r>
      </w:hyperlink>
      <w:r w:rsidRPr="008666A5">
        <w:rPr>
          <w:rFonts w:ascii="Times New Roman" w:eastAsia="Times New Roman" w:hAnsi="Times New Roman" w:cs="Times New Roman"/>
          <w:kern w:val="0"/>
          <w14:ligatures w14:val="none"/>
        </w:rPr>
        <w:t>  Accessed: 09/04/2026 </w:t>
      </w:r>
    </w:p>
    <w:p w14:paraId="12C95D89"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OECD, (2016) OECD/INFE International Survey of Adult Financial Literacy Competencies. Available at: </w:t>
      </w:r>
      <w:hyperlink r:id="rId24" w:tgtFrame="_blank" w:history="1">
        <w:r w:rsidRPr="008666A5">
          <w:rPr>
            <w:rFonts w:ascii="Times New Roman" w:eastAsia="Times New Roman" w:hAnsi="Times New Roman" w:cs="Times New Roman"/>
            <w:color w:val="467886"/>
            <w:kern w:val="0"/>
            <w:u w:val="single"/>
            <w14:ligatures w14:val="none"/>
          </w:rPr>
          <w:t>oecd.org/en/publications/oecd-infe-international-survey-of-adult-financial-literacy-competencies</w:t>
        </w:r>
      </w:hyperlink>
      <w:r w:rsidRPr="008666A5">
        <w:rPr>
          <w:rFonts w:ascii="Times New Roman" w:eastAsia="Times New Roman" w:hAnsi="Times New Roman" w:cs="Times New Roman"/>
          <w:kern w:val="0"/>
          <w14:ligatures w14:val="none"/>
        </w:rPr>
        <w:t> Accessed: 09/04/2026 </w:t>
      </w:r>
    </w:p>
    <w:p w14:paraId="5216169A"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color w:val="333333"/>
          <w:kern w:val="0"/>
          <w14:ligatures w14:val="none"/>
        </w:rPr>
        <w:t>Pitts, M. J., &amp; Socha, T. J. (2013).</w:t>
      </w:r>
      <w:r w:rsidRPr="008666A5">
        <w:rPr>
          <w:rFonts w:ascii="Times New Roman" w:eastAsia="Times New Roman" w:hAnsi="Times New Roman" w:cs="Times New Roman"/>
          <w:kern w:val="0"/>
          <w14:ligatures w14:val="none"/>
        </w:rPr>
        <w:t> Positive Communication in Creating Healthy Lives, Healthy Relationships and Healthy Institutions. Available at: </w:t>
      </w:r>
      <w:hyperlink r:id="rId25" w:tgtFrame="_blank" w:history="1">
        <w:r w:rsidRPr="008666A5">
          <w:rPr>
            <w:rFonts w:ascii="Times New Roman" w:eastAsia="Times New Roman" w:hAnsi="Times New Roman" w:cs="Times New Roman"/>
            <w:color w:val="467886"/>
            <w:kern w:val="0"/>
            <w:u w:val="single"/>
            <w14:ligatures w14:val="none"/>
          </w:rPr>
          <w:t>https://psycnet.apa.org/record/201230817-001</w:t>
        </w:r>
      </w:hyperlink>
      <w:r w:rsidRPr="008666A5">
        <w:rPr>
          <w:rFonts w:ascii="Times New Roman" w:eastAsia="Times New Roman" w:hAnsi="Times New Roman" w:cs="Times New Roman"/>
          <w:kern w:val="0"/>
          <w14:ligatures w14:val="none"/>
        </w:rPr>
        <w:t> Accessed: 06/04/2026 </w:t>
      </w:r>
    </w:p>
    <w:p w14:paraId="346DF6E0"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proofErr w:type="spellStart"/>
      <w:r w:rsidRPr="008666A5">
        <w:rPr>
          <w:rFonts w:ascii="Times New Roman" w:eastAsia="Times New Roman" w:hAnsi="Times New Roman" w:cs="Times New Roman"/>
          <w:kern w:val="0"/>
          <w14:ligatures w14:val="none"/>
        </w:rPr>
        <w:t>PsychologyFor</w:t>
      </w:r>
      <w:proofErr w:type="spellEnd"/>
      <w:r w:rsidRPr="008666A5">
        <w:rPr>
          <w:rFonts w:ascii="Times New Roman" w:eastAsia="Times New Roman" w:hAnsi="Times New Roman" w:cs="Times New Roman"/>
          <w:kern w:val="0"/>
          <w14:ligatures w14:val="none"/>
        </w:rPr>
        <w:t>, (2025). Noam Chomsky’s Theory of language Development. Available at: </w:t>
      </w:r>
      <w:hyperlink r:id="rId26" w:tgtFrame="_blank" w:history="1">
        <w:r w:rsidRPr="008666A5">
          <w:rPr>
            <w:rFonts w:ascii="Times New Roman" w:eastAsia="Times New Roman" w:hAnsi="Times New Roman" w:cs="Times New Roman"/>
            <w:color w:val="467886"/>
            <w:kern w:val="0"/>
            <w:u w:val="single"/>
            <w14:ligatures w14:val="none"/>
          </w:rPr>
          <w:t>https://psychologyfor.com/noam-chomskys-theory-of-language-development/</w:t>
        </w:r>
      </w:hyperlink>
      <w:r w:rsidRPr="008666A5">
        <w:rPr>
          <w:rFonts w:ascii="Aptos" w:eastAsia="Times New Roman" w:hAnsi="Aptos" w:cs="Segoe UI"/>
          <w:kern w:val="0"/>
          <w14:ligatures w14:val="none"/>
        </w:rPr>
        <w:t> Accessed: 26/04/2026 </w:t>
      </w:r>
    </w:p>
    <w:p w14:paraId="79A4BC8C"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Skinner, B.F., (1953) Science and Human Behaviour, Macmillan.   </w:t>
      </w:r>
      <w:r w:rsidRPr="008666A5">
        <w:rPr>
          <w:rFonts w:ascii="Times New Roman" w:eastAsia="Times New Roman" w:hAnsi="Times New Roman" w:cs="Times New Roman"/>
          <w:color w:val="000000"/>
          <w:kern w:val="0"/>
          <w14:ligatures w14:val="none"/>
        </w:rPr>
        <w:t>[online] psycnet.apa.org. Available at: </w:t>
      </w:r>
      <w:hyperlink r:id="rId27" w:tgtFrame="_blank" w:history="1">
        <w:r w:rsidRPr="008666A5">
          <w:rPr>
            <w:rFonts w:ascii="Times New Roman" w:eastAsia="Times New Roman" w:hAnsi="Times New Roman" w:cs="Times New Roman"/>
            <w:color w:val="467886"/>
            <w:kern w:val="0"/>
            <w:u w:val="single"/>
            <w14:ligatures w14:val="none"/>
          </w:rPr>
          <w:t>https://psycnet.apa.org/record/1954-05139-000</w:t>
        </w:r>
      </w:hyperlink>
      <w:r w:rsidRPr="008666A5">
        <w:rPr>
          <w:rFonts w:ascii="Times New Roman" w:eastAsia="Times New Roman" w:hAnsi="Times New Roman" w:cs="Times New Roman"/>
          <w:color w:val="000000"/>
          <w:kern w:val="0"/>
          <w14:ligatures w14:val="none"/>
        </w:rPr>
        <w:t> Accessed: 04/04/2026 </w:t>
      </w:r>
    </w:p>
    <w:p w14:paraId="3FE24A82"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color w:val="000000"/>
          <w:kern w:val="0"/>
          <w14:ligatures w14:val="none"/>
        </w:rPr>
        <w:t>Smith, K., (2016) A brief history of education in Wales. Available at: </w:t>
      </w:r>
      <w:hyperlink r:id="rId28" w:tgtFrame="_blank" w:history="1">
        <w:r w:rsidRPr="008666A5">
          <w:rPr>
            <w:rFonts w:ascii="Times New Roman" w:eastAsia="Times New Roman" w:hAnsi="Times New Roman" w:cs="Times New Roman"/>
            <w:color w:val="467886"/>
            <w:kern w:val="0"/>
            <w:u w:val="single"/>
            <w14:ligatures w14:val="none"/>
          </w:rPr>
          <w:t>https://link.Springer.com/chapter10.1057/978-1-137-54443-8-2</w:t>
        </w:r>
      </w:hyperlink>
      <w:r w:rsidRPr="008666A5">
        <w:rPr>
          <w:rFonts w:ascii="Times New Roman" w:eastAsia="Times New Roman" w:hAnsi="Times New Roman" w:cs="Times New Roman"/>
          <w:color w:val="000000"/>
          <w:kern w:val="0"/>
          <w14:ligatures w14:val="none"/>
        </w:rPr>
        <w:t> Accessed: 19/04/2026  </w:t>
      </w:r>
    </w:p>
    <w:p w14:paraId="67513C9C"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Thomas, K.W., &amp; Kilman, R.H., (1976) Available at:</w:t>
      </w:r>
      <w:hyperlink r:id="rId29" w:tgtFrame="_blank" w:history="1">
        <w:r w:rsidRPr="008666A5">
          <w:rPr>
            <w:rFonts w:ascii="Times New Roman" w:eastAsia="Times New Roman" w:hAnsi="Times New Roman" w:cs="Times New Roman"/>
            <w:color w:val="467886"/>
            <w:kern w:val="0"/>
            <w:u w:val="single"/>
            <w14:ligatures w14:val="none"/>
          </w:rPr>
          <w:t>(PDF) Thomas-Kilmann conflict MODE instrument</w:t>
        </w:r>
      </w:hyperlink>
      <w:r w:rsidRPr="008666A5">
        <w:rPr>
          <w:rFonts w:ascii="Times New Roman" w:eastAsia="Times New Roman" w:hAnsi="Times New Roman" w:cs="Times New Roman"/>
          <w:kern w:val="0"/>
          <w14:ligatures w14:val="none"/>
        </w:rPr>
        <w:t> Accessed 06/04/2026 </w:t>
      </w:r>
    </w:p>
    <w:p w14:paraId="328F0F47"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Vygotsky, L.S., (1978) Cited in McLeod, S., (2025) Vygotsky’s Theory of Cognitive Development. Available at: </w:t>
      </w:r>
      <w:hyperlink r:id="rId30" w:tgtFrame="_blank" w:history="1">
        <w:r w:rsidRPr="008666A5">
          <w:rPr>
            <w:rFonts w:ascii="Times New Roman" w:eastAsia="Times New Roman" w:hAnsi="Times New Roman" w:cs="Times New Roman"/>
            <w:color w:val="467886"/>
            <w:kern w:val="0"/>
            <w:u w:val="single"/>
            <w14:ligatures w14:val="none"/>
          </w:rPr>
          <w:t>https://www.simplypsychology.org/vygotsky.html</w:t>
        </w:r>
      </w:hyperlink>
      <w:r w:rsidRPr="008666A5">
        <w:rPr>
          <w:rFonts w:ascii="Times New Roman" w:eastAsia="Times New Roman" w:hAnsi="Times New Roman" w:cs="Times New Roman"/>
          <w:kern w:val="0"/>
          <w14:ligatures w14:val="none"/>
        </w:rPr>
        <w:t>  </w:t>
      </w:r>
    </w:p>
    <w:p w14:paraId="3549F222" w14:textId="77777777" w:rsidR="008666A5" w:rsidRPr="008666A5" w:rsidRDefault="008666A5" w:rsidP="00243057">
      <w:pPr>
        <w:spacing w:after="0" w:line="360" w:lineRule="auto"/>
        <w:jc w:val="both"/>
        <w:textAlignment w:val="baseline"/>
        <w:rPr>
          <w:rFonts w:ascii="Segoe UI" w:eastAsia="Times New Roman" w:hAnsi="Segoe UI" w:cs="Segoe UI"/>
          <w:kern w:val="0"/>
          <w:sz w:val="18"/>
          <w:szCs w:val="18"/>
          <w14:ligatures w14:val="none"/>
        </w:rPr>
      </w:pPr>
      <w:r w:rsidRPr="008666A5">
        <w:rPr>
          <w:rFonts w:ascii="Times New Roman" w:eastAsia="Times New Roman" w:hAnsi="Times New Roman" w:cs="Times New Roman"/>
          <w:kern w:val="0"/>
          <w14:ligatures w14:val="none"/>
        </w:rPr>
        <w:t>White, S., (2024) The Impact of Educational Policy Changes on UK Outcomes. Available at: </w:t>
      </w:r>
      <w:hyperlink r:id="rId31" w:tgtFrame="_blank" w:history="1">
        <w:r w:rsidRPr="008666A5">
          <w:rPr>
            <w:rFonts w:ascii="Times New Roman" w:eastAsia="Times New Roman" w:hAnsi="Times New Roman" w:cs="Times New Roman"/>
            <w:color w:val="467886"/>
            <w:kern w:val="0"/>
            <w:u w:val="single"/>
            <w14:ligatures w14:val="none"/>
          </w:rPr>
          <w:t>The Impact of Educational Policy Changes on UK Outcomes</w:t>
        </w:r>
      </w:hyperlink>
      <w:r w:rsidRPr="008666A5">
        <w:rPr>
          <w:rFonts w:ascii="Times New Roman" w:eastAsia="Times New Roman" w:hAnsi="Times New Roman" w:cs="Times New Roman"/>
          <w:kern w:val="0"/>
          <w14:ligatures w14:val="none"/>
        </w:rPr>
        <w:t> Accessed: 16/04/2026  </w:t>
      </w:r>
    </w:p>
    <w:p w14:paraId="2229DA83" w14:textId="77777777" w:rsidR="00D648B5" w:rsidRDefault="00D648B5"/>
    <w:sectPr w:rsidR="00D648B5">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A7E19" w14:textId="77777777" w:rsidR="00A53D54" w:rsidRDefault="00A53D54" w:rsidP="00243057">
      <w:pPr>
        <w:spacing w:after="0" w:line="240" w:lineRule="auto"/>
      </w:pPr>
      <w:r>
        <w:separator/>
      </w:r>
    </w:p>
  </w:endnote>
  <w:endnote w:type="continuationSeparator" w:id="0">
    <w:p w14:paraId="040CF938" w14:textId="77777777" w:rsidR="00A53D54" w:rsidRDefault="00A53D54" w:rsidP="00243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7908393"/>
      <w:docPartObj>
        <w:docPartGallery w:val="Page Numbers (Bottom of Page)"/>
        <w:docPartUnique/>
      </w:docPartObj>
    </w:sdtPr>
    <w:sdtContent>
      <w:p w14:paraId="4C8C8CA6" w14:textId="653DE269" w:rsidR="00243057" w:rsidRDefault="00243057">
        <w:pPr>
          <w:pStyle w:val="Footer"/>
        </w:pPr>
        <w:r>
          <w:fldChar w:fldCharType="begin"/>
        </w:r>
        <w:r>
          <w:instrText>PAGE   \* MERGEFORMAT</w:instrText>
        </w:r>
        <w:r>
          <w:fldChar w:fldCharType="separate"/>
        </w:r>
        <w:r>
          <w:t>2</w:t>
        </w:r>
        <w:r>
          <w:fldChar w:fldCharType="end"/>
        </w:r>
      </w:p>
    </w:sdtContent>
  </w:sdt>
  <w:p w14:paraId="70F04EAC" w14:textId="77777777" w:rsidR="00243057" w:rsidRDefault="00243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6C74EF" w14:textId="77777777" w:rsidR="00A53D54" w:rsidRDefault="00A53D54" w:rsidP="00243057">
      <w:pPr>
        <w:spacing w:after="0" w:line="240" w:lineRule="auto"/>
      </w:pPr>
      <w:r>
        <w:separator/>
      </w:r>
    </w:p>
  </w:footnote>
  <w:footnote w:type="continuationSeparator" w:id="0">
    <w:p w14:paraId="3246AD37" w14:textId="77777777" w:rsidR="00A53D54" w:rsidRDefault="00A53D54" w:rsidP="002430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A5"/>
    <w:rsid w:val="00042B54"/>
    <w:rsid w:val="00243057"/>
    <w:rsid w:val="00360C33"/>
    <w:rsid w:val="003E2BF3"/>
    <w:rsid w:val="0083229D"/>
    <w:rsid w:val="00865D02"/>
    <w:rsid w:val="008666A5"/>
    <w:rsid w:val="008E0253"/>
    <w:rsid w:val="00A53D54"/>
    <w:rsid w:val="00D648B5"/>
    <w:rsid w:val="00F321B1"/>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5A03"/>
  <w15:chartTrackingRefBased/>
  <w15:docId w15:val="{12863C03-482A-42D6-9A6A-4E4BF16A3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6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6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6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6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6A5"/>
    <w:rPr>
      <w:rFonts w:eastAsiaTheme="majorEastAsia" w:cstheme="majorBidi"/>
      <w:color w:val="272727" w:themeColor="text1" w:themeTint="D8"/>
    </w:rPr>
  </w:style>
  <w:style w:type="paragraph" w:styleId="Title">
    <w:name w:val="Title"/>
    <w:basedOn w:val="Normal"/>
    <w:next w:val="Normal"/>
    <w:link w:val="TitleChar"/>
    <w:uiPriority w:val="10"/>
    <w:qFormat/>
    <w:rsid w:val="00866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6A5"/>
    <w:pPr>
      <w:spacing w:before="160"/>
      <w:jc w:val="center"/>
    </w:pPr>
    <w:rPr>
      <w:i/>
      <w:iCs/>
      <w:color w:val="404040" w:themeColor="text1" w:themeTint="BF"/>
    </w:rPr>
  </w:style>
  <w:style w:type="character" w:customStyle="1" w:styleId="QuoteChar">
    <w:name w:val="Quote Char"/>
    <w:basedOn w:val="DefaultParagraphFont"/>
    <w:link w:val="Quote"/>
    <w:uiPriority w:val="29"/>
    <w:rsid w:val="008666A5"/>
    <w:rPr>
      <w:i/>
      <w:iCs/>
      <w:color w:val="404040" w:themeColor="text1" w:themeTint="BF"/>
    </w:rPr>
  </w:style>
  <w:style w:type="paragraph" w:styleId="ListParagraph">
    <w:name w:val="List Paragraph"/>
    <w:basedOn w:val="Normal"/>
    <w:uiPriority w:val="34"/>
    <w:qFormat/>
    <w:rsid w:val="008666A5"/>
    <w:pPr>
      <w:ind w:left="720"/>
      <w:contextualSpacing/>
    </w:pPr>
  </w:style>
  <w:style w:type="character" w:styleId="IntenseEmphasis">
    <w:name w:val="Intense Emphasis"/>
    <w:basedOn w:val="DefaultParagraphFont"/>
    <w:uiPriority w:val="21"/>
    <w:qFormat/>
    <w:rsid w:val="008666A5"/>
    <w:rPr>
      <w:i/>
      <w:iCs/>
      <w:color w:val="0F4761" w:themeColor="accent1" w:themeShade="BF"/>
    </w:rPr>
  </w:style>
  <w:style w:type="paragraph" w:styleId="IntenseQuote">
    <w:name w:val="Intense Quote"/>
    <w:basedOn w:val="Normal"/>
    <w:next w:val="Normal"/>
    <w:link w:val="IntenseQuoteChar"/>
    <w:uiPriority w:val="30"/>
    <w:qFormat/>
    <w:rsid w:val="00866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6A5"/>
    <w:rPr>
      <w:i/>
      <w:iCs/>
      <w:color w:val="0F4761" w:themeColor="accent1" w:themeShade="BF"/>
    </w:rPr>
  </w:style>
  <w:style w:type="character" w:styleId="IntenseReference">
    <w:name w:val="Intense Reference"/>
    <w:basedOn w:val="DefaultParagraphFont"/>
    <w:uiPriority w:val="32"/>
    <w:qFormat/>
    <w:rsid w:val="008666A5"/>
    <w:rPr>
      <w:b/>
      <w:bCs/>
      <w:smallCaps/>
      <w:color w:val="0F4761" w:themeColor="accent1" w:themeShade="BF"/>
      <w:spacing w:val="5"/>
    </w:rPr>
  </w:style>
  <w:style w:type="paragraph" w:styleId="Header">
    <w:name w:val="header"/>
    <w:basedOn w:val="Normal"/>
    <w:link w:val="HeaderChar"/>
    <w:uiPriority w:val="99"/>
    <w:unhideWhenUsed/>
    <w:rsid w:val="00243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057"/>
  </w:style>
  <w:style w:type="paragraph" w:styleId="Footer">
    <w:name w:val="footer"/>
    <w:basedOn w:val="Normal"/>
    <w:link w:val="FooterChar"/>
    <w:uiPriority w:val="99"/>
    <w:unhideWhenUsed/>
    <w:rsid w:val="00243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0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the-reading-framework-teaching-the-foundations-of-literacy?utm_source=copilot.com" TargetMode="External"/><Relationship Id="rId18" Type="http://schemas.openxmlformats.org/officeDocument/2006/relationships/hyperlink" Target="https://www.literaturewales.org/lw-news/literature-wales-writer-commissions/" TargetMode="External"/><Relationship Id="rId26" Type="http://schemas.openxmlformats.org/officeDocument/2006/relationships/hyperlink" Target="https://psychologyfor.com/noam-chomskys-theory-of-language-development/" TargetMode="External"/><Relationship Id="rId3" Type="http://schemas.openxmlformats.org/officeDocument/2006/relationships/settings" Target="settings.xml"/><Relationship Id="rId21" Type="http://schemas.openxmlformats.org/officeDocument/2006/relationships/hyperlink" Target="https://literacytrust.org.uk/" TargetMode="External"/><Relationship Id="rId34" Type="http://schemas.openxmlformats.org/officeDocument/2006/relationships/theme" Target="theme/theme1.xml"/><Relationship Id="rId7" Type="http://schemas.openxmlformats.org/officeDocument/2006/relationships/hyperlink" Target="https://www.thebritishacademy.ac.uk/documents/227/The-British-Academy-Reframing-Childhood-Past-and-Present-Chronologies" TargetMode="External"/><Relationship Id="rId12" Type="http://schemas.openxmlformats.org/officeDocument/2006/relationships/hyperlink" Target="https://www.gov.wales/sites/default/files/publications/2018-02/additional-learning-needs-and-education-tribunal-wales-act-2018-explanato" TargetMode="External"/><Relationship Id="rId17" Type="http://schemas.openxmlformats.org/officeDocument/2006/relationships/hyperlink" Target="https://www.simplypsychology.org/language.html" TargetMode="External"/><Relationship Id="rId25" Type="http://schemas.openxmlformats.org/officeDocument/2006/relationships/hyperlink" Target="https://psycnet.apa.org/record/201230817-001"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sychologytoday.com/" TargetMode="External"/><Relationship Id="rId20" Type="http://schemas.openxmlformats.org/officeDocument/2006/relationships/hyperlink" Target="https://www.mcw.edu/" TargetMode="External"/><Relationship Id="rId29" Type="http://schemas.openxmlformats.org/officeDocument/2006/relationships/hyperlink" Target="https://www.researchgate.net/publication/265565339_Thomas-Kilmann_conflict_MODE_instru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sycnet.apa.org/record/1995-98387-000" TargetMode="External"/><Relationship Id="rId24" Type="http://schemas.openxmlformats.org/officeDocument/2006/relationships/hyperlink" Target="https://oecd.org/en/publications/oecd-infe-international-survey-of-adult-financial-literacy-competencies"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ysgolharritudur.cymru/home-201.php" TargetMode="External"/><Relationship Id="rId23" Type="http://schemas.openxmlformats.org/officeDocument/2006/relationships/hyperlink" Target="https://www.oecd.org/en/publications/pisa-2009-results-what-students-know-and-can-do_9789264091450-en.html" TargetMode="External"/><Relationship Id="rId28" Type="http://schemas.openxmlformats.org/officeDocument/2006/relationships/hyperlink" Target="https://link.springer.com/chapter10.1057/978-1-137-54443-8-2" TargetMode="External"/><Relationship Id="rId10" Type="http://schemas.openxmlformats.org/officeDocument/2006/relationships/hyperlink" Target="https://senedd.wales/media/4tfknvrj/13-039-english.pdf" TargetMode="External"/><Relationship Id="rId19" Type="http://schemas.openxmlformats.org/officeDocument/2006/relationships/hyperlink" Target="https://www.simplypsychology.org/vygotsky.html" TargetMode="External"/><Relationship Id="rId31" Type="http://schemas.openxmlformats.org/officeDocument/2006/relationships/hyperlink" Target="https://www.cpdin5.com/p/the-impact-of-educational-policy-changes-on-uk-outcomes" TargetMode="External"/><Relationship Id="rId4" Type="http://schemas.openxmlformats.org/officeDocument/2006/relationships/webSettings" Target="webSettings.xml"/><Relationship Id="rId9" Type="http://schemas.openxmlformats.org/officeDocument/2006/relationships/hyperlink" Target="https://research.senedd.wales/research-articles/literacy-and-numeracy-research-paper-available/" TargetMode="External"/><Relationship Id="rId14" Type="http://schemas.openxmlformats.org/officeDocument/2006/relationships/hyperlink" Target="https://www.gov.wales/statement-intent-teaching-early-reading-html" TargetMode="External"/><Relationship Id="rId22" Type="http://schemas.openxmlformats.org/officeDocument/2006/relationships/hyperlink" Target="https://literacytrust.org.uk/information/what-is-literacy/literacy-and-digital-technology/" TargetMode="External"/><Relationship Id="rId27" Type="http://schemas.openxmlformats.org/officeDocument/2006/relationships/hyperlink" Target="https://psycnet.apa.org/record/1954-05139-000" TargetMode="External"/><Relationship Id="rId30" Type="http://schemas.openxmlformats.org/officeDocument/2006/relationships/hyperlink" Target="https://www.simplypsychology.org/vygotsky.html" TargetMode="External"/><Relationship Id="rId8" Type="http://schemas.openxmlformats.org/officeDocument/2006/relationships/hyperlink" Target="https://link.springer.com/rwe/10.1007/978-3-030-81037-5_1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DFFE3-7C93-4797-BE92-0F846F274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3104</Words>
  <Characters>18257</Characters>
  <Application>Microsoft Office Word</Application>
  <DocSecurity>0</DocSecurity>
  <Lines>357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luli leka</dc:creator>
  <cp:keywords/>
  <dc:description/>
  <cp:lastModifiedBy>luli leka</cp:lastModifiedBy>
  <cp:revision>3</cp:revision>
  <dcterms:created xsi:type="dcterms:W3CDTF">2026-04-26T10:41:00Z</dcterms:created>
  <dcterms:modified xsi:type="dcterms:W3CDTF">2026-04-26T10:59:00Z</dcterms:modified>
</cp:coreProperties>
</file>