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D9ABC9" w14:textId="719FF4B7" w:rsidR="00156231" w:rsidRDefault="00156231">
      <w:pPr>
        <w:widowControl/>
        <w:autoSpaceDE/>
        <w:autoSpaceDN/>
        <w:spacing w:before="72"/>
        <w:ind w:left="62" w:right="79"/>
        <w:jc w:val="center"/>
        <w:rPr>
          <w:b/>
          <w:bCs/>
        </w:rPr>
      </w:pPr>
    </w:p>
    <w:p w14:paraId="207C0140" w14:textId="502DE3A2" w:rsidR="00156231" w:rsidRDefault="000B1DE4">
      <w:pPr>
        <w:widowControl/>
        <w:autoSpaceDE/>
        <w:autoSpaceDN/>
        <w:spacing w:before="72"/>
        <w:ind w:left="62" w:right="79"/>
        <w:jc w:val="center"/>
        <w:rPr>
          <w:b/>
          <w:bCs/>
        </w:rPr>
      </w:pPr>
      <w:r>
        <w:rPr>
          <w:b/>
          <w:bCs/>
        </w:rPr>
        <w:t>Student name: Mihai Pavelescu</w:t>
      </w:r>
    </w:p>
    <w:p w14:paraId="515F054C" w14:textId="4F3DCD26" w:rsidR="000B1DE4" w:rsidRDefault="000B1DE4">
      <w:pPr>
        <w:widowControl/>
        <w:autoSpaceDE/>
        <w:autoSpaceDN/>
        <w:spacing w:before="72"/>
        <w:ind w:left="62" w:right="79"/>
        <w:jc w:val="center"/>
        <w:rPr>
          <w:b/>
          <w:bCs/>
        </w:rPr>
      </w:pPr>
      <w:r>
        <w:rPr>
          <w:b/>
          <w:bCs/>
        </w:rPr>
        <w:t>Student number: 2020583</w:t>
      </w:r>
    </w:p>
    <w:p w14:paraId="10F41522" w14:textId="42E09452" w:rsidR="000B1DE4" w:rsidRDefault="000B1DE4">
      <w:pPr>
        <w:widowControl/>
        <w:autoSpaceDE/>
        <w:autoSpaceDN/>
        <w:spacing w:before="72"/>
        <w:ind w:left="62" w:right="79"/>
        <w:jc w:val="center"/>
        <w:rPr>
          <w:b/>
          <w:bCs/>
        </w:rPr>
      </w:pPr>
      <w:r>
        <w:rPr>
          <w:b/>
          <w:bCs/>
        </w:rPr>
        <w:t>Lecturer: Dale Clarke</w:t>
      </w:r>
    </w:p>
    <w:p w14:paraId="2AB88289" w14:textId="2C1E85F1" w:rsidR="000B1DE4" w:rsidRDefault="000B1DE4">
      <w:pPr>
        <w:widowControl/>
        <w:autoSpaceDE/>
        <w:autoSpaceDN/>
        <w:spacing w:before="72"/>
        <w:ind w:left="62" w:right="79"/>
        <w:jc w:val="center"/>
        <w:rPr>
          <w:b/>
          <w:bCs/>
        </w:rPr>
      </w:pPr>
      <w:r>
        <w:rPr>
          <w:b/>
          <w:bCs/>
        </w:rPr>
        <w:t xml:space="preserve">Module: Financial Management </w:t>
      </w:r>
      <w:proofErr w:type="gramStart"/>
      <w:r>
        <w:rPr>
          <w:b/>
          <w:bCs/>
        </w:rPr>
        <w:t>For</w:t>
      </w:r>
      <w:proofErr w:type="gramEnd"/>
      <w:r>
        <w:rPr>
          <w:b/>
          <w:bCs/>
        </w:rPr>
        <w:t xml:space="preserve"> The Hotel Industry </w:t>
      </w:r>
      <w:r w:rsidR="00FC23D8">
        <w:rPr>
          <w:b/>
          <w:bCs/>
        </w:rPr>
        <w:t>(BMIH 5007)</w:t>
      </w:r>
    </w:p>
    <w:p w14:paraId="107983AC" w14:textId="20BD2724" w:rsidR="00156231" w:rsidRDefault="00156231">
      <w:pPr>
        <w:widowControl/>
        <w:autoSpaceDE/>
        <w:autoSpaceDN/>
        <w:spacing w:before="72"/>
        <w:ind w:left="62" w:right="79"/>
        <w:jc w:val="center"/>
        <w:rPr>
          <w:b/>
          <w:bCs/>
        </w:rPr>
      </w:pPr>
    </w:p>
    <w:p w14:paraId="139358C3" w14:textId="16C0EBA9" w:rsidR="00156231" w:rsidRDefault="00156231">
      <w:pPr>
        <w:widowControl/>
        <w:autoSpaceDE/>
        <w:autoSpaceDN/>
        <w:spacing w:before="72"/>
        <w:ind w:left="62" w:right="79"/>
        <w:jc w:val="center"/>
        <w:rPr>
          <w:b/>
          <w:bCs/>
        </w:rPr>
      </w:pPr>
    </w:p>
    <w:p w14:paraId="021D7C6E" w14:textId="403B26C2" w:rsidR="00156231" w:rsidRDefault="00156231">
      <w:pPr>
        <w:widowControl/>
        <w:autoSpaceDE/>
        <w:autoSpaceDN/>
        <w:spacing w:before="72"/>
        <w:ind w:left="62" w:right="79"/>
        <w:jc w:val="center"/>
        <w:rPr>
          <w:b/>
          <w:bCs/>
        </w:rPr>
      </w:pPr>
    </w:p>
    <w:p w14:paraId="384AAD0E" w14:textId="3CA6DFFC" w:rsidR="00156231" w:rsidRDefault="00156231">
      <w:pPr>
        <w:widowControl/>
        <w:autoSpaceDE/>
        <w:autoSpaceDN/>
        <w:spacing w:before="72"/>
        <w:ind w:left="62" w:right="79"/>
        <w:jc w:val="center"/>
        <w:rPr>
          <w:b/>
          <w:bCs/>
        </w:rPr>
      </w:pPr>
    </w:p>
    <w:p w14:paraId="68EBAA59" w14:textId="33F31670" w:rsidR="000B1DE4" w:rsidRDefault="000B1DE4">
      <w:pPr>
        <w:widowControl/>
        <w:autoSpaceDE/>
        <w:autoSpaceDN/>
        <w:spacing w:before="72"/>
        <w:ind w:left="62" w:right="79"/>
        <w:jc w:val="center"/>
        <w:rPr>
          <w:b/>
          <w:bCs/>
        </w:rPr>
      </w:pPr>
    </w:p>
    <w:p w14:paraId="0FB09511" w14:textId="04536081" w:rsidR="000B1DE4" w:rsidRDefault="000B1DE4">
      <w:pPr>
        <w:widowControl/>
        <w:autoSpaceDE/>
        <w:autoSpaceDN/>
        <w:spacing w:before="72"/>
        <w:ind w:left="62" w:right="79"/>
        <w:jc w:val="center"/>
        <w:rPr>
          <w:b/>
          <w:bCs/>
        </w:rPr>
      </w:pPr>
    </w:p>
    <w:p w14:paraId="0DA9F89A" w14:textId="4CB2E737" w:rsidR="000B1DE4" w:rsidRDefault="000B1DE4">
      <w:pPr>
        <w:widowControl/>
        <w:autoSpaceDE/>
        <w:autoSpaceDN/>
        <w:spacing w:before="72"/>
        <w:ind w:left="62" w:right="79"/>
        <w:jc w:val="center"/>
        <w:rPr>
          <w:b/>
          <w:bCs/>
        </w:rPr>
      </w:pPr>
    </w:p>
    <w:p w14:paraId="065CF676" w14:textId="3767B94D" w:rsidR="000B1DE4" w:rsidRDefault="000B1DE4">
      <w:pPr>
        <w:widowControl/>
        <w:autoSpaceDE/>
        <w:autoSpaceDN/>
        <w:spacing w:before="72"/>
        <w:ind w:left="62" w:right="79"/>
        <w:jc w:val="center"/>
        <w:rPr>
          <w:b/>
          <w:bCs/>
        </w:rPr>
      </w:pPr>
    </w:p>
    <w:p w14:paraId="213C8DCD" w14:textId="2B18A83F" w:rsidR="000B1DE4" w:rsidRDefault="000B1DE4">
      <w:pPr>
        <w:widowControl/>
        <w:autoSpaceDE/>
        <w:autoSpaceDN/>
        <w:spacing w:before="72"/>
        <w:ind w:left="62" w:right="79"/>
        <w:jc w:val="center"/>
        <w:rPr>
          <w:b/>
          <w:bCs/>
        </w:rPr>
      </w:pPr>
    </w:p>
    <w:p w14:paraId="6BFB4A42" w14:textId="225CA9DC" w:rsidR="000B1DE4" w:rsidRDefault="000B1DE4">
      <w:pPr>
        <w:widowControl/>
        <w:autoSpaceDE/>
        <w:autoSpaceDN/>
        <w:spacing w:before="72"/>
        <w:ind w:left="62" w:right="79"/>
        <w:jc w:val="center"/>
        <w:rPr>
          <w:b/>
          <w:bCs/>
        </w:rPr>
      </w:pPr>
    </w:p>
    <w:p w14:paraId="57ED1557" w14:textId="3D58A231" w:rsidR="000B1DE4" w:rsidRDefault="000B1DE4">
      <w:pPr>
        <w:widowControl/>
        <w:autoSpaceDE/>
        <w:autoSpaceDN/>
        <w:spacing w:before="72"/>
        <w:ind w:left="62" w:right="79"/>
        <w:jc w:val="center"/>
        <w:rPr>
          <w:b/>
          <w:bCs/>
        </w:rPr>
      </w:pPr>
    </w:p>
    <w:p w14:paraId="0C5307BF" w14:textId="685CEAF9" w:rsidR="000B1DE4" w:rsidRDefault="000B1DE4">
      <w:pPr>
        <w:widowControl/>
        <w:autoSpaceDE/>
        <w:autoSpaceDN/>
        <w:spacing w:before="72"/>
        <w:ind w:left="62" w:right="79"/>
        <w:jc w:val="center"/>
        <w:rPr>
          <w:b/>
          <w:bCs/>
        </w:rPr>
      </w:pPr>
    </w:p>
    <w:p w14:paraId="4FAF4253" w14:textId="11904B43" w:rsidR="000B1DE4" w:rsidRDefault="000B1DE4">
      <w:pPr>
        <w:widowControl/>
        <w:autoSpaceDE/>
        <w:autoSpaceDN/>
        <w:spacing w:before="72"/>
        <w:ind w:left="62" w:right="79"/>
        <w:jc w:val="center"/>
        <w:rPr>
          <w:b/>
          <w:bCs/>
        </w:rPr>
      </w:pPr>
    </w:p>
    <w:p w14:paraId="67A40C66" w14:textId="1B7C94B3" w:rsidR="000B1DE4" w:rsidRDefault="000B1DE4">
      <w:pPr>
        <w:widowControl/>
        <w:autoSpaceDE/>
        <w:autoSpaceDN/>
        <w:spacing w:before="72"/>
        <w:ind w:left="62" w:right="79"/>
        <w:jc w:val="center"/>
        <w:rPr>
          <w:b/>
          <w:bCs/>
        </w:rPr>
      </w:pPr>
    </w:p>
    <w:p w14:paraId="1561633B" w14:textId="54289DDB" w:rsidR="000B1DE4" w:rsidRDefault="000B1DE4">
      <w:pPr>
        <w:widowControl/>
        <w:autoSpaceDE/>
        <w:autoSpaceDN/>
        <w:spacing w:before="72"/>
        <w:ind w:left="62" w:right="79"/>
        <w:jc w:val="center"/>
        <w:rPr>
          <w:b/>
          <w:bCs/>
        </w:rPr>
      </w:pPr>
    </w:p>
    <w:p w14:paraId="353CC914" w14:textId="77FADB08" w:rsidR="000B1DE4" w:rsidRDefault="000B1DE4">
      <w:pPr>
        <w:widowControl/>
        <w:autoSpaceDE/>
        <w:autoSpaceDN/>
        <w:spacing w:before="72"/>
        <w:ind w:left="62" w:right="79"/>
        <w:jc w:val="center"/>
        <w:rPr>
          <w:b/>
          <w:bCs/>
        </w:rPr>
      </w:pPr>
    </w:p>
    <w:p w14:paraId="6DB1A8C8" w14:textId="53A4E9A1" w:rsidR="000B1DE4" w:rsidRDefault="000B1DE4">
      <w:pPr>
        <w:widowControl/>
        <w:autoSpaceDE/>
        <w:autoSpaceDN/>
        <w:spacing w:before="72"/>
        <w:ind w:left="62" w:right="79"/>
        <w:jc w:val="center"/>
        <w:rPr>
          <w:b/>
          <w:bCs/>
        </w:rPr>
      </w:pPr>
    </w:p>
    <w:p w14:paraId="78A3B1C2" w14:textId="3AE74B60" w:rsidR="000B1DE4" w:rsidRDefault="000B1DE4">
      <w:pPr>
        <w:widowControl/>
        <w:autoSpaceDE/>
        <w:autoSpaceDN/>
        <w:spacing w:before="72"/>
        <w:ind w:left="62" w:right="79"/>
        <w:jc w:val="center"/>
        <w:rPr>
          <w:b/>
          <w:bCs/>
        </w:rPr>
      </w:pPr>
    </w:p>
    <w:p w14:paraId="56436AEE" w14:textId="736A0A1E" w:rsidR="000B1DE4" w:rsidRDefault="000B1DE4">
      <w:pPr>
        <w:widowControl/>
        <w:autoSpaceDE/>
        <w:autoSpaceDN/>
        <w:spacing w:before="72"/>
        <w:ind w:left="62" w:right="79"/>
        <w:jc w:val="center"/>
        <w:rPr>
          <w:b/>
          <w:bCs/>
        </w:rPr>
      </w:pPr>
    </w:p>
    <w:p w14:paraId="4613230D" w14:textId="673470D4" w:rsidR="000B1DE4" w:rsidRDefault="000B1DE4">
      <w:pPr>
        <w:widowControl/>
        <w:autoSpaceDE/>
        <w:autoSpaceDN/>
        <w:spacing w:before="72"/>
        <w:ind w:left="62" w:right="79"/>
        <w:jc w:val="center"/>
        <w:rPr>
          <w:b/>
          <w:bCs/>
        </w:rPr>
      </w:pPr>
    </w:p>
    <w:p w14:paraId="61D95D50" w14:textId="6ADDC045" w:rsidR="000B1DE4" w:rsidRDefault="000B1DE4">
      <w:pPr>
        <w:widowControl/>
        <w:autoSpaceDE/>
        <w:autoSpaceDN/>
        <w:spacing w:before="72"/>
        <w:ind w:left="62" w:right="79"/>
        <w:jc w:val="center"/>
        <w:rPr>
          <w:b/>
          <w:bCs/>
        </w:rPr>
      </w:pPr>
    </w:p>
    <w:p w14:paraId="5825FAB8" w14:textId="44105529" w:rsidR="000B1DE4" w:rsidRDefault="000B1DE4">
      <w:pPr>
        <w:widowControl/>
        <w:autoSpaceDE/>
        <w:autoSpaceDN/>
        <w:spacing w:before="72"/>
        <w:ind w:left="62" w:right="79"/>
        <w:jc w:val="center"/>
        <w:rPr>
          <w:b/>
          <w:bCs/>
        </w:rPr>
      </w:pPr>
    </w:p>
    <w:p w14:paraId="419FEA73" w14:textId="77777777" w:rsidR="000B1DE4" w:rsidRDefault="000B1DE4">
      <w:pPr>
        <w:widowControl/>
        <w:autoSpaceDE/>
        <w:autoSpaceDN/>
        <w:spacing w:before="72"/>
        <w:ind w:left="62" w:right="79"/>
        <w:jc w:val="center"/>
        <w:rPr>
          <w:b/>
          <w:bCs/>
        </w:rPr>
      </w:pPr>
    </w:p>
    <w:p w14:paraId="1040E520" w14:textId="24A2AFBA" w:rsidR="00156231" w:rsidRDefault="00156231">
      <w:pPr>
        <w:widowControl/>
        <w:autoSpaceDE/>
        <w:autoSpaceDN/>
        <w:spacing w:before="72"/>
        <w:ind w:left="62" w:right="79"/>
        <w:jc w:val="center"/>
        <w:rPr>
          <w:b/>
          <w:bCs/>
        </w:rPr>
      </w:pPr>
    </w:p>
    <w:p w14:paraId="103C47C4" w14:textId="77777777" w:rsidR="00156231" w:rsidRDefault="00156231">
      <w:pPr>
        <w:widowControl/>
        <w:autoSpaceDE/>
        <w:autoSpaceDN/>
        <w:spacing w:before="72"/>
        <w:ind w:left="62" w:right="79"/>
        <w:jc w:val="center"/>
        <w:rPr>
          <w:b/>
          <w:bCs/>
        </w:rPr>
      </w:pPr>
    </w:p>
    <w:p w14:paraId="7E375BD4" w14:textId="3EFA068A" w:rsidR="00516681" w:rsidRDefault="00516681">
      <w:pPr>
        <w:widowControl/>
        <w:autoSpaceDE/>
        <w:autoSpaceDN/>
        <w:spacing w:before="72"/>
        <w:ind w:left="62" w:right="79"/>
        <w:jc w:val="center"/>
        <w:rPr>
          <w:b/>
          <w:bCs/>
        </w:rPr>
      </w:pPr>
      <w:r>
        <w:rPr>
          <w:b/>
          <w:bCs/>
        </w:rPr>
        <w:t>Executive Summary</w:t>
      </w:r>
    </w:p>
    <w:p w14:paraId="12DF4652" w14:textId="580147C2" w:rsidR="00516681" w:rsidRDefault="00516681" w:rsidP="00516681">
      <w:pPr>
        <w:widowControl/>
        <w:autoSpaceDE/>
        <w:autoSpaceDN/>
        <w:spacing w:before="72"/>
        <w:ind w:left="62" w:right="79"/>
      </w:pPr>
      <w:r>
        <w:t xml:space="preserve">The report deals with the major aspects of ratio analysis. It consists of </w:t>
      </w:r>
      <w:r w:rsidR="002D557F">
        <w:t>how</w:t>
      </w:r>
      <w:r>
        <w:t xml:space="preserve"> a business corporation will be able to properly </w:t>
      </w:r>
      <w:r w:rsidR="00BA0F36">
        <w:t>use it to its benefit. It has been found that with the help of the financial ratios the business organisations can make better decisions. This report also consists of the major ways in which the organisation calculates the ratio. The report also puts forwards discussions regarding the major limitations of the financial ratio analysis. At the end of the report</w:t>
      </w:r>
      <w:r w:rsidR="002D557F">
        <w:t>,</w:t>
      </w:r>
      <w:r w:rsidR="00BA0F36">
        <w:t xml:space="preserve"> a conclusive statement has also been provided for a better summary of all the discussions done. </w:t>
      </w:r>
      <w:r>
        <w:br w:type="page"/>
      </w:r>
    </w:p>
    <w:sdt>
      <w:sdtPr>
        <w:rPr>
          <w:rFonts w:ascii="Arial" w:eastAsia="Arial MT" w:hAnsi="Arial" w:cs="Arial MT"/>
          <w:color w:val="auto"/>
          <w:sz w:val="24"/>
          <w:szCs w:val="22"/>
          <w:lang w:val="en-GB"/>
        </w:rPr>
        <w:id w:val="-1350020030"/>
        <w:docPartObj>
          <w:docPartGallery w:val="Table of Contents"/>
          <w:docPartUnique/>
        </w:docPartObj>
      </w:sdtPr>
      <w:sdtEndPr>
        <w:rPr>
          <w:b/>
          <w:bCs/>
          <w:noProof/>
        </w:rPr>
      </w:sdtEndPr>
      <w:sdtContent>
        <w:p w14:paraId="0603697D" w14:textId="55B69024" w:rsidR="00A46442" w:rsidRPr="00364280" w:rsidRDefault="00A46442" w:rsidP="00364280">
          <w:pPr>
            <w:pStyle w:val="TOCHeading"/>
            <w:jc w:val="center"/>
            <w:rPr>
              <w:rFonts w:ascii="Arial" w:hAnsi="Arial" w:cs="Arial"/>
              <w:b/>
              <w:bCs/>
              <w:color w:val="000000" w:themeColor="text1"/>
              <w:sz w:val="24"/>
              <w:szCs w:val="24"/>
            </w:rPr>
          </w:pPr>
          <w:r w:rsidRPr="00364280">
            <w:rPr>
              <w:rFonts w:ascii="Arial" w:hAnsi="Arial" w:cs="Arial"/>
              <w:b/>
              <w:bCs/>
              <w:color w:val="000000" w:themeColor="text1"/>
              <w:sz w:val="24"/>
              <w:szCs w:val="24"/>
            </w:rPr>
            <w:t>Table of Contents</w:t>
          </w:r>
        </w:p>
        <w:p w14:paraId="2D56431C" w14:textId="7DABC2F7" w:rsidR="00364280" w:rsidRDefault="00A46442">
          <w:pPr>
            <w:pStyle w:val="TOC1"/>
            <w:tabs>
              <w:tab w:val="right" w:leader="dot" w:pos="9016"/>
            </w:tabs>
            <w:rPr>
              <w:rFonts w:asciiTheme="minorHAnsi" w:eastAsiaTheme="minorEastAsia" w:hAnsiTheme="minorHAnsi" w:cstheme="minorBidi"/>
              <w:noProof/>
              <w:sz w:val="22"/>
              <w:lang w:val="en-IN" w:eastAsia="en-IN"/>
            </w:rPr>
          </w:pPr>
          <w:r>
            <w:fldChar w:fldCharType="begin"/>
          </w:r>
          <w:r>
            <w:instrText xml:space="preserve"> TOC \o "1-3" \h \z \u </w:instrText>
          </w:r>
          <w:r>
            <w:fldChar w:fldCharType="separate"/>
          </w:r>
          <w:hyperlink w:anchor="_Toc104037741" w:history="1">
            <w:r w:rsidR="00364280" w:rsidRPr="007B7EA2">
              <w:rPr>
                <w:rStyle w:val="Hyperlink"/>
                <w:noProof/>
              </w:rPr>
              <w:t>Introduction</w:t>
            </w:r>
            <w:r w:rsidR="00364280">
              <w:rPr>
                <w:noProof/>
                <w:webHidden/>
              </w:rPr>
              <w:tab/>
            </w:r>
            <w:r w:rsidR="00364280">
              <w:rPr>
                <w:noProof/>
                <w:webHidden/>
              </w:rPr>
              <w:fldChar w:fldCharType="begin"/>
            </w:r>
            <w:r w:rsidR="00364280">
              <w:rPr>
                <w:noProof/>
                <w:webHidden/>
              </w:rPr>
              <w:instrText xml:space="preserve"> PAGEREF _Toc104037741 \h </w:instrText>
            </w:r>
            <w:r w:rsidR="00364280">
              <w:rPr>
                <w:noProof/>
                <w:webHidden/>
              </w:rPr>
            </w:r>
            <w:r w:rsidR="00364280">
              <w:rPr>
                <w:noProof/>
                <w:webHidden/>
              </w:rPr>
              <w:fldChar w:fldCharType="separate"/>
            </w:r>
            <w:r w:rsidR="00364280">
              <w:rPr>
                <w:noProof/>
                <w:webHidden/>
              </w:rPr>
              <w:t>3</w:t>
            </w:r>
            <w:r w:rsidR="00364280">
              <w:rPr>
                <w:noProof/>
                <w:webHidden/>
              </w:rPr>
              <w:fldChar w:fldCharType="end"/>
            </w:r>
          </w:hyperlink>
        </w:p>
        <w:p w14:paraId="61595107" w14:textId="4B361517" w:rsidR="00364280" w:rsidRDefault="00E86806">
          <w:pPr>
            <w:pStyle w:val="TOC1"/>
            <w:tabs>
              <w:tab w:val="right" w:leader="dot" w:pos="9016"/>
            </w:tabs>
            <w:rPr>
              <w:rFonts w:asciiTheme="minorHAnsi" w:eastAsiaTheme="minorEastAsia" w:hAnsiTheme="minorHAnsi" w:cstheme="minorBidi"/>
              <w:noProof/>
              <w:sz w:val="22"/>
              <w:lang w:val="en-IN" w:eastAsia="en-IN"/>
            </w:rPr>
          </w:pPr>
          <w:hyperlink w:anchor="_Toc104037742" w:history="1">
            <w:r w:rsidR="00364280" w:rsidRPr="007B7EA2">
              <w:rPr>
                <w:rStyle w:val="Hyperlink"/>
                <w:noProof/>
              </w:rPr>
              <w:t>Part A</w:t>
            </w:r>
            <w:r w:rsidR="00364280">
              <w:rPr>
                <w:noProof/>
                <w:webHidden/>
              </w:rPr>
              <w:tab/>
            </w:r>
            <w:r w:rsidR="00364280">
              <w:rPr>
                <w:noProof/>
                <w:webHidden/>
              </w:rPr>
              <w:fldChar w:fldCharType="begin"/>
            </w:r>
            <w:r w:rsidR="00364280">
              <w:rPr>
                <w:noProof/>
                <w:webHidden/>
              </w:rPr>
              <w:instrText xml:space="preserve"> PAGEREF _Toc104037742 \h </w:instrText>
            </w:r>
            <w:r w:rsidR="00364280">
              <w:rPr>
                <w:noProof/>
                <w:webHidden/>
              </w:rPr>
            </w:r>
            <w:r w:rsidR="00364280">
              <w:rPr>
                <w:noProof/>
                <w:webHidden/>
              </w:rPr>
              <w:fldChar w:fldCharType="separate"/>
            </w:r>
            <w:r w:rsidR="00364280">
              <w:rPr>
                <w:noProof/>
                <w:webHidden/>
              </w:rPr>
              <w:t>4</w:t>
            </w:r>
            <w:r w:rsidR="00364280">
              <w:rPr>
                <w:noProof/>
                <w:webHidden/>
              </w:rPr>
              <w:fldChar w:fldCharType="end"/>
            </w:r>
          </w:hyperlink>
        </w:p>
        <w:p w14:paraId="3A865ACD" w14:textId="552FC932" w:rsidR="00364280" w:rsidRDefault="00E86806">
          <w:pPr>
            <w:pStyle w:val="TOC1"/>
            <w:tabs>
              <w:tab w:val="right" w:leader="dot" w:pos="9016"/>
            </w:tabs>
            <w:rPr>
              <w:rFonts w:asciiTheme="minorHAnsi" w:eastAsiaTheme="minorEastAsia" w:hAnsiTheme="minorHAnsi" w:cstheme="minorBidi"/>
              <w:noProof/>
              <w:sz w:val="22"/>
              <w:lang w:val="en-IN" w:eastAsia="en-IN"/>
            </w:rPr>
          </w:pPr>
          <w:hyperlink w:anchor="_Toc104037743" w:history="1">
            <w:r w:rsidR="00364280" w:rsidRPr="007B7EA2">
              <w:rPr>
                <w:rStyle w:val="Hyperlink"/>
                <w:noProof/>
              </w:rPr>
              <w:t>Part B</w:t>
            </w:r>
            <w:r w:rsidR="00364280">
              <w:rPr>
                <w:noProof/>
                <w:webHidden/>
              </w:rPr>
              <w:tab/>
            </w:r>
            <w:r w:rsidR="00364280">
              <w:rPr>
                <w:noProof/>
                <w:webHidden/>
              </w:rPr>
              <w:fldChar w:fldCharType="begin"/>
            </w:r>
            <w:r w:rsidR="00364280">
              <w:rPr>
                <w:noProof/>
                <w:webHidden/>
              </w:rPr>
              <w:instrText xml:space="preserve"> PAGEREF _Toc104037743 \h </w:instrText>
            </w:r>
            <w:r w:rsidR="00364280">
              <w:rPr>
                <w:noProof/>
                <w:webHidden/>
              </w:rPr>
            </w:r>
            <w:r w:rsidR="00364280">
              <w:rPr>
                <w:noProof/>
                <w:webHidden/>
              </w:rPr>
              <w:fldChar w:fldCharType="separate"/>
            </w:r>
            <w:r w:rsidR="00364280">
              <w:rPr>
                <w:noProof/>
                <w:webHidden/>
              </w:rPr>
              <w:t>11</w:t>
            </w:r>
            <w:r w:rsidR="00364280">
              <w:rPr>
                <w:noProof/>
                <w:webHidden/>
              </w:rPr>
              <w:fldChar w:fldCharType="end"/>
            </w:r>
          </w:hyperlink>
        </w:p>
        <w:p w14:paraId="4F563B78" w14:textId="75D163B0" w:rsidR="00364280" w:rsidRDefault="00E86806">
          <w:pPr>
            <w:pStyle w:val="TOC1"/>
            <w:tabs>
              <w:tab w:val="right" w:leader="dot" w:pos="9016"/>
            </w:tabs>
            <w:rPr>
              <w:rFonts w:asciiTheme="minorHAnsi" w:eastAsiaTheme="minorEastAsia" w:hAnsiTheme="minorHAnsi" w:cstheme="minorBidi"/>
              <w:noProof/>
              <w:sz w:val="22"/>
              <w:lang w:val="en-IN" w:eastAsia="en-IN"/>
            </w:rPr>
          </w:pPr>
          <w:hyperlink w:anchor="_Toc104037744" w:history="1">
            <w:r w:rsidR="00364280" w:rsidRPr="007B7EA2">
              <w:rPr>
                <w:rStyle w:val="Hyperlink"/>
                <w:noProof/>
              </w:rPr>
              <w:t>Part C</w:t>
            </w:r>
            <w:r w:rsidR="00364280">
              <w:rPr>
                <w:noProof/>
                <w:webHidden/>
              </w:rPr>
              <w:tab/>
            </w:r>
            <w:r w:rsidR="00364280">
              <w:rPr>
                <w:noProof/>
                <w:webHidden/>
              </w:rPr>
              <w:fldChar w:fldCharType="begin"/>
            </w:r>
            <w:r w:rsidR="00364280">
              <w:rPr>
                <w:noProof/>
                <w:webHidden/>
              </w:rPr>
              <w:instrText xml:space="preserve"> PAGEREF _Toc104037744 \h </w:instrText>
            </w:r>
            <w:r w:rsidR="00364280">
              <w:rPr>
                <w:noProof/>
                <w:webHidden/>
              </w:rPr>
            </w:r>
            <w:r w:rsidR="00364280">
              <w:rPr>
                <w:noProof/>
                <w:webHidden/>
              </w:rPr>
              <w:fldChar w:fldCharType="separate"/>
            </w:r>
            <w:r w:rsidR="00364280">
              <w:rPr>
                <w:noProof/>
                <w:webHidden/>
              </w:rPr>
              <w:t>13</w:t>
            </w:r>
            <w:r w:rsidR="00364280">
              <w:rPr>
                <w:noProof/>
                <w:webHidden/>
              </w:rPr>
              <w:fldChar w:fldCharType="end"/>
            </w:r>
          </w:hyperlink>
        </w:p>
        <w:p w14:paraId="3A3451FF" w14:textId="2B5F3123" w:rsidR="00364280" w:rsidRDefault="00E86806">
          <w:pPr>
            <w:pStyle w:val="TOC1"/>
            <w:tabs>
              <w:tab w:val="right" w:leader="dot" w:pos="9016"/>
            </w:tabs>
            <w:rPr>
              <w:rFonts w:asciiTheme="minorHAnsi" w:eastAsiaTheme="minorEastAsia" w:hAnsiTheme="minorHAnsi" w:cstheme="minorBidi"/>
              <w:noProof/>
              <w:sz w:val="22"/>
              <w:lang w:val="en-IN" w:eastAsia="en-IN"/>
            </w:rPr>
          </w:pPr>
          <w:hyperlink w:anchor="_Toc104037745" w:history="1">
            <w:r w:rsidR="00364280" w:rsidRPr="007B7EA2">
              <w:rPr>
                <w:rStyle w:val="Hyperlink"/>
                <w:noProof/>
              </w:rPr>
              <w:t>Conclusion</w:t>
            </w:r>
            <w:r w:rsidR="00364280">
              <w:rPr>
                <w:noProof/>
                <w:webHidden/>
              </w:rPr>
              <w:tab/>
            </w:r>
            <w:r w:rsidR="00364280">
              <w:rPr>
                <w:noProof/>
                <w:webHidden/>
              </w:rPr>
              <w:fldChar w:fldCharType="begin"/>
            </w:r>
            <w:r w:rsidR="00364280">
              <w:rPr>
                <w:noProof/>
                <w:webHidden/>
              </w:rPr>
              <w:instrText xml:space="preserve"> PAGEREF _Toc104037745 \h </w:instrText>
            </w:r>
            <w:r w:rsidR="00364280">
              <w:rPr>
                <w:noProof/>
                <w:webHidden/>
              </w:rPr>
            </w:r>
            <w:r w:rsidR="00364280">
              <w:rPr>
                <w:noProof/>
                <w:webHidden/>
              </w:rPr>
              <w:fldChar w:fldCharType="separate"/>
            </w:r>
            <w:r w:rsidR="00364280">
              <w:rPr>
                <w:noProof/>
                <w:webHidden/>
              </w:rPr>
              <w:t>15</w:t>
            </w:r>
            <w:r w:rsidR="00364280">
              <w:rPr>
                <w:noProof/>
                <w:webHidden/>
              </w:rPr>
              <w:fldChar w:fldCharType="end"/>
            </w:r>
          </w:hyperlink>
        </w:p>
        <w:p w14:paraId="043A7098" w14:textId="481E2DDD" w:rsidR="00364280" w:rsidRDefault="00E86806">
          <w:pPr>
            <w:pStyle w:val="TOC1"/>
            <w:tabs>
              <w:tab w:val="right" w:leader="dot" w:pos="9016"/>
            </w:tabs>
            <w:rPr>
              <w:rFonts w:asciiTheme="minorHAnsi" w:eastAsiaTheme="minorEastAsia" w:hAnsiTheme="minorHAnsi" w:cstheme="minorBidi"/>
              <w:noProof/>
              <w:sz w:val="22"/>
              <w:lang w:val="en-IN" w:eastAsia="en-IN"/>
            </w:rPr>
          </w:pPr>
          <w:hyperlink w:anchor="_Toc104037746" w:history="1">
            <w:r w:rsidR="00364280" w:rsidRPr="007B7EA2">
              <w:rPr>
                <w:rStyle w:val="Hyperlink"/>
                <w:noProof/>
              </w:rPr>
              <w:t>Reference List</w:t>
            </w:r>
            <w:r w:rsidR="00364280">
              <w:rPr>
                <w:noProof/>
                <w:webHidden/>
              </w:rPr>
              <w:tab/>
            </w:r>
            <w:r w:rsidR="00364280">
              <w:rPr>
                <w:noProof/>
                <w:webHidden/>
              </w:rPr>
              <w:fldChar w:fldCharType="begin"/>
            </w:r>
            <w:r w:rsidR="00364280">
              <w:rPr>
                <w:noProof/>
                <w:webHidden/>
              </w:rPr>
              <w:instrText xml:space="preserve"> PAGEREF _Toc104037746 \h </w:instrText>
            </w:r>
            <w:r w:rsidR="00364280">
              <w:rPr>
                <w:noProof/>
                <w:webHidden/>
              </w:rPr>
            </w:r>
            <w:r w:rsidR="00364280">
              <w:rPr>
                <w:noProof/>
                <w:webHidden/>
              </w:rPr>
              <w:fldChar w:fldCharType="separate"/>
            </w:r>
            <w:r w:rsidR="00364280">
              <w:rPr>
                <w:noProof/>
                <w:webHidden/>
              </w:rPr>
              <w:t>16</w:t>
            </w:r>
            <w:r w:rsidR="00364280">
              <w:rPr>
                <w:noProof/>
                <w:webHidden/>
              </w:rPr>
              <w:fldChar w:fldCharType="end"/>
            </w:r>
          </w:hyperlink>
        </w:p>
        <w:p w14:paraId="4BF29203" w14:textId="50FE193C" w:rsidR="00A46442" w:rsidRDefault="00A46442">
          <w:r>
            <w:rPr>
              <w:b/>
              <w:bCs/>
              <w:noProof/>
            </w:rPr>
            <w:fldChar w:fldCharType="end"/>
          </w:r>
        </w:p>
      </w:sdtContent>
    </w:sdt>
    <w:p w14:paraId="2429101B" w14:textId="565B97E6" w:rsidR="00516681" w:rsidRDefault="00516681">
      <w:pPr>
        <w:widowControl/>
        <w:autoSpaceDE/>
        <w:autoSpaceDN/>
        <w:spacing w:before="72"/>
        <w:ind w:left="62" w:right="79"/>
        <w:jc w:val="center"/>
        <w:rPr>
          <w:rFonts w:eastAsiaTheme="majorEastAsia" w:cstheme="majorBidi"/>
          <w:b/>
          <w:color w:val="000000" w:themeColor="text1"/>
          <w:szCs w:val="32"/>
        </w:rPr>
      </w:pPr>
      <w:r>
        <w:br w:type="page"/>
      </w:r>
    </w:p>
    <w:p w14:paraId="6C682F7A" w14:textId="416D963A" w:rsidR="008F2393" w:rsidRDefault="008F2393" w:rsidP="008F2393">
      <w:pPr>
        <w:pStyle w:val="Heading1"/>
      </w:pPr>
      <w:bookmarkStart w:id="0" w:name="_Toc104037741"/>
      <w:r>
        <w:lastRenderedPageBreak/>
        <w:t>Introduction</w:t>
      </w:r>
      <w:bookmarkEnd w:id="0"/>
    </w:p>
    <w:p w14:paraId="11D061BF" w14:textId="21F6AADB" w:rsidR="008F2393" w:rsidRDefault="008F2393" w:rsidP="008F2393">
      <w:pPr>
        <w:rPr>
          <w:rFonts w:eastAsiaTheme="minorEastAsia" w:cstheme="minorBidi"/>
          <w:lang w:eastAsia="zh-CN"/>
        </w:rPr>
      </w:pPr>
      <w:r>
        <w:t xml:space="preserve">Financial analysis is one of the main ways in which </w:t>
      </w:r>
      <w:r w:rsidR="006F0B5A">
        <w:t>the organisation will be able to make comparative analysis more effectively</w:t>
      </w:r>
      <w:r w:rsidR="00764E9D">
        <w:t xml:space="preserve"> (</w:t>
      </w:r>
      <w:r w:rsidR="00764E9D">
        <w:rPr>
          <w:shd w:val="clear" w:color="auto" w:fill="FFFFFF"/>
        </w:rPr>
        <w:t xml:space="preserve">Maglio </w:t>
      </w:r>
      <w:r w:rsidR="00764E9D">
        <w:rPr>
          <w:i/>
          <w:iCs/>
          <w:shd w:val="clear" w:color="auto" w:fill="FFFFFF"/>
        </w:rPr>
        <w:t>et al</w:t>
      </w:r>
      <w:r w:rsidR="00764E9D">
        <w:rPr>
          <w:shd w:val="clear" w:color="auto" w:fill="FFFFFF"/>
        </w:rPr>
        <w:t>., 2018</w:t>
      </w:r>
      <w:r w:rsidR="00764E9D">
        <w:t>)</w:t>
      </w:r>
      <w:r w:rsidR="006F0B5A">
        <w:t xml:space="preserve">. It is a way in which a business corporation can make proper changes to the major organisational requirements. This report will majorly focus on </w:t>
      </w:r>
      <w:r w:rsidR="002D557F">
        <w:t>how</w:t>
      </w:r>
      <w:r w:rsidR="006F0B5A">
        <w:t xml:space="preserve"> the organisation can make use of the financial information fo</w:t>
      </w:r>
      <w:r w:rsidR="00175D4A">
        <w:t>r</w:t>
      </w:r>
      <w:r w:rsidR="006F0B5A">
        <w:t xml:space="preserve"> </w:t>
      </w:r>
      <w:r w:rsidR="00175D4A">
        <w:t>better</w:t>
      </w:r>
      <w:r w:rsidR="006F0B5A">
        <w:t xml:space="preserve"> decision making. The organisation of interest for this report is Hilton Hotels</w:t>
      </w:r>
      <w:r w:rsidR="00175D4A">
        <w:t>. It was founded in the year 1919 by Conrad Hilton</w:t>
      </w:r>
      <w:r w:rsidR="002C02C5">
        <w:t xml:space="preserve"> (Hilton, 2022)</w:t>
      </w:r>
      <w:r w:rsidR="00175D4A">
        <w:t xml:space="preserve">. The organisation is headquartered in Texas, United States and headed by Christopher Nassetta who acts as the CEO of the corporation. </w:t>
      </w:r>
      <w:r>
        <w:br w:type="page"/>
      </w:r>
    </w:p>
    <w:p w14:paraId="52DAAC0C" w14:textId="77777777" w:rsidR="00A46442" w:rsidRDefault="00A46442" w:rsidP="002D557F">
      <w:pPr>
        <w:pStyle w:val="Heading1"/>
      </w:pPr>
    </w:p>
    <w:p w14:paraId="25D06D99" w14:textId="4511916A" w:rsidR="00A46442" w:rsidRDefault="00A46442" w:rsidP="00A46442">
      <w:pPr>
        <w:pStyle w:val="Heading1"/>
      </w:pPr>
      <w:bookmarkStart w:id="1" w:name="_Toc104037742"/>
      <w:r>
        <w:t>Part A</w:t>
      </w:r>
      <w:bookmarkEnd w:id="1"/>
    </w:p>
    <w:p w14:paraId="3D7C6B23" w14:textId="2B097B6A" w:rsidR="002D557F" w:rsidRPr="00A46442" w:rsidRDefault="002D557F" w:rsidP="00A46442">
      <w:pPr>
        <w:rPr>
          <w:rFonts w:eastAsiaTheme="minorEastAsia" w:cstheme="minorBidi"/>
          <w:b/>
          <w:bCs/>
          <w:i/>
          <w:iCs/>
        </w:rPr>
      </w:pPr>
      <w:r w:rsidRPr="00A46442">
        <w:rPr>
          <w:b/>
          <w:bCs/>
          <w:i/>
          <w:iCs/>
        </w:rPr>
        <w:t>Calculate Horizontal ratios for 2019 and 2020 to aid the analysis of the financial information included within the attached financial statements.  You should discuss the trends seen in these ratios in detail, and draw appropriate conclusions.</w:t>
      </w:r>
    </w:p>
    <w:p w14:paraId="1DBA7DAF" w14:textId="7F42B73C" w:rsidR="00931650" w:rsidRPr="002D557F" w:rsidRDefault="00212713" w:rsidP="00A46442">
      <w:pPr>
        <w:spacing w:before="72"/>
        <w:ind w:right="79"/>
        <w:rPr>
          <w:rFonts w:eastAsiaTheme="majorEastAsia" w:cstheme="majorBidi"/>
          <w:b/>
          <w:szCs w:val="32"/>
        </w:rPr>
      </w:pPr>
      <w:r>
        <w:t>Ratio analysis is an important part of any form of organisational procedure. It can be therefore said that there are ways in which the corporation its yearly performances and take proper decisions</w:t>
      </w:r>
      <w:r w:rsidR="002C02C5">
        <w:t xml:space="preserve"> (</w:t>
      </w:r>
      <w:proofErr w:type="spellStart"/>
      <w:r w:rsidR="002C02C5" w:rsidRPr="002D557F">
        <w:rPr>
          <w:shd w:val="clear" w:color="auto" w:fill="FFFFFF"/>
        </w:rPr>
        <w:t>Kourtis</w:t>
      </w:r>
      <w:proofErr w:type="spellEnd"/>
      <w:r w:rsidR="002C02C5" w:rsidRPr="002D557F">
        <w:rPr>
          <w:shd w:val="clear" w:color="auto" w:fill="FFFFFF"/>
        </w:rPr>
        <w:t xml:space="preserve"> </w:t>
      </w:r>
      <w:r w:rsidR="002C02C5" w:rsidRPr="002D557F">
        <w:rPr>
          <w:i/>
          <w:iCs/>
          <w:shd w:val="clear" w:color="auto" w:fill="FFFFFF"/>
        </w:rPr>
        <w:t>et al</w:t>
      </w:r>
      <w:r w:rsidR="002C02C5" w:rsidRPr="002D557F">
        <w:rPr>
          <w:shd w:val="clear" w:color="auto" w:fill="FFFFFF"/>
        </w:rPr>
        <w:t>., 2019</w:t>
      </w:r>
      <w:r w:rsidR="002C02C5">
        <w:t>)</w:t>
      </w:r>
      <w:r>
        <w:t xml:space="preserve">. The following are the main ratios which have been calculated </w:t>
      </w:r>
      <w:r w:rsidR="002D557F">
        <w:t>regarding</w:t>
      </w:r>
      <w:r>
        <w:t xml:space="preserve"> </w:t>
      </w:r>
      <w:r w:rsidR="00C1343C">
        <w:t xml:space="preserve">the Hilton hotel with the help of the balance sheet and the income statement provided by the organisation. </w:t>
      </w:r>
    </w:p>
    <w:p w14:paraId="7027B652" w14:textId="6DAA0D05" w:rsidR="00931650" w:rsidRPr="00931650" w:rsidRDefault="00931650" w:rsidP="00931650">
      <w:pPr>
        <w:spacing w:before="72"/>
        <w:ind w:left="62" w:right="79"/>
        <w:rPr>
          <w:rFonts w:eastAsiaTheme="majorEastAsia" w:cstheme="majorBidi"/>
          <w:b/>
          <w:i/>
          <w:iCs/>
          <w:szCs w:val="32"/>
        </w:rPr>
      </w:pPr>
      <w:r>
        <w:rPr>
          <w:rFonts w:eastAsiaTheme="majorEastAsia" w:cstheme="majorBidi"/>
          <w:b/>
          <w:i/>
          <w:iCs/>
          <w:szCs w:val="32"/>
        </w:rPr>
        <w:t>Profitability Ratio</w:t>
      </w:r>
    </w:p>
    <w:tbl>
      <w:tblPr>
        <w:tblStyle w:val="GridTable4-Accent1"/>
        <w:tblW w:w="9209" w:type="dxa"/>
        <w:tblLook w:val="04A0" w:firstRow="1" w:lastRow="0" w:firstColumn="1" w:lastColumn="0" w:noHBand="0" w:noVBand="1"/>
      </w:tblPr>
      <w:tblGrid>
        <w:gridCol w:w="1429"/>
        <w:gridCol w:w="1429"/>
        <w:gridCol w:w="1670"/>
        <w:gridCol w:w="1510"/>
        <w:gridCol w:w="2297"/>
        <w:gridCol w:w="1043"/>
      </w:tblGrid>
      <w:tr w:rsidR="006250B1" w14:paraId="2629A9A0" w14:textId="0CE874B3" w:rsidTr="006250B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2" w:type="dxa"/>
          </w:tcPr>
          <w:p w14:paraId="26C78C76" w14:textId="54D9C290" w:rsidR="006250B1" w:rsidRPr="00A46442" w:rsidRDefault="006250B1" w:rsidP="00A46442">
            <w:pPr>
              <w:spacing w:before="72" w:line="360" w:lineRule="auto"/>
              <w:ind w:right="79"/>
              <w:jc w:val="center"/>
            </w:pPr>
            <w:r w:rsidRPr="00A46442">
              <w:t>Ratio</w:t>
            </w:r>
          </w:p>
        </w:tc>
        <w:tc>
          <w:tcPr>
            <w:tcW w:w="1482" w:type="dxa"/>
          </w:tcPr>
          <w:p w14:paraId="50644696" w14:textId="74ADFFF9" w:rsidR="006250B1" w:rsidRPr="00A46442"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A46442">
              <w:t>Formula</w:t>
            </w:r>
          </w:p>
        </w:tc>
        <w:tc>
          <w:tcPr>
            <w:tcW w:w="1562" w:type="dxa"/>
          </w:tcPr>
          <w:p w14:paraId="65CF65B8" w14:textId="7AB4C035" w:rsidR="006250B1" w:rsidRPr="00A46442"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A46442">
              <w:t>Explanation</w:t>
            </w:r>
          </w:p>
        </w:tc>
        <w:tc>
          <w:tcPr>
            <w:tcW w:w="2102" w:type="dxa"/>
          </w:tcPr>
          <w:p w14:paraId="31F4B96A" w14:textId="5E2C5540" w:rsidR="006250B1" w:rsidRPr="00A46442"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A46442">
              <w:t>2019</w:t>
            </w:r>
          </w:p>
        </w:tc>
        <w:tc>
          <w:tcPr>
            <w:tcW w:w="1499" w:type="dxa"/>
          </w:tcPr>
          <w:p w14:paraId="1479F7F2" w14:textId="351EF36D" w:rsidR="006250B1" w:rsidRPr="00A46442"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A46442">
              <w:t>2020</w:t>
            </w:r>
          </w:p>
        </w:tc>
        <w:tc>
          <w:tcPr>
            <w:tcW w:w="1092" w:type="dxa"/>
          </w:tcPr>
          <w:p w14:paraId="4CD19ED0" w14:textId="7B0AC506" w:rsidR="006250B1" w:rsidRPr="00A46442"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A46442">
              <w:t>%(+/-)</w:t>
            </w:r>
          </w:p>
        </w:tc>
      </w:tr>
      <w:tr w:rsidR="006250B1" w14:paraId="5E32F787" w14:textId="20C67CB6" w:rsidTr="006250B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72" w:type="dxa"/>
          </w:tcPr>
          <w:p w14:paraId="275D2722" w14:textId="360C3A58" w:rsidR="006250B1" w:rsidRPr="00931650" w:rsidRDefault="006250B1" w:rsidP="00A46442">
            <w:pPr>
              <w:spacing w:before="72" w:line="360" w:lineRule="auto"/>
              <w:ind w:right="79"/>
            </w:pPr>
            <w:r>
              <w:t>Gross Profit Margin</w:t>
            </w:r>
          </w:p>
        </w:tc>
        <w:tc>
          <w:tcPr>
            <w:tcW w:w="1482" w:type="dxa"/>
          </w:tcPr>
          <w:p w14:paraId="3BB30C2F" w14:textId="3A20BAE1" w:rsidR="006250B1"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(Revenue – Cost of Goods Sold)/ Revenue</w:t>
            </w:r>
          </w:p>
        </w:tc>
        <w:tc>
          <w:tcPr>
            <w:tcW w:w="1562" w:type="dxa"/>
          </w:tcPr>
          <w:p w14:paraId="63705B49" w14:textId="23E32ADE" w:rsidR="006250B1"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The gross profit margin will help the corporation to understand how well the organisation is able to properly make money from selling the core product or service of the organisation.</w:t>
            </w:r>
          </w:p>
        </w:tc>
        <w:tc>
          <w:tcPr>
            <w:tcW w:w="2102" w:type="dxa"/>
          </w:tcPr>
          <w:p w14:paraId="5F26A62A" w14:textId="77777777" w:rsidR="006250B1" w:rsidRPr="00C3000F"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rPr>
                <w:rFonts w:cs="Arial"/>
                <w:color w:val="000000"/>
                <w:szCs w:val="24"/>
              </w:rPr>
            </w:pPr>
            <w:r w:rsidRPr="00C3000F">
              <w:rPr>
                <w:rFonts w:cs="Arial"/>
                <w:color w:val="000000"/>
                <w:szCs w:val="24"/>
              </w:rPr>
              <w:t>(9,452,000 - 7,017,000)/ 9,452,000</w:t>
            </w:r>
          </w:p>
          <w:p w14:paraId="5EE72FD4" w14:textId="17D8DD27" w:rsidR="006250B1" w:rsidRPr="00C3000F"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rPr>
                <w:rFonts w:cs="Arial"/>
                <w:szCs w:val="24"/>
              </w:rPr>
            </w:pPr>
            <w:r w:rsidRPr="00C3000F">
              <w:rPr>
                <w:rFonts w:cs="Arial"/>
                <w:szCs w:val="24"/>
              </w:rPr>
              <w:t>= 25.76%</w:t>
            </w:r>
          </w:p>
        </w:tc>
        <w:tc>
          <w:tcPr>
            <w:tcW w:w="1499" w:type="dxa"/>
          </w:tcPr>
          <w:p w14:paraId="28FC3DD9" w14:textId="77777777" w:rsidR="006250B1" w:rsidRPr="00C3000F"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rPr>
                <w:rFonts w:cs="Arial"/>
                <w:color w:val="000000"/>
                <w:szCs w:val="24"/>
              </w:rPr>
            </w:pPr>
            <w:r w:rsidRPr="00C3000F">
              <w:rPr>
                <w:rFonts w:cs="Arial"/>
                <w:color w:val="000000"/>
                <w:szCs w:val="24"/>
              </w:rPr>
              <w:t>(4,307,000 - 3,724,000)/ 4,307,000</w:t>
            </w:r>
          </w:p>
          <w:p w14:paraId="6622C02A" w14:textId="3BBE40FB" w:rsidR="006250B1" w:rsidRPr="00C3000F"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rPr>
                <w:rFonts w:cs="Arial"/>
                <w:szCs w:val="24"/>
              </w:rPr>
            </w:pPr>
            <w:r w:rsidRPr="00C3000F">
              <w:rPr>
                <w:rFonts w:cs="Arial"/>
                <w:szCs w:val="24"/>
              </w:rPr>
              <w:t>= 13.53%</w:t>
            </w:r>
          </w:p>
        </w:tc>
        <w:tc>
          <w:tcPr>
            <w:tcW w:w="1092" w:type="dxa"/>
          </w:tcPr>
          <w:p w14:paraId="79AB2236" w14:textId="4AB4C447" w:rsidR="006250B1" w:rsidRPr="00816D17"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rPr>
                <w:rFonts w:cs="Times New Roman"/>
                <w:color w:val="000000"/>
                <w:sz w:val="22"/>
              </w:rPr>
            </w:pPr>
            <w:r>
              <w:rPr>
                <w:rFonts w:cs="Times New Roman"/>
                <w:color w:val="000000"/>
                <w:sz w:val="22"/>
              </w:rPr>
              <w:t>-47.47%</w:t>
            </w:r>
          </w:p>
        </w:tc>
      </w:tr>
      <w:tr w:rsidR="006250B1" w14:paraId="14FAB423" w14:textId="354C787D" w:rsidTr="006250B1">
        <w:tc>
          <w:tcPr>
            <w:cnfStyle w:val="001000000000" w:firstRow="0" w:lastRow="0" w:firstColumn="1" w:lastColumn="0" w:oddVBand="0" w:evenVBand="0" w:oddHBand="0" w:evenHBand="0" w:firstRowFirstColumn="0" w:firstRowLastColumn="0" w:lastRowFirstColumn="0" w:lastRowLastColumn="0"/>
            <w:tcW w:w="1472" w:type="dxa"/>
          </w:tcPr>
          <w:p w14:paraId="644EE1F0" w14:textId="0DDACB26" w:rsidR="006250B1" w:rsidRDefault="006250B1" w:rsidP="00A46442">
            <w:pPr>
              <w:spacing w:before="72" w:line="360" w:lineRule="auto"/>
              <w:ind w:right="79"/>
            </w:pPr>
            <w:r>
              <w:t xml:space="preserve">Operating Profit </w:t>
            </w:r>
            <w:r>
              <w:lastRenderedPageBreak/>
              <w:t>Margin</w:t>
            </w:r>
          </w:p>
        </w:tc>
        <w:tc>
          <w:tcPr>
            <w:tcW w:w="1482" w:type="dxa"/>
          </w:tcPr>
          <w:p w14:paraId="413EA39B" w14:textId="631054A8"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lastRenderedPageBreak/>
              <w:t xml:space="preserve">(Operating Profit/ </w:t>
            </w:r>
            <w:r>
              <w:lastRenderedPageBreak/>
              <w:t>Sales Revenue)</w:t>
            </w:r>
          </w:p>
        </w:tc>
        <w:tc>
          <w:tcPr>
            <w:tcW w:w="1562" w:type="dxa"/>
          </w:tcPr>
          <w:p w14:paraId="6799FF26" w14:textId="02CF84B2"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lastRenderedPageBreak/>
              <w:t xml:space="preserve">This is a similar ratio </w:t>
            </w:r>
            <w:r>
              <w:lastRenderedPageBreak/>
              <w:t xml:space="preserve">to gross profit margin which helps the business corporation in calculating the real profitability of the organisation. </w:t>
            </w:r>
          </w:p>
        </w:tc>
        <w:tc>
          <w:tcPr>
            <w:tcW w:w="2102" w:type="dxa"/>
          </w:tcPr>
          <w:p w14:paraId="3992AC91" w14:textId="77777777" w:rsidR="00BE3FB3" w:rsidRDefault="00BE3FB3"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lastRenderedPageBreak/>
              <w:t xml:space="preserve">1,576,000/ </w:t>
            </w:r>
            <w:r w:rsidRPr="00911E96">
              <w:rPr>
                <w:rFonts w:ascii="Times New Roman" w:hAnsi="Times New Roman" w:cs="Times New Roman"/>
                <w:color w:val="000000"/>
                <w:szCs w:val="24"/>
              </w:rPr>
              <w:t>4,307,000</w:t>
            </w:r>
          </w:p>
          <w:p w14:paraId="4AF31682" w14:textId="77777777" w:rsidR="00BE3FB3" w:rsidRDefault="00BE3FB3"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rPr>
                <w:rFonts w:cs="Times New Roman"/>
                <w:color w:val="000000"/>
                <w:szCs w:val="24"/>
              </w:rPr>
            </w:pPr>
            <w:r>
              <w:rPr>
                <w:rFonts w:cs="Times New Roman"/>
                <w:color w:val="000000"/>
                <w:szCs w:val="24"/>
              </w:rPr>
              <w:lastRenderedPageBreak/>
              <w:t>= 36.59%</w:t>
            </w:r>
          </w:p>
          <w:p w14:paraId="1B174EF9" w14:textId="327C312B"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p>
        </w:tc>
        <w:tc>
          <w:tcPr>
            <w:tcW w:w="1499" w:type="dxa"/>
          </w:tcPr>
          <w:p w14:paraId="302EEB2D" w14:textId="77777777" w:rsidR="00BE3FB3" w:rsidRPr="00C3000F" w:rsidRDefault="00BE3FB3"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rPr>
                <w:rFonts w:cs="Arial"/>
                <w:color w:val="000000"/>
                <w:szCs w:val="24"/>
              </w:rPr>
            </w:pPr>
            <w:r w:rsidRPr="00C3000F">
              <w:rPr>
                <w:rFonts w:cs="Arial"/>
              </w:rPr>
              <w:lastRenderedPageBreak/>
              <w:t>-119,000/</w:t>
            </w:r>
            <w:r w:rsidRPr="00C3000F">
              <w:rPr>
                <w:rFonts w:cs="Arial"/>
                <w:color w:val="000000"/>
                <w:szCs w:val="24"/>
              </w:rPr>
              <w:t>9,452,000</w:t>
            </w:r>
          </w:p>
          <w:p w14:paraId="683D5BE1" w14:textId="1300F7B7" w:rsidR="00BE3FB3" w:rsidRPr="00C3000F" w:rsidRDefault="00BE3FB3"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rPr>
                <w:rFonts w:cs="Arial"/>
              </w:rPr>
            </w:pPr>
            <w:r w:rsidRPr="00C3000F">
              <w:rPr>
                <w:rFonts w:cs="Arial"/>
                <w:color w:val="000000"/>
                <w:szCs w:val="24"/>
              </w:rPr>
              <w:lastRenderedPageBreak/>
              <w:t>= - 1.2%</w:t>
            </w:r>
          </w:p>
        </w:tc>
        <w:tc>
          <w:tcPr>
            <w:tcW w:w="1092" w:type="dxa"/>
          </w:tcPr>
          <w:p w14:paraId="51B72B73" w14:textId="7DC35743" w:rsidR="006250B1" w:rsidRDefault="00BE3FB3"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lastRenderedPageBreak/>
              <w:t>-2949%</w:t>
            </w:r>
          </w:p>
        </w:tc>
      </w:tr>
    </w:tbl>
    <w:p w14:paraId="4FD99188" w14:textId="3D3DD374" w:rsidR="002D557F" w:rsidRPr="002D557F" w:rsidRDefault="002D557F" w:rsidP="002D557F">
      <w:pPr>
        <w:spacing w:before="72"/>
        <w:ind w:right="79"/>
        <w:jc w:val="center"/>
        <w:rPr>
          <w:b/>
          <w:bCs/>
        </w:rPr>
      </w:pPr>
      <w:r>
        <w:rPr>
          <w:b/>
          <w:bCs/>
        </w:rPr>
        <w:t>Table 1: Profitability Ratio</w:t>
      </w:r>
    </w:p>
    <w:p w14:paraId="63B4440C" w14:textId="40BDE3D1" w:rsidR="00911E96" w:rsidRDefault="00B229AF" w:rsidP="00931650">
      <w:pPr>
        <w:spacing w:before="72"/>
        <w:ind w:right="79"/>
        <w:rPr>
          <w:b/>
          <w:bCs/>
        </w:rPr>
      </w:pPr>
      <w:r>
        <w:rPr>
          <w:b/>
          <w:bCs/>
        </w:rPr>
        <w:t>Analysis</w:t>
      </w:r>
    </w:p>
    <w:p w14:paraId="17E76E48" w14:textId="18BEE95F" w:rsidR="004A7D80" w:rsidRDefault="00900D3B" w:rsidP="00931650">
      <w:pPr>
        <w:spacing w:before="72"/>
        <w:ind w:right="79"/>
      </w:pPr>
      <w:r>
        <w:t xml:space="preserve">The gross profit margin is one of the main profitability ratios that is required to be calculated by the organisation. It can be seen that in the year 2020 the gross profit margin of the organisation has fallen in comparison to the </w:t>
      </w:r>
      <w:r w:rsidR="003334C4">
        <w:t xml:space="preserve">year 2019. There is a drastic fall of around 12% in the year. This can be due to the fact there has been a fall in the total amount of sales made by the corporation. </w:t>
      </w:r>
      <w:r w:rsidR="004A7D80">
        <w:t xml:space="preserve">However, it can be seen that the corporation has had an immense </w:t>
      </w:r>
      <w:r w:rsidR="00BE3FB3">
        <w:t xml:space="preserve">decrease </w:t>
      </w:r>
      <w:r w:rsidR="004A7D80">
        <w:t xml:space="preserve">in the operating profit margin. This is </w:t>
      </w:r>
      <w:r w:rsidR="002D557F">
        <w:t>because</w:t>
      </w:r>
      <w:r w:rsidR="004A7D80">
        <w:t xml:space="preserve"> in the year 2020 the organisation has </w:t>
      </w:r>
      <w:r w:rsidR="00175D4A">
        <w:t>decreased</w:t>
      </w:r>
      <w:r w:rsidR="00BE3FB3">
        <w:t xml:space="preserve"> </w:t>
      </w:r>
      <w:r w:rsidR="004A7D80">
        <w:t>its total</w:t>
      </w:r>
      <w:r w:rsidR="00937C85">
        <w:t xml:space="preserve"> amount of operating income by a big margin. </w:t>
      </w:r>
    </w:p>
    <w:p w14:paraId="203ABFE1" w14:textId="2D98C594" w:rsidR="00286276" w:rsidRPr="00900D3B" w:rsidRDefault="00286276" w:rsidP="00286276">
      <w:pPr>
        <w:spacing w:before="72"/>
        <w:ind w:right="79"/>
        <w:jc w:val="center"/>
      </w:pPr>
      <w:r>
        <w:rPr>
          <w:noProof/>
        </w:rPr>
        <w:drawing>
          <wp:inline distT="0" distB="0" distL="0" distR="0" wp14:anchorId="5B266175" wp14:editId="3D6E2D9E">
            <wp:extent cx="4572000" cy="2743200"/>
            <wp:effectExtent l="0" t="0" r="0" b="0"/>
            <wp:docPr id="1" name="Chart 1">
              <a:extLst xmlns:a="http://schemas.openxmlformats.org/drawingml/2006/main">
                <a:ext uri="{FF2B5EF4-FFF2-40B4-BE49-F238E27FC236}">
                  <a16:creationId xmlns:a16="http://schemas.microsoft.com/office/drawing/2014/main" id="{3D6A385A-C6E4-21AC-D7D0-D96F4EE4ED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8DFE43F" w14:textId="77777777" w:rsidR="00286276" w:rsidRDefault="00286276" w:rsidP="00286276">
      <w:pPr>
        <w:spacing w:before="72"/>
        <w:ind w:right="79"/>
        <w:jc w:val="center"/>
        <w:rPr>
          <w:b/>
          <w:bCs/>
        </w:rPr>
      </w:pPr>
      <w:r>
        <w:rPr>
          <w:b/>
          <w:bCs/>
        </w:rPr>
        <w:t>Figure 1: Profitability Ratio</w:t>
      </w:r>
    </w:p>
    <w:p w14:paraId="1043FFA2" w14:textId="52C68743" w:rsidR="00286276" w:rsidRDefault="00286276" w:rsidP="00286276">
      <w:pPr>
        <w:spacing w:before="72"/>
        <w:ind w:right="79"/>
        <w:jc w:val="center"/>
      </w:pPr>
      <w:r>
        <w:t xml:space="preserve">(Created by </w:t>
      </w:r>
      <w:r w:rsidR="00252582">
        <w:t xml:space="preserve">the </w:t>
      </w:r>
      <w:r>
        <w:t>learner)</w:t>
      </w:r>
    </w:p>
    <w:p w14:paraId="253FFCF8" w14:textId="506BA032" w:rsidR="00175D4A" w:rsidRPr="004A7D80" w:rsidRDefault="00175D4A" w:rsidP="00175D4A">
      <w:pPr>
        <w:spacing w:before="72"/>
        <w:ind w:right="79"/>
      </w:pPr>
      <w:r>
        <w:lastRenderedPageBreak/>
        <w:t xml:space="preserve">It can be seen that the business corporation in the year 2020 has immensely faltered in aspects of profit-making in the year 2020. There are ways in which the business corporation will be able to properly analyse the facts in which the reasons for falling profit can be determined. One major external reason that can be assumed for this fall </w:t>
      </w:r>
      <w:r w:rsidR="00764E9D">
        <w:t>in</w:t>
      </w:r>
      <w:r>
        <w:t xml:space="preserve"> </w:t>
      </w:r>
      <w:r w:rsidR="00F051C9">
        <w:t xml:space="preserve">profit is the </w:t>
      </w:r>
      <w:r w:rsidR="00764E9D">
        <w:t>coronavirus</w:t>
      </w:r>
      <w:r w:rsidR="00F051C9">
        <w:t xml:space="preserve"> pandemic in the year 2020.</w:t>
      </w:r>
    </w:p>
    <w:p w14:paraId="1685DE6F" w14:textId="77777777" w:rsidR="004A7D80" w:rsidRDefault="004A7D80">
      <w:pPr>
        <w:widowControl/>
        <w:autoSpaceDE/>
        <w:autoSpaceDN/>
        <w:spacing w:before="72"/>
        <w:ind w:left="62" w:right="79"/>
        <w:jc w:val="center"/>
      </w:pPr>
      <w:r>
        <w:br w:type="page"/>
      </w:r>
    </w:p>
    <w:p w14:paraId="7DEF2F6F" w14:textId="77777777" w:rsidR="004A7D80" w:rsidRDefault="004A7D80" w:rsidP="00931650">
      <w:pPr>
        <w:spacing w:before="72"/>
        <w:ind w:right="79"/>
        <w:rPr>
          <w:b/>
          <w:bCs/>
          <w:i/>
          <w:iCs/>
        </w:rPr>
      </w:pPr>
    </w:p>
    <w:p w14:paraId="58739CBB" w14:textId="64070F9F" w:rsidR="00911E96" w:rsidRDefault="00911E96" w:rsidP="00931650">
      <w:pPr>
        <w:spacing w:before="72"/>
        <w:ind w:right="79"/>
        <w:rPr>
          <w:b/>
          <w:bCs/>
          <w:i/>
          <w:iCs/>
        </w:rPr>
      </w:pPr>
      <w:r>
        <w:rPr>
          <w:b/>
          <w:bCs/>
          <w:i/>
          <w:iCs/>
        </w:rPr>
        <w:t>Liquidity Ratio</w:t>
      </w:r>
    </w:p>
    <w:tbl>
      <w:tblPr>
        <w:tblStyle w:val="GridTable4"/>
        <w:tblW w:w="0" w:type="auto"/>
        <w:tblLayout w:type="fixed"/>
        <w:tblLook w:val="04A0" w:firstRow="1" w:lastRow="0" w:firstColumn="1" w:lastColumn="0" w:noHBand="0" w:noVBand="1"/>
      </w:tblPr>
      <w:tblGrid>
        <w:gridCol w:w="1296"/>
        <w:gridCol w:w="1251"/>
        <w:gridCol w:w="1701"/>
        <w:gridCol w:w="1684"/>
        <w:gridCol w:w="1542"/>
        <w:gridCol w:w="1542"/>
      </w:tblGrid>
      <w:tr w:rsidR="006250B1" w14:paraId="0FCE1FFB" w14:textId="76356E54" w:rsidTr="00A464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6" w:type="dxa"/>
          </w:tcPr>
          <w:p w14:paraId="1A19F018" w14:textId="46F11102" w:rsidR="006250B1" w:rsidRPr="009074B3" w:rsidRDefault="006250B1" w:rsidP="00A46442">
            <w:pPr>
              <w:spacing w:before="72" w:line="360" w:lineRule="auto"/>
              <w:ind w:right="79"/>
              <w:jc w:val="center"/>
            </w:pPr>
            <w:r w:rsidRPr="009074B3">
              <w:t>Ratio</w:t>
            </w:r>
          </w:p>
        </w:tc>
        <w:tc>
          <w:tcPr>
            <w:tcW w:w="1251" w:type="dxa"/>
          </w:tcPr>
          <w:p w14:paraId="701C8F99" w14:textId="29265045" w:rsidR="006250B1" w:rsidRPr="009074B3"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9074B3">
              <w:t>Formula</w:t>
            </w:r>
          </w:p>
        </w:tc>
        <w:tc>
          <w:tcPr>
            <w:tcW w:w="1701" w:type="dxa"/>
          </w:tcPr>
          <w:p w14:paraId="12BDDA58" w14:textId="3DE2390A" w:rsidR="006250B1" w:rsidRPr="009074B3"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9074B3">
              <w:t>Explanation</w:t>
            </w:r>
          </w:p>
        </w:tc>
        <w:tc>
          <w:tcPr>
            <w:tcW w:w="1684" w:type="dxa"/>
          </w:tcPr>
          <w:p w14:paraId="186E1BE4" w14:textId="2AB30389" w:rsidR="006250B1" w:rsidRPr="009074B3"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9074B3">
              <w:t>2019</w:t>
            </w:r>
          </w:p>
        </w:tc>
        <w:tc>
          <w:tcPr>
            <w:tcW w:w="1542" w:type="dxa"/>
          </w:tcPr>
          <w:p w14:paraId="5330BCF7" w14:textId="309B5C83" w:rsidR="006250B1" w:rsidRPr="009074B3"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9074B3">
              <w:t>2020</w:t>
            </w:r>
          </w:p>
        </w:tc>
        <w:tc>
          <w:tcPr>
            <w:tcW w:w="1542" w:type="dxa"/>
          </w:tcPr>
          <w:p w14:paraId="7AD692F0" w14:textId="785A7A6F" w:rsidR="006250B1" w:rsidRPr="009074B3" w:rsidRDefault="006250B1"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t>%(+/-)</w:t>
            </w:r>
          </w:p>
        </w:tc>
      </w:tr>
      <w:tr w:rsidR="006250B1" w14:paraId="2281F3F0" w14:textId="14CFECDD" w:rsidTr="00A464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96" w:type="dxa"/>
          </w:tcPr>
          <w:p w14:paraId="71ADA843" w14:textId="09A30383" w:rsidR="006250B1" w:rsidRPr="009074B3" w:rsidRDefault="006250B1" w:rsidP="00A46442">
            <w:pPr>
              <w:spacing w:before="72" w:line="360" w:lineRule="auto"/>
              <w:ind w:right="79"/>
            </w:pPr>
            <w:r w:rsidRPr="009074B3">
              <w:t>Current Ratio</w:t>
            </w:r>
          </w:p>
        </w:tc>
        <w:tc>
          <w:tcPr>
            <w:tcW w:w="1251" w:type="dxa"/>
          </w:tcPr>
          <w:p w14:paraId="2E1D0881" w14:textId="5F7C01F9" w:rsidR="006250B1"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Current Asset/ Current Liabilities</w:t>
            </w:r>
          </w:p>
        </w:tc>
        <w:tc>
          <w:tcPr>
            <w:tcW w:w="1701" w:type="dxa"/>
          </w:tcPr>
          <w:p w14:paraId="2ADC0193" w14:textId="0EA8C100" w:rsidR="006250B1"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This helps the organisation in assessing how the health liquidity of the corporation is to properly meet the short-term obligations within a year.</w:t>
            </w:r>
          </w:p>
        </w:tc>
        <w:tc>
          <w:tcPr>
            <w:tcW w:w="1684" w:type="dxa"/>
          </w:tcPr>
          <w:p w14:paraId="2C517551" w14:textId="77777777" w:rsidR="006250B1"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2,093,000/ 2,871,000</w:t>
            </w:r>
          </w:p>
          <w:p w14:paraId="55352D88" w14:textId="4BC60FEB" w:rsidR="006250B1"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 0.72</w:t>
            </w:r>
          </w:p>
        </w:tc>
        <w:tc>
          <w:tcPr>
            <w:tcW w:w="1542" w:type="dxa"/>
          </w:tcPr>
          <w:p w14:paraId="167AF5C2" w14:textId="77777777" w:rsidR="006250B1"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4,202,000/ 2,431,000</w:t>
            </w:r>
          </w:p>
          <w:p w14:paraId="74209F08" w14:textId="65940F5F" w:rsidR="006250B1"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 1.72</w:t>
            </w:r>
          </w:p>
        </w:tc>
        <w:tc>
          <w:tcPr>
            <w:tcW w:w="1542" w:type="dxa"/>
          </w:tcPr>
          <w:p w14:paraId="07BE8E84" w14:textId="67D89305" w:rsidR="006250B1" w:rsidRDefault="006250B1"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+138.88%</w:t>
            </w:r>
          </w:p>
        </w:tc>
      </w:tr>
      <w:tr w:rsidR="006250B1" w14:paraId="751232B7" w14:textId="346E0238" w:rsidTr="00A46442">
        <w:tc>
          <w:tcPr>
            <w:cnfStyle w:val="001000000000" w:firstRow="0" w:lastRow="0" w:firstColumn="1" w:lastColumn="0" w:oddVBand="0" w:evenVBand="0" w:oddHBand="0" w:evenHBand="0" w:firstRowFirstColumn="0" w:firstRowLastColumn="0" w:lastRowFirstColumn="0" w:lastRowLastColumn="0"/>
            <w:tcW w:w="1296" w:type="dxa"/>
          </w:tcPr>
          <w:p w14:paraId="6E7805BE" w14:textId="4EBC61CA" w:rsidR="006250B1" w:rsidRPr="009074B3" w:rsidRDefault="006250B1" w:rsidP="00A46442">
            <w:pPr>
              <w:spacing w:before="72" w:line="360" w:lineRule="auto"/>
              <w:ind w:right="79"/>
            </w:pPr>
            <w:r w:rsidRPr="009074B3">
              <w:t>Quick Ratio</w:t>
            </w:r>
          </w:p>
        </w:tc>
        <w:tc>
          <w:tcPr>
            <w:tcW w:w="1251" w:type="dxa"/>
          </w:tcPr>
          <w:p w14:paraId="0D8135C6" w14:textId="2E72A786"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 xml:space="preserve">(Cash and Cash Equivalents + Accounts Receivables)/Current Liabilities </w:t>
            </w:r>
          </w:p>
        </w:tc>
        <w:tc>
          <w:tcPr>
            <w:tcW w:w="1701" w:type="dxa"/>
          </w:tcPr>
          <w:p w14:paraId="30F8A833" w14:textId="49700586"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The quick ratio is also known as the acid test ratio which will allow the corporation to measure the organisation’s ability to meet the liabilities with its most liquid assets.</w:t>
            </w:r>
          </w:p>
        </w:tc>
        <w:tc>
          <w:tcPr>
            <w:tcW w:w="1684" w:type="dxa"/>
          </w:tcPr>
          <w:p w14:paraId="267D50FD" w14:textId="77777777"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(538,000+1,261,000)/2,871,000</w:t>
            </w:r>
          </w:p>
          <w:p w14:paraId="4E597A01" w14:textId="7135969D"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 0.62</w:t>
            </w:r>
          </w:p>
        </w:tc>
        <w:tc>
          <w:tcPr>
            <w:tcW w:w="1542" w:type="dxa"/>
          </w:tcPr>
          <w:p w14:paraId="5863CCB6" w14:textId="77777777"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3,218,000 + 771,000)/2,431,000</w:t>
            </w:r>
          </w:p>
          <w:p w14:paraId="59AA4B28" w14:textId="05E996CB"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 1.64</w:t>
            </w:r>
          </w:p>
        </w:tc>
        <w:tc>
          <w:tcPr>
            <w:tcW w:w="1542" w:type="dxa"/>
          </w:tcPr>
          <w:p w14:paraId="7B57F4E2" w14:textId="774771F4" w:rsidR="006250B1" w:rsidRDefault="006250B1"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+164.51%</w:t>
            </w:r>
          </w:p>
        </w:tc>
      </w:tr>
    </w:tbl>
    <w:p w14:paraId="5B2958D0" w14:textId="181735A0" w:rsidR="002D557F" w:rsidRDefault="002D557F" w:rsidP="002D557F">
      <w:pPr>
        <w:spacing w:before="72"/>
        <w:ind w:right="79"/>
        <w:jc w:val="center"/>
        <w:rPr>
          <w:b/>
          <w:bCs/>
        </w:rPr>
      </w:pPr>
      <w:r>
        <w:rPr>
          <w:b/>
          <w:bCs/>
        </w:rPr>
        <w:t xml:space="preserve">Table 2: </w:t>
      </w:r>
      <w:r w:rsidR="00A46442">
        <w:rPr>
          <w:b/>
          <w:bCs/>
        </w:rPr>
        <w:t>Liquidity</w:t>
      </w:r>
      <w:r>
        <w:rPr>
          <w:b/>
          <w:bCs/>
        </w:rPr>
        <w:t xml:space="preserve"> Ratio</w:t>
      </w:r>
    </w:p>
    <w:p w14:paraId="688AC2CE" w14:textId="1702A2B9" w:rsidR="009074B3" w:rsidRDefault="00286276" w:rsidP="00931650">
      <w:pPr>
        <w:spacing w:before="72"/>
        <w:ind w:right="79"/>
        <w:rPr>
          <w:b/>
          <w:bCs/>
        </w:rPr>
      </w:pPr>
      <w:r>
        <w:rPr>
          <w:b/>
          <w:bCs/>
        </w:rPr>
        <w:lastRenderedPageBreak/>
        <w:t>Analysis</w:t>
      </w:r>
    </w:p>
    <w:p w14:paraId="7A63F2B9" w14:textId="6732076A" w:rsidR="008742C0" w:rsidRDefault="00286276" w:rsidP="00252582">
      <w:pPr>
        <w:spacing w:before="72"/>
        <w:ind w:right="79"/>
      </w:pPr>
      <w:r>
        <w:t xml:space="preserve">The liquidity ratio helps the business organisation in ensuring that they </w:t>
      </w:r>
      <w:r w:rsidR="002D557F">
        <w:t>can</w:t>
      </w:r>
      <w:r>
        <w:t xml:space="preserve"> properly analyse how liquid they are to properly pay the </w:t>
      </w:r>
      <w:r w:rsidR="00532D89">
        <w:t>short-term</w:t>
      </w:r>
      <w:r>
        <w:t xml:space="preserve"> liabilities</w:t>
      </w:r>
      <w:r w:rsidR="00764E9D">
        <w:t xml:space="preserve"> (</w:t>
      </w:r>
      <w:proofErr w:type="spellStart"/>
      <w:r w:rsidR="00764E9D">
        <w:rPr>
          <w:shd w:val="clear" w:color="auto" w:fill="FFFFFF"/>
        </w:rPr>
        <w:t>Sartika</w:t>
      </w:r>
      <w:proofErr w:type="spellEnd"/>
      <w:r w:rsidR="00764E9D">
        <w:rPr>
          <w:shd w:val="clear" w:color="auto" w:fill="FFFFFF"/>
        </w:rPr>
        <w:t xml:space="preserve"> </w:t>
      </w:r>
      <w:r w:rsidR="00764E9D">
        <w:rPr>
          <w:i/>
          <w:iCs/>
          <w:shd w:val="clear" w:color="auto" w:fill="FFFFFF"/>
        </w:rPr>
        <w:t>et al</w:t>
      </w:r>
      <w:r w:rsidR="00764E9D">
        <w:rPr>
          <w:shd w:val="clear" w:color="auto" w:fill="FFFFFF"/>
        </w:rPr>
        <w:t>., 2021</w:t>
      </w:r>
      <w:r w:rsidR="00764E9D">
        <w:t>)</w:t>
      </w:r>
      <w:r>
        <w:t xml:space="preserve">. </w:t>
      </w:r>
      <w:r w:rsidR="00532D89">
        <w:t xml:space="preserve"> It can be seen from the calculations made that in the year 2019 the current ratio of the organisation stood at 0.72 which has increased in the year 2020 to 1.72. </w:t>
      </w:r>
      <w:r w:rsidR="00252582">
        <w:t>An increase</w:t>
      </w:r>
      <w:r w:rsidR="00532D89">
        <w:t xml:space="preserve"> in the current ratio of the organis</w:t>
      </w:r>
      <w:r w:rsidR="00252582">
        <w:t>ation will mean that there is a better balance in the organisation’s current assets and liabilities and it will more easily pay off the liabilities. On the hand, there has been a similar rise in the quick ratio of the organisation as well. In the year 2019, the ratio stood at 0.64 while in the year 2020 the ratio is 1.64. This means that in the year 2020 the organisation has more amount of quick assets than</w:t>
      </w:r>
      <w:r w:rsidR="0029037D">
        <w:t xml:space="preserve"> current liabilities. It implies that more assets can be quickly converted to cash properly. </w:t>
      </w:r>
    </w:p>
    <w:p w14:paraId="7D5135D2" w14:textId="3D06359F" w:rsidR="008742C0" w:rsidRDefault="00F5501B" w:rsidP="008742C0">
      <w:pPr>
        <w:widowControl/>
        <w:autoSpaceDE/>
        <w:autoSpaceDN/>
        <w:spacing w:before="72"/>
        <w:ind w:left="62" w:right="79"/>
        <w:jc w:val="center"/>
        <w:rPr>
          <w:noProof/>
        </w:rPr>
      </w:pPr>
      <w:r>
        <w:rPr>
          <w:noProof/>
        </w:rPr>
        <w:drawing>
          <wp:inline distT="0" distB="0" distL="0" distR="0" wp14:anchorId="3243DC05" wp14:editId="7A027FE5">
            <wp:extent cx="4572000" cy="2743200"/>
            <wp:effectExtent l="0" t="0" r="0" b="0"/>
            <wp:docPr id="3" name="Chart 3">
              <a:extLst xmlns:a="http://schemas.openxmlformats.org/drawingml/2006/main">
                <a:ext uri="{FF2B5EF4-FFF2-40B4-BE49-F238E27FC236}">
                  <a16:creationId xmlns:a16="http://schemas.microsoft.com/office/drawing/2014/main" id="{61909CA8-95A8-1046-1F36-4E0673A446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C96D99" w14:textId="477D34F5" w:rsidR="008742C0" w:rsidRDefault="008742C0">
      <w:pPr>
        <w:widowControl/>
        <w:autoSpaceDE/>
        <w:autoSpaceDN/>
        <w:spacing w:before="72"/>
        <w:ind w:left="62" w:right="79"/>
        <w:jc w:val="center"/>
        <w:rPr>
          <w:b/>
          <w:bCs/>
          <w:noProof/>
        </w:rPr>
      </w:pPr>
      <w:r>
        <w:rPr>
          <w:b/>
          <w:bCs/>
          <w:noProof/>
        </w:rPr>
        <w:t>Figure 2: Liquidity Ratio</w:t>
      </w:r>
    </w:p>
    <w:p w14:paraId="0BD6C4D5" w14:textId="77777777" w:rsidR="00F051C9" w:rsidRDefault="008742C0" w:rsidP="008742C0">
      <w:pPr>
        <w:widowControl/>
        <w:autoSpaceDE/>
        <w:autoSpaceDN/>
        <w:spacing w:before="72"/>
        <w:ind w:left="62" w:right="79"/>
        <w:jc w:val="center"/>
      </w:pPr>
      <w:r>
        <w:t xml:space="preserve">(Created by the learner) </w:t>
      </w:r>
    </w:p>
    <w:p w14:paraId="48747B07" w14:textId="2E5AECBC" w:rsidR="00286276" w:rsidRPr="008742C0" w:rsidRDefault="00F051C9" w:rsidP="00F051C9">
      <w:pPr>
        <w:widowControl/>
        <w:autoSpaceDE/>
        <w:autoSpaceDN/>
        <w:spacing w:before="72"/>
        <w:ind w:left="62" w:right="79"/>
      </w:pPr>
      <w:r>
        <w:t xml:space="preserve">Thus, it can be said that in the year 2020 the organisation has been able to properly increase the organisational liquidity.  This implies that in the year 2020 the organisation will not have </w:t>
      </w:r>
      <w:r w:rsidR="002D557F">
        <w:t>any</w:t>
      </w:r>
      <w:r>
        <w:t xml:space="preserve"> issues in maintaining and paying off </w:t>
      </w:r>
      <w:r w:rsidR="002D557F">
        <w:t>its</w:t>
      </w:r>
      <w:r>
        <w:t xml:space="preserve"> liabilities of the organisation.</w:t>
      </w:r>
      <w:r w:rsidR="008742C0">
        <w:br w:type="page"/>
      </w:r>
    </w:p>
    <w:p w14:paraId="5730536B" w14:textId="349B64BD" w:rsidR="00270972" w:rsidRDefault="00270972" w:rsidP="00931650">
      <w:pPr>
        <w:spacing w:before="72"/>
        <w:ind w:right="79"/>
        <w:rPr>
          <w:b/>
          <w:bCs/>
          <w:i/>
          <w:iCs/>
        </w:rPr>
      </w:pPr>
      <w:r>
        <w:rPr>
          <w:b/>
          <w:bCs/>
          <w:i/>
          <w:iCs/>
        </w:rPr>
        <w:lastRenderedPageBreak/>
        <w:t>Efficiency Ratio</w:t>
      </w:r>
    </w:p>
    <w:tbl>
      <w:tblPr>
        <w:tblStyle w:val="GridTable4-Accent6"/>
        <w:tblW w:w="9209" w:type="dxa"/>
        <w:tblLayout w:type="fixed"/>
        <w:tblLook w:val="04A0" w:firstRow="1" w:lastRow="0" w:firstColumn="1" w:lastColumn="0" w:noHBand="0" w:noVBand="1"/>
      </w:tblPr>
      <w:tblGrid>
        <w:gridCol w:w="1277"/>
        <w:gridCol w:w="1270"/>
        <w:gridCol w:w="1764"/>
        <w:gridCol w:w="1921"/>
        <w:gridCol w:w="1985"/>
        <w:gridCol w:w="992"/>
      </w:tblGrid>
      <w:tr w:rsidR="00830036" w14:paraId="2B72DAF1" w14:textId="469AA3BC" w:rsidTr="0083003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7" w:type="dxa"/>
          </w:tcPr>
          <w:p w14:paraId="6DAB9C1C" w14:textId="4FD48805" w:rsidR="00830036" w:rsidRPr="00B229AF" w:rsidRDefault="00830036" w:rsidP="00A46442">
            <w:pPr>
              <w:spacing w:before="72" w:line="360" w:lineRule="auto"/>
              <w:ind w:right="79"/>
              <w:jc w:val="center"/>
            </w:pPr>
            <w:r w:rsidRPr="00B229AF">
              <w:t>Ratio</w:t>
            </w:r>
          </w:p>
        </w:tc>
        <w:tc>
          <w:tcPr>
            <w:tcW w:w="1270" w:type="dxa"/>
          </w:tcPr>
          <w:p w14:paraId="6B90CE7D" w14:textId="27730D1F" w:rsidR="00830036" w:rsidRPr="00B229AF" w:rsidRDefault="00830036"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B229AF">
              <w:t>Formula</w:t>
            </w:r>
          </w:p>
        </w:tc>
        <w:tc>
          <w:tcPr>
            <w:tcW w:w="1764" w:type="dxa"/>
          </w:tcPr>
          <w:p w14:paraId="2D4E760A" w14:textId="03CB27EC" w:rsidR="00830036" w:rsidRPr="00B229AF" w:rsidRDefault="00830036"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B229AF">
              <w:t>Explanation</w:t>
            </w:r>
          </w:p>
        </w:tc>
        <w:tc>
          <w:tcPr>
            <w:tcW w:w="1921" w:type="dxa"/>
          </w:tcPr>
          <w:p w14:paraId="36133560" w14:textId="23C72B0E" w:rsidR="00830036" w:rsidRPr="00B229AF" w:rsidRDefault="00830036"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B229AF">
              <w:t>2019</w:t>
            </w:r>
          </w:p>
        </w:tc>
        <w:tc>
          <w:tcPr>
            <w:tcW w:w="1985" w:type="dxa"/>
          </w:tcPr>
          <w:p w14:paraId="19F37241" w14:textId="2ACB72E8" w:rsidR="00830036" w:rsidRPr="00B229AF" w:rsidRDefault="00830036"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rsidRPr="00B229AF">
              <w:t>2020</w:t>
            </w:r>
          </w:p>
        </w:tc>
        <w:tc>
          <w:tcPr>
            <w:tcW w:w="992" w:type="dxa"/>
          </w:tcPr>
          <w:p w14:paraId="358848C0" w14:textId="18267B71" w:rsidR="00830036" w:rsidRPr="00B229AF" w:rsidRDefault="00830036" w:rsidP="00A46442">
            <w:pPr>
              <w:spacing w:before="72" w:line="360" w:lineRule="auto"/>
              <w:ind w:right="79"/>
              <w:jc w:val="center"/>
              <w:cnfStyle w:val="100000000000" w:firstRow="1" w:lastRow="0" w:firstColumn="0" w:lastColumn="0" w:oddVBand="0" w:evenVBand="0" w:oddHBand="0" w:evenHBand="0" w:firstRowFirstColumn="0" w:firstRowLastColumn="0" w:lastRowFirstColumn="0" w:lastRowLastColumn="0"/>
            </w:pPr>
            <w:r>
              <w:t>%(+/-)</w:t>
            </w:r>
          </w:p>
        </w:tc>
      </w:tr>
      <w:tr w:rsidR="00830036" w14:paraId="7022ED62" w14:textId="485BC557" w:rsidTr="0083003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7" w:type="dxa"/>
          </w:tcPr>
          <w:p w14:paraId="70461349" w14:textId="69DAD86B" w:rsidR="00830036" w:rsidRPr="00B229AF" w:rsidRDefault="00830036" w:rsidP="00A46442">
            <w:pPr>
              <w:spacing w:before="72" w:line="360" w:lineRule="auto"/>
              <w:ind w:right="79"/>
            </w:pPr>
            <w:r w:rsidRPr="00B229AF">
              <w:t>Debtors Collection Period</w:t>
            </w:r>
          </w:p>
        </w:tc>
        <w:tc>
          <w:tcPr>
            <w:tcW w:w="1270" w:type="dxa"/>
          </w:tcPr>
          <w:p w14:paraId="4B5EB927" w14:textId="4F2BE66C" w:rsidR="00830036" w:rsidRDefault="00830036"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(Account Receivables/ Sales made) *365</w:t>
            </w:r>
          </w:p>
        </w:tc>
        <w:tc>
          <w:tcPr>
            <w:tcW w:w="1764" w:type="dxa"/>
          </w:tcPr>
          <w:p w14:paraId="0BF1DAB9" w14:textId="7B1D84EE" w:rsidR="00830036" w:rsidRDefault="00830036"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This ratio will help the organisation in calculating the number of days that are taken to properly collect cash from the organisational debtors.</w:t>
            </w:r>
          </w:p>
        </w:tc>
        <w:tc>
          <w:tcPr>
            <w:tcW w:w="1921" w:type="dxa"/>
          </w:tcPr>
          <w:p w14:paraId="685A134A" w14:textId="2D4AC859" w:rsidR="00830036" w:rsidRDefault="00830036"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(1,261,000/9,452,000) *365</w:t>
            </w:r>
          </w:p>
          <w:p w14:paraId="58609E9B" w14:textId="30F1EF36" w:rsidR="00830036" w:rsidRDefault="00830036"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 48.69 Days</w:t>
            </w:r>
          </w:p>
        </w:tc>
        <w:tc>
          <w:tcPr>
            <w:tcW w:w="1985" w:type="dxa"/>
          </w:tcPr>
          <w:p w14:paraId="68F61909" w14:textId="14BBC4C7" w:rsidR="00830036" w:rsidRDefault="00830036"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(771,000/4,307,000) * 365</w:t>
            </w:r>
          </w:p>
          <w:p w14:paraId="0DB19161" w14:textId="00D2590F" w:rsidR="00830036" w:rsidRDefault="00830036"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 65.33 Days</w:t>
            </w:r>
          </w:p>
        </w:tc>
        <w:tc>
          <w:tcPr>
            <w:tcW w:w="992" w:type="dxa"/>
          </w:tcPr>
          <w:p w14:paraId="03AE8169" w14:textId="270C3304" w:rsidR="00830036" w:rsidRDefault="00830036" w:rsidP="00A46442">
            <w:pPr>
              <w:spacing w:before="72" w:line="360" w:lineRule="auto"/>
              <w:ind w:right="79"/>
              <w:cnfStyle w:val="000000100000" w:firstRow="0" w:lastRow="0" w:firstColumn="0" w:lastColumn="0" w:oddVBand="0" w:evenVBand="0" w:oddHBand="1" w:evenHBand="0" w:firstRowFirstColumn="0" w:firstRowLastColumn="0" w:lastRowFirstColumn="0" w:lastRowLastColumn="0"/>
            </w:pPr>
            <w:r>
              <w:t>+ 34.17%</w:t>
            </w:r>
          </w:p>
        </w:tc>
      </w:tr>
      <w:tr w:rsidR="00830036" w14:paraId="52CD2A0E" w14:textId="58A754B6" w:rsidTr="00830036">
        <w:tc>
          <w:tcPr>
            <w:cnfStyle w:val="001000000000" w:firstRow="0" w:lastRow="0" w:firstColumn="1" w:lastColumn="0" w:oddVBand="0" w:evenVBand="0" w:oddHBand="0" w:evenHBand="0" w:firstRowFirstColumn="0" w:firstRowLastColumn="0" w:lastRowFirstColumn="0" w:lastRowLastColumn="0"/>
            <w:tcW w:w="1277" w:type="dxa"/>
          </w:tcPr>
          <w:p w14:paraId="06F9BCD2" w14:textId="1727FBB3" w:rsidR="00830036" w:rsidRPr="00B229AF" w:rsidRDefault="00830036" w:rsidP="00A46442">
            <w:pPr>
              <w:spacing w:before="72" w:line="360" w:lineRule="auto"/>
              <w:ind w:right="79"/>
            </w:pPr>
            <w:r w:rsidRPr="00B229AF">
              <w:t>Creditors Payable Period</w:t>
            </w:r>
          </w:p>
        </w:tc>
        <w:tc>
          <w:tcPr>
            <w:tcW w:w="1270" w:type="dxa"/>
          </w:tcPr>
          <w:p w14:paraId="35CD6D47" w14:textId="75EE7CA3" w:rsidR="00830036" w:rsidRDefault="00830036"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(Total Payables/ Cost of Sales) *365</w:t>
            </w:r>
          </w:p>
        </w:tc>
        <w:tc>
          <w:tcPr>
            <w:tcW w:w="1764" w:type="dxa"/>
          </w:tcPr>
          <w:p w14:paraId="24E5FDFC" w14:textId="5930614A" w:rsidR="00830036" w:rsidRDefault="00830036"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The ratio shows how many days the corporation takes to pay off the creditors of the organisation.</w:t>
            </w:r>
          </w:p>
        </w:tc>
        <w:tc>
          <w:tcPr>
            <w:tcW w:w="1921" w:type="dxa"/>
          </w:tcPr>
          <w:p w14:paraId="7F113894" w14:textId="21F73E19" w:rsidR="00830036" w:rsidRDefault="00830036"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(303,000/7,017,000) *365</w:t>
            </w:r>
          </w:p>
          <w:p w14:paraId="264D6113" w14:textId="1A1EC858" w:rsidR="00830036" w:rsidRDefault="00830036"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 15.76 Days</w:t>
            </w:r>
          </w:p>
        </w:tc>
        <w:tc>
          <w:tcPr>
            <w:tcW w:w="1985" w:type="dxa"/>
          </w:tcPr>
          <w:p w14:paraId="1860FF89" w14:textId="2BFB0311" w:rsidR="00830036" w:rsidRDefault="00830036"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(224,000/3,724,000) *365</w:t>
            </w:r>
          </w:p>
          <w:p w14:paraId="0191D60C" w14:textId="2CD2DEC8" w:rsidR="00830036" w:rsidRDefault="00830036"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 21.95 Days</w:t>
            </w:r>
          </w:p>
        </w:tc>
        <w:tc>
          <w:tcPr>
            <w:tcW w:w="992" w:type="dxa"/>
          </w:tcPr>
          <w:p w14:paraId="2669B378" w14:textId="33D86422" w:rsidR="00830036" w:rsidRDefault="00830036" w:rsidP="00A46442">
            <w:pPr>
              <w:spacing w:before="72" w:line="360" w:lineRule="auto"/>
              <w:ind w:right="79"/>
              <w:cnfStyle w:val="000000000000" w:firstRow="0" w:lastRow="0" w:firstColumn="0" w:lastColumn="0" w:oddVBand="0" w:evenVBand="0" w:oddHBand="0" w:evenHBand="0" w:firstRowFirstColumn="0" w:firstRowLastColumn="0" w:lastRowFirstColumn="0" w:lastRowLastColumn="0"/>
            </w:pPr>
            <w:r>
              <w:t>39.27%</w:t>
            </w:r>
          </w:p>
        </w:tc>
      </w:tr>
    </w:tbl>
    <w:p w14:paraId="02AEE267" w14:textId="526B2A4B" w:rsidR="00A46442" w:rsidRDefault="00A46442" w:rsidP="00A46442">
      <w:pPr>
        <w:spacing w:before="72"/>
        <w:ind w:right="79"/>
        <w:jc w:val="center"/>
        <w:rPr>
          <w:b/>
          <w:bCs/>
        </w:rPr>
      </w:pPr>
      <w:r>
        <w:rPr>
          <w:b/>
          <w:bCs/>
        </w:rPr>
        <w:t>Table 3: Efficiency Ratio</w:t>
      </w:r>
    </w:p>
    <w:p w14:paraId="5B1A795E" w14:textId="4D70FD36" w:rsidR="008742C0" w:rsidRDefault="008742C0" w:rsidP="00931650">
      <w:pPr>
        <w:spacing w:before="72"/>
        <w:ind w:right="79"/>
        <w:rPr>
          <w:b/>
          <w:bCs/>
        </w:rPr>
      </w:pPr>
      <w:r>
        <w:rPr>
          <w:b/>
          <w:bCs/>
        </w:rPr>
        <w:t>Analysis</w:t>
      </w:r>
    </w:p>
    <w:p w14:paraId="7C50859B" w14:textId="5E8CB45C" w:rsidR="00F5501B" w:rsidRDefault="008742C0" w:rsidP="00931650">
      <w:pPr>
        <w:spacing w:before="72"/>
        <w:ind w:right="79"/>
      </w:pPr>
      <w:r>
        <w:t xml:space="preserve">The efficiency ratio shows how efficient the organisational operations are. Two important ratios have been chosen </w:t>
      </w:r>
      <w:r w:rsidR="00AA6B65">
        <w:t>here which show how cash is managed by the organisation in the operational context. In the case of the debtor’s collection period, the organisation will benefit if the collection is faster</w:t>
      </w:r>
      <w:r w:rsidR="002C02C5">
        <w:t xml:space="preserve"> (</w:t>
      </w:r>
      <w:proofErr w:type="spellStart"/>
      <w:r w:rsidR="002C02C5">
        <w:rPr>
          <w:shd w:val="clear" w:color="auto" w:fill="FFFFFF"/>
        </w:rPr>
        <w:t>Campisi</w:t>
      </w:r>
      <w:proofErr w:type="spellEnd"/>
      <w:r w:rsidR="002C02C5">
        <w:rPr>
          <w:shd w:val="clear" w:color="auto" w:fill="FFFFFF"/>
        </w:rPr>
        <w:t xml:space="preserve"> </w:t>
      </w:r>
      <w:r w:rsidR="002C02C5">
        <w:rPr>
          <w:i/>
          <w:iCs/>
          <w:shd w:val="clear" w:color="auto" w:fill="FFFFFF"/>
        </w:rPr>
        <w:t>et al., 2019</w:t>
      </w:r>
      <w:r w:rsidR="002C02C5">
        <w:t>)</w:t>
      </w:r>
      <w:r w:rsidR="00AA6B65">
        <w:t xml:space="preserve">. It can be seen from the calculations made that in the year 2019 the organisation was collecting </w:t>
      </w:r>
      <w:r w:rsidR="00830036">
        <w:t xml:space="preserve">the receivable from the debtors at a faster rate than in the year. There has been an </w:t>
      </w:r>
      <w:r w:rsidR="00830036">
        <w:lastRenderedPageBreak/>
        <w:t>increase by at least 17 days which is not a very good sign. On the other hand, an increased number of days for creditors’ payable period can be considered a good sign. In the year 2020</w:t>
      </w:r>
      <w:r w:rsidR="00F5501B">
        <w:t>,</w:t>
      </w:r>
      <w:r w:rsidR="00830036">
        <w:t xml:space="preserve"> there has been an increase of 6 days approximately in the creditors payable period which is a good sign for the organisation. </w:t>
      </w:r>
    </w:p>
    <w:p w14:paraId="27618DBA" w14:textId="486AA9BC" w:rsidR="00F5501B" w:rsidRDefault="00F5501B" w:rsidP="00F5501B">
      <w:pPr>
        <w:spacing w:before="72"/>
        <w:ind w:right="79"/>
        <w:jc w:val="center"/>
      </w:pPr>
      <w:r>
        <w:rPr>
          <w:noProof/>
        </w:rPr>
        <w:drawing>
          <wp:inline distT="0" distB="0" distL="0" distR="0" wp14:anchorId="3EFE6FB5" wp14:editId="3440FD26">
            <wp:extent cx="4572000" cy="2743200"/>
            <wp:effectExtent l="0" t="0" r="0" b="0"/>
            <wp:docPr id="4" name="Chart 4">
              <a:extLst xmlns:a="http://schemas.openxmlformats.org/drawingml/2006/main">
                <a:ext uri="{FF2B5EF4-FFF2-40B4-BE49-F238E27FC236}">
                  <a16:creationId xmlns:a16="http://schemas.microsoft.com/office/drawing/2014/main" id="{2B569EC1-6B43-3D13-22E1-097DE264701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05523D9" w14:textId="085C0EAA" w:rsidR="00212713" w:rsidRDefault="00F5501B" w:rsidP="00F5501B">
      <w:pPr>
        <w:spacing w:before="72"/>
        <w:ind w:right="79"/>
        <w:jc w:val="center"/>
        <w:rPr>
          <w:b/>
          <w:bCs/>
        </w:rPr>
      </w:pPr>
      <w:r>
        <w:rPr>
          <w:b/>
          <w:bCs/>
        </w:rPr>
        <w:t>Figure 3: Efficiency Ratio</w:t>
      </w:r>
    </w:p>
    <w:p w14:paraId="4EAB4747" w14:textId="2931B5F0" w:rsidR="00F5501B" w:rsidRPr="00F5501B" w:rsidRDefault="00F5501B" w:rsidP="00F5501B">
      <w:pPr>
        <w:spacing w:before="72"/>
        <w:ind w:right="79"/>
        <w:jc w:val="center"/>
        <w:rPr>
          <w:rFonts w:eastAsiaTheme="majorEastAsia" w:cstheme="majorBidi"/>
          <w:color w:val="000000" w:themeColor="text1"/>
          <w:szCs w:val="32"/>
        </w:rPr>
      </w:pPr>
      <w:r>
        <w:t>(Created by the learner)</w:t>
      </w:r>
    </w:p>
    <w:p w14:paraId="4E3EC1D2" w14:textId="471943B9" w:rsidR="00F5501B" w:rsidRDefault="00295950" w:rsidP="00295950">
      <w:pPr>
        <w:widowControl/>
        <w:autoSpaceDE/>
        <w:autoSpaceDN/>
        <w:spacing w:before="72"/>
        <w:ind w:left="62" w:right="79"/>
        <w:rPr>
          <w:rFonts w:eastAsiaTheme="majorEastAsia" w:cstheme="majorBidi"/>
          <w:b/>
          <w:color w:val="000000" w:themeColor="text1"/>
          <w:szCs w:val="32"/>
        </w:rPr>
      </w:pPr>
      <w:r>
        <w:t>The efficiency analysis of the hotel chain shows that there has been a mixed change in the year 2020 as compared to the year 2019.</w:t>
      </w:r>
      <w:r w:rsidR="00F5501B">
        <w:br w:type="page"/>
      </w:r>
    </w:p>
    <w:p w14:paraId="6D5FBD99" w14:textId="56251283" w:rsidR="00A46442" w:rsidRDefault="00A46442" w:rsidP="00A46442">
      <w:pPr>
        <w:pStyle w:val="Heading1"/>
      </w:pPr>
      <w:bookmarkStart w:id="2" w:name="_Toc104037743"/>
      <w:r>
        <w:lastRenderedPageBreak/>
        <w:t>Part B</w:t>
      </w:r>
      <w:bookmarkEnd w:id="2"/>
    </w:p>
    <w:p w14:paraId="067803F4" w14:textId="50552455" w:rsidR="00F7698B" w:rsidRPr="00A46442" w:rsidRDefault="00CC275B" w:rsidP="00A46442">
      <w:pPr>
        <w:rPr>
          <w:b/>
          <w:bCs/>
          <w:i/>
          <w:iCs/>
        </w:rPr>
      </w:pPr>
      <w:r w:rsidRPr="00A46442">
        <w:rPr>
          <w:b/>
          <w:bCs/>
          <w:i/>
          <w:iCs/>
        </w:rPr>
        <w:t>Outline the importance of using ratio analysis for decision making.</w:t>
      </w:r>
    </w:p>
    <w:p w14:paraId="1F1F973B" w14:textId="16688C94" w:rsidR="00CC275B" w:rsidRDefault="00CC275B" w:rsidP="00CC275B">
      <w:r>
        <w:t xml:space="preserve">Ratio analysis is </w:t>
      </w:r>
      <w:r w:rsidR="002D557F">
        <w:t>how</w:t>
      </w:r>
      <w:r>
        <w:t xml:space="preserve"> the organisation can properly analyse its liquidity, operation and efficiency.  It is done with the help o studying the financial statement of tech organisations. Some of the major types of ratios that are calculated by the organisation are </w:t>
      </w:r>
      <w:r w:rsidR="005760C0">
        <w:t xml:space="preserve">– </w:t>
      </w:r>
      <w:r w:rsidR="002C02C5">
        <w:t xml:space="preserve">the </w:t>
      </w:r>
      <w:r w:rsidR="005760C0" w:rsidRPr="002D557F">
        <w:rPr>
          <w:b/>
          <w:bCs/>
          <w:i/>
          <w:iCs/>
        </w:rPr>
        <w:t xml:space="preserve">current ratio, quick ratio, net profit margin </w:t>
      </w:r>
      <w:r w:rsidR="005760C0" w:rsidRPr="002D557F">
        <w:t xml:space="preserve">and </w:t>
      </w:r>
      <w:r w:rsidR="005760C0" w:rsidRPr="002D557F">
        <w:rPr>
          <w:b/>
          <w:bCs/>
          <w:i/>
          <w:iCs/>
        </w:rPr>
        <w:t>return on capital</w:t>
      </w:r>
      <w:r w:rsidR="002C02C5">
        <w:t xml:space="preserve"> (</w:t>
      </w:r>
      <w:proofErr w:type="spellStart"/>
      <w:r w:rsidR="002C02C5">
        <w:rPr>
          <w:shd w:val="clear" w:color="auto" w:fill="FFFFFF"/>
        </w:rPr>
        <w:t>Otekunrin</w:t>
      </w:r>
      <w:proofErr w:type="spellEnd"/>
      <w:r w:rsidR="002C02C5">
        <w:rPr>
          <w:shd w:val="clear" w:color="auto" w:fill="FFFFFF"/>
        </w:rPr>
        <w:t xml:space="preserve"> </w:t>
      </w:r>
      <w:r w:rsidR="002C02C5">
        <w:rPr>
          <w:i/>
          <w:iCs/>
          <w:shd w:val="clear" w:color="auto" w:fill="FFFFFF"/>
        </w:rPr>
        <w:t>et al</w:t>
      </w:r>
      <w:r w:rsidR="002C02C5">
        <w:rPr>
          <w:shd w:val="clear" w:color="auto" w:fill="FFFFFF"/>
        </w:rPr>
        <w:t>., 2019</w:t>
      </w:r>
      <w:r w:rsidR="002C02C5">
        <w:t>)</w:t>
      </w:r>
      <w:r w:rsidR="005760C0">
        <w:t xml:space="preserve">. </w:t>
      </w:r>
      <w:r w:rsidR="002D557F">
        <w:t>Various aspects are</w:t>
      </w:r>
      <w:r w:rsidR="005760C0">
        <w:t xml:space="preserve"> required to be considered by the organisation. Ratio analysis helps a business corporation </w:t>
      </w:r>
      <w:r w:rsidR="00D11CE4">
        <w:t>not</w:t>
      </w:r>
      <w:r w:rsidR="005760C0">
        <w:t xml:space="preserve"> only to make </w:t>
      </w:r>
      <w:r w:rsidR="00D11CE4">
        <w:t>viable comparisons but aids in decision making as well. It is the cornerstone of fundamental equity analysis.</w:t>
      </w:r>
    </w:p>
    <w:p w14:paraId="6443FFDC" w14:textId="75239A6E" w:rsidR="00E7440B" w:rsidRDefault="00E7440B" w:rsidP="00CC275B">
      <w:r>
        <w:t>With the help of the ratios</w:t>
      </w:r>
      <w:r w:rsidR="00231BAD">
        <w:t>,</w:t>
      </w:r>
      <w:r>
        <w:t xml:space="preserve"> the organisation can make decisions regarding the ways it can </w:t>
      </w:r>
      <w:r w:rsidR="00231BAD">
        <w:t>maintain</w:t>
      </w:r>
      <w:r>
        <w:t xml:space="preserve"> the ratios efficiently. For instance</w:t>
      </w:r>
      <w:r w:rsidR="00231BAD">
        <w:t>,</w:t>
      </w:r>
      <w:r>
        <w:t xml:space="preserve"> the calculation of </w:t>
      </w:r>
      <w:r w:rsidR="00231BAD">
        <w:t xml:space="preserve">the </w:t>
      </w:r>
      <w:r>
        <w:t>current ratio will help the organisation in understanding the fact that how well</w:t>
      </w:r>
      <w:r w:rsidR="00231BAD">
        <w:t xml:space="preserve"> it needs to manage the current ratios of the corporation</w:t>
      </w:r>
      <w:r w:rsidR="002C02C5">
        <w:t xml:space="preserve"> (</w:t>
      </w:r>
      <w:proofErr w:type="spellStart"/>
      <w:r w:rsidR="002C02C5">
        <w:t>Islami</w:t>
      </w:r>
      <w:proofErr w:type="spellEnd"/>
      <w:r w:rsidR="002C02C5">
        <w:t xml:space="preserve"> and Rio, 2019)</w:t>
      </w:r>
      <w:r w:rsidR="00231BAD">
        <w:t xml:space="preserve">. It will show the major trends in the organisation and help them in making </w:t>
      </w:r>
      <w:r w:rsidR="009B24EC">
        <w:t xml:space="preserve">a </w:t>
      </w:r>
      <w:r w:rsidR="00231BAD">
        <w:t>proper</w:t>
      </w:r>
      <w:r w:rsidR="009B24EC">
        <w:t xml:space="preserve"> </w:t>
      </w:r>
      <w:r w:rsidR="002D557F">
        <w:t>investment decision</w:t>
      </w:r>
      <w:r w:rsidR="009B24EC">
        <w:t xml:space="preserve">. </w:t>
      </w:r>
      <w:r w:rsidR="00BE2E64">
        <w:t>The</w:t>
      </w:r>
      <w:r w:rsidR="009B24EC">
        <w:t xml:space="preserve"> </w:t>
      </w:r>
      <w:r w:rsidR="00BE2E64">
        <w:t>return</w:t>
      </w:r>
      <w:r w:rsidR="009B24EC">
        <w:t xml:space="preserve"> on capital employed </w:t>
      </w:r>
      <w:r w:rsidR="001C4FFF">
        <w:t>ratio</w:t>
      </w:r>
      <w:r w:rsidR="009B24EC">
        <w:t xml:space="preserve"> will allow the corporation to make </w:t>
      </w:r>
      <w:r w:rsidR="00BE2E64">
        <w:t>pivotal</w:t>
      </w:r>
      <w:r w:rsidR="009B24EC">
        <w:t xml:space="preserve"> decisions regarding </w:t>
      </w:r>
      <w:r w:rsidR="002D557F">
        <w:t>how</w:t>
      </w:r>
      <w:r w:rsidR="009B24EC">
        <w:t xml:space="preserve"> the </w:t>
      </w:r>
      <w:r w:rsidR="00BE2E64">
        <w:t>capital can be utilised in the company.</w:t>
      </w:r>
    </w:p>
    <w:p w14:paraId="3C6BCC7C" w14:textId="0853066E" w:rsidR="00BE2E64" w:rsidRDefault="00BE2E64" w:rsidP="00CC275B">
      <w:r>
        <w:t xml:space="preserve">Efficient ratio analysis allows the business corporation to ensure that they are making decisions </w:t>
      </w:r>
      <w:r w:rsidR="002D557F">
        <w:t>regarding</w:t>
      </w:r>
      <w:r>
        <w:t xml:space="preserve"> the competitive advantage in the industry. Ratio analysis help</w:t>
      </w:r>
      <w:r w:rsidR="00853EC2">
        <w:t xml:space="preserve">s the business organisation in ensuring that they </w:t>
      </w:r>
      <w:r w:rsidR="002D557F">
        <w:t>can</w:t>
      </w:r>
      <w:r w:rsidR="00853EC2">
        <w:t xml:space="preserve"> properly analyse </w:t>
      </w:r>
      <w:r w:rsidR="002D557F">
        <w:t>how</w:t>
      </w:r>
      <w:r w:rsidR="00853EC2">
        <w:t xml:space="preserve"> they can be adding financial aspects to the business. Efficient ratio analysis will help the corporation in determining the profitability of the business organisation</w:t>
      </w:r>
      <w:r w:rsidR="002C02C5">
        <w:t xml:space="preserve"> (</w:t>
      </w:r>
      <w:r w:rsidR="002C02C5">
        <w:rPr>
          <w:shd w:val="clear" w:color="auto" w:fill="FFFFFF"/>
        </w:rPr>
        <w:t>Rashid, 2021</w:t>
      </w:r>
      <w:r w:rsidR="002C02C5">
        <w:t>)</w:t>
      </w:r>
      <w:r w:rsidR="00853EC2">
        <w:t xml:space="preserve">. The ratio analysis allows the major stakeholders of the organisation to properly analyse </w:t>
      </w:r>
      <w:r w:rsidR="003849CC">
        <w:t xml:space="preserve">if the organisation is worth investing in or not. There are ways in which the corporation can make proper </w:t>
      </w:r>
      <w:r w:rsidR="00DF42F6">
        <w:t>liquidity-based</w:t>
      </w:r>
      <w:r w:rsidR="003849CC">
        <w:t xml:space="preserve"> decisions as well. </w:t>
      </w:r>
      <w:r w:rsidR="00DF42F6">
        <w:t xml:space="preserve">Once the organisation </w:t>
      </w:r>
      <w:r w:rsidR="002D557F">
        <w:t>can</w:t>
      </w:r>
      <w:r w:rsidR="00DF42F6">
        <w:t xml:space="preserve"> properly analyse the major decisions regarding the </w:t>
      </w:r>
      <w:r w:rsidR="001C4FFF">
        <w:t>operational efficiency of the organisation can be properly taken</w:t>
      </w:r>
      <w:r w:rsidR="002C02C5">
        <w:t xml:space="preserve"> (</w:t>
      </w:r>
      <w:r w:rsidR="002C02C5">
        <w:rPr>
          <w:shd w:val="clear" w:color="auto" w:fill="FFFFFF"/>
        </w:rPr>
        <w:t xml:space="preserve">Dance and </w:t>
      </w:r>
      <w:proofErr w:type="spellStart"/>
      <w:r w:rsidR="002C02C5">
        <w:rPr>
          <w:shd w:val="clear" w:color="auto" w:fill="FFFFFF"/>
        </w:rPr>
        <w:t>Imade</w:t>
      </w:r>
      <w:proofErr w:type="spellEnd"/>
      <w:r w:rsidR="002C02C5">
        <w:rPr>
          <w:shd w:val="clear" w:color="auto" w:fill="FFFFFF"/>
        </w:rPr>
        <w:t>, 2019</w:t>
      </w:r>
      <w:r w:rsidR="002C02C5">
        <w:t>)</w:t>
      </w:r>
      <w:r w:rsidR="001C4FFF">
        <w:t>. It can be therefore said that</w:t>
      </w:r>
      <w:r w:rsidR="0015707F">
        <w:t xml:space="preserve"> </w:t>
      </w:r>
      <w:r w:rsidR="001C4FFF">
        <w:t xml:space="preserve">proper ratio analysis will help the organisation in making proper decisions </w:t>
      </w:r>
      <w:r w:rsidR="0017295E">
        <w:t xml:space="preserve">regarding organisational aspects. </w:t>
      </w:r>
    </w:p>
    <w:p w14:paraId="0C3E3561" w14:textId="24384ACE" w:rsidR="006250B1" w:rsidRDefault="00F1786A" w:rsidP="00CC275B">
      <w:r>
        <w:t xml:space="preserve">Once the ratio analysis has been done </w:t>
      </w:r>
      <w:r w:rsidR="00241232">
        <w:t xml:space="preserve">the organisation can make decisions regarding which aspects need to be improved by the corporation. The improved calculation will allow the corporation to aid in better decision making and ensure the fact that </w:t>
      </w:r>
      <w:r w:rsidR="00E0358F">
        <w:t xml:space="preserve">the liquidity and profitability of the organisation are also made efficiently. It can be therefore said that the management of the corporation </w:t>
      </w:r>
      <w:r w:rsidR="00E959F0">
        <w:t xml:space="preserve">will also be able to make </w:t>
      </w:r>
      <w:r w:rsidR="00E959F0">
        <w:lastRenderedPageBreak/>
        <w:t xml:space="preserve">decisions regarding the management of the inventory </w:t>
      </w:r>
      <w:r w:rsidR="0066339F">
        <w:t xml:space="preserve">and how can it be handled properly. </w:t>
      </w:r>
    </w:p>
    <w:p w14:paraId="1E9A9309" w14:textId="77777777" w:rsidR="006250B1" w:rsidRDefault="006250B1">
      <w:pPr>
        <w:widowControl/>
        <w:autoSpaceDE/>
        <w:autoSpaceDN/>
        <w:spacing w:before="72"/>
        <w:ind w:left="62" w:right="79"/>
        <w:jc w:val="center"/>
      </w:pPr>
      <w:r>
        <w:br w:type="page"/>
      </w:r>
    </w:p>
    <w:p w14:paraId="68882ADC" w14:textId="6EE65CA6" w:rsidR="00A46442" w:rsidRDefault="00A46442" w:rsidP="00A46442">
      <w:pPr>
        <w:pStyle w:val="Heading1"/>
      </w:pPr>
      <w:bookmarkStart w:id="3" w:name="_Toc104037744"/>
      <w:r>
        <w:lastRenderedPageBreak/>
        <w:t>Part C</w:t>
      </w:r>
      <w:bookmarkEnd w:id="3"/>
    </w:p>
    <w:p w14:paraId="1B54EDED" w14:textId="7CBC8D5D" w:rsidR="00F1786A" w:rsidRPr="00A46442" w:rsidRDefault="002D557F" w:rsidP="00A46442">
      <w:pPr>
        <w:rPr>
          <w:b/>
          <w:bCs/>
          <w:i/>
          <w:iCs/>
        </w:rPr>
      </w:pPr>
      <w:r w:rsidRPr="00A46442">
        <w:rPr>
          <w:b/>
          <w:bCs/>
          <w:i/>
          <w:iCs/>
        </w:rPr>
        <w:t xml:space="preserve">You are to investigate the limitation of ratio analysis, including why an understanding of ratios and their fluctuations is essential for </w:t>
      </w:r>
      <w:r w:rsidR="00A46442" w:rsidRPr="00A46442">
        <w:rPr>
          <w:b/>
          <w:bCs/>
          <w:i/>
          <w:iCs/>
        </w:rPr>
        <w:t>hotel</w:t>
      </w:r>
      <w:r w:rsidRPr="00A46442">
        <w:rPr>
          <w:b/>
          <w:bCs/>
          <w:i/>
          <w:iCs/>
        </w:rPr>
        <w:t xml:space="preserve"> management in analysing the information seen in their financial statements.</w:t>
      </w:r>
    </w:p>
    <w:p w14:paraId="35F784BD" w14:textId="742A5591" w:rsidR="002C02C5" w:rsidRDefault="006250B1" w:rsidP="006250B1">
      <w:r>
        <w:t>Ratio analysis is indeed a very important aspect that is required to be considered here and it can be said that there are ways</w:t>
      </w:r>
      <w:r w:rsidR="00BE3FB3">
        <w:t xml:space="preserve"> in which it helps in properly analysing the major aspects of the business organisation. However, it is very important to note that there are major limitations of the ratio analysis. </w:t>
      </w:r>
      <w:r w:rsidR="00A30B88">
        <w:t xml:space="preserve">One of the concerning limitations of the ratio analysis is that it is historic </w:t>
      </w:r>
      <w:r w:rsidR="002C02C5">
        <w:t>(</w:t>
      </w:r>
      <w:proofErr w:type="spellStart"/>
      <w:r w:rsidR="002C02C5">
        <w:rPr>
          <w:shd w:val="clear" w:color="auto" w:fill="FFFFFF"/>
        </w:rPr>
        <w:t>Tascón</w:t>
      </w:r>
      <w:r w:rsidR="002C02C5">
        <w:rPr>
          <w:i/>
          <w:iCs/>
          <w:shd w:val="clear" w:color="auto" w:fill="FFFFFF"/>
        </w:rPr>
        <w:t>e</w:t>
      </w:r>
      <w:proofErr w:type="spellEnd"/>
      <w:r w:rsidR="002C02C5">
        <w:rPr>
          <w:i/>
          <w:iCs/>
          <w:shd w:val="clear" w:color="auto" w:fill="FFFFFF"/>
        </w:rPr>
        <w:t xml:space="preserve"> et al</w:t>
      </w:r>
      <w:r w:rsidR="002C02C5">
        <w:rPr>
          <w:shd w:val="clear" w:color="auto" w:fill="FFFFFF"/>
        </w:rPr>
        <w:t>., 2018</w:t>
      </w:r>
      <w:r w:rsidR="002C02C5">
        <w:t>)</w:t>
      </w:r>
      <w:r w:rsidR="00A30B88">
        <w:t xml:space="preserve">. It implies that the analysis is not current therefore it cannot be considered absolute. It also does not account for the </w:t>
      </w:r>
      <w:r w:rsidR="00967E99">
        <w:t xml:space="preserve">major external factors that impact the business corporation. This means that the analysis will not take into consideration the major external aspects such as recession and inflation. </w:t>
      </w:r>
    </w:p>
    <w:p w14:paraId="37C289A9" w14:textId="172190F1" w:rsidR="006250B1" w:rsidRDefault="00967E99" w:rsidP="006250B1">
      <w:r>
        <w:t xml:space="preserve">Now, if the organisation plans on changing the ley </w:t>
      </w:r>
      <w:r w:rsidRPr="002D557F">
        <w:rPr>
          <w:b/>
          <w:bCs/>
          <w:i/>
          <w:iCs/>
        </w:rPr>
        <w:t>accounting policies</w:t>
      </w:r>
      <w:r>
        <w:t>, then the organisation will not be able to properly analyse the ratio</w:t>
      </w:r>
      <w:r w:rsidR="00764E9D">
        <w:t xml:space="preserve"> (Corporate Finance Institute, 2022)</w:t>
      </w:r>
      <w:r>
        <w:t xml:space="preserve">. This is because there will be a change in the financial information and trend as well. For instance, the fall in </w:t>
      </w:r>
      <w:r w:rsidR="00202A37">
        <w:t xml:space="preserve">the </w:t>
      </w:r>
      <w:r>
        <w:t xml:space="preserve">operating margin of the hotel will be majorly attributed to the fact that the organisation </w:t>
      </w:r>
      <w:r w:rsidR="00202A37">
        <w:t xml:space="preserve">has had a decreased amount of operating income. However, it will miss out on the external aspect of the fall in the operating income ratio. Thus, it can be said that the corporation has lost its profit due to the ongoing pandemic in the year 2020. </w:t>
      </w:r>
    </w:p>
    <w:p w14:paraId="265CCDDC" w14:textId="51522C0A" w:rsidR="00764E9D" w:rsidRDefault="00764E9D" w:rsidP="006250B1"/>
    <w:p w14:paraId="58706189" w14:textId="17E627D3" w:rsidR="00764E9D" w:rsidRDefault="00764E9D" w:rsidP="00764E9D">
      <w:pPr>
        <w:jc w:val="center"/>
      </w:pPr>
      <w:r w:rsidRPr="00764E9D">
        <w:rPr>
          <w:noProof/>
        </w:rPr>
        <w:lastRenderedPageBreak/>
        <w:drawing>
          <wp:inline distT="0" distB="0" distL="0" distR="0" wp14:anchorId="73928CDC" wp14:editId="269A5573">
            <wp:extent cx="4030384" cy="2872740"/>
            <wp:effectExtent l="76200" t="76200" r="141605" b="137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42127" cy="28811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BF0157" w14:textId="4B113077" w:rsidR="00764E9D" w:rsidRDefault="00764E9D" w:rsidP="00764E9D">
      <w:pPr>
        <w:jc w:val="center"/>
        <w:rPr>
          <w:b/>
          <w:bCs/>
        </w:rPr>
      </w:pPr>
      <w:r>
        <w:rPr>
          <w:b/>
          <w:bCs/>
        </w:rPr>
        <w:t>Figure 4: Limitations of Ratio Analysis</w:t>
      </w:r>
    </w:p>
    <w:p w14:paraId="6D7D2968" w14:textId="63AE6EE5" w:rsidR="00764E9D" w:rsidRPr="00764E9D" w:rsidRDefault="00764E9D" w:rsidP="00764E9D">
      <w:pPr>
        <w:jc w:val="center"/>
      </w:pPr>
      <w:r>
        <w:t>(Source: Corporate Finance Institute, 2022)</w:t>
      </w:r>
    </w:p>
    <w:p w14:paraId="6E1D055C" w14:textId="48AD94B8" w:rsidR="00C674F7" w:rsidRDefault="00C674F7" w:rsidP="006250B1">
      <w:r>
        <w:t>In the hotel management</w:t>
      </w:r>
      <w:r w:rsidR="00B15560">
        <w:t xml:space="preserve"> </w:t>
      </w:r>
      <w:r>
        <w:t>industry, it is important to understand the major reasons behind the fluctuation of the ratios</w:t>
      </w:r>
      <w:r w:rsidR="00B15560">
        <w:t xml:space="preserve">. It can be therefore said that the hotel will be required to make sure the fact that they </w:t>
      </w:r>
      <w:r w:rsidR="002D557F">
        <w:t>can</w:t>
      </w:r>
      <w:r w:rsidR="00B15560">
        <w:t xml:space="preserve"> properly analyse the major financial </w:t>
      </w:r>
      <w:r w:rsidR="008C71CE">
        <w:t>implications</w:t>
      </w:r>
      <w:r w:rsidR="00B15560">
        <w:t xml:space="preserve"> intricately. </w:t>
      </w:r>
      <w:r w:rsidR="008C71CE">
        <w:t>By analysing the financial ratios of the organisation, it can be stated that the corporation will be able to properly understand the reasons behind the fall in profit the organisation. It has been seen that in the year 2020 the organisation has had an immense drop in profitability. This can be well</w:t>
      </w:r>
      <w:r w:rsidR="006652D8">
        <w:t xml:space="preserve"> attributed to the fact that due to the coronavirus pandemic the profitability of the company has fallen.</w:t>
      </w:r>
    </w:p>
    <w:p w14:paraId="7A50E640" w14:textId="43634C61" w:rsidR="005F5C5C" w:rsidRDefault="006652D8" w:rsidP="006250B1">
      <w:r>
        <w:t xml:space="preserve">Proper ratio analysis will allow the corporation to ensure that there are ways in which the </w:t>
      </w:r>
      <w:r w:rsidR="008F2393">
        <w:t>hotel chain will be able to understand the major reasons behind the changes in assets. It will let the</w:t>
      </w:r>
      <w:r w:rsidR="00295950">
        <w:t xml:space="preserve"> </w:t>
      </w:r>
      <w:r w:rsidR="008F2393">
        <w:t>organisation make amends in various departments in need of improvement</w:t>
      </w:r>
      <w:r w:rsidR="002C02C5">
        <w:t xml:space="preserve"> (</w:t>
      </w:r>
      <w:r w:rsidR="002C02C5">
        <w:rPr>
          <w:shd w:val="clear" w:color="auto" w:fill="FFFFFF"/>
        </w:rPr>
        <w:t xml:space="preserve">Husain and </w:t>
      </w:r>
      <w:proofErr w:type="spellStart"/>
      <w:r w:rsidR="002C02C5">
        <w:rPr>
          <w:shd w:val="clear" w:color="auto" w:fill="FFFFFF"/>
        </w:rPr>
        <w:t>Sunardi</w:t>
      </w:r>
      <w:proofErr w:type="spellEnd"/>
      <w:r w:rsidR="002C02C5">
        <w:rPr>
          <w:shd w:val="clear" w:color="auto" w:fill="FFFFFF"/>
        </w:rPr>
        <w:t>, 2020</w:t>
      </w:r>
      <w:r w:rsidR="002C02C5">
        <w:t>)</w:t>
      </w:r>
      <w:r w:rsidR="008F2393">
        <w:t>.</w:t>
      </w:r>
      <w:r w:rsidR="00295950">
        <w:t xml:space="preserve"> Thus, it can be simply put in this way that the organisation will be able to properly increase its efficiency </w:t>
      </w:r>
      <w:r w:rsidR="004A1945">
        <w:t>with</w:t>
      </w:r>
      <w:r w:rsidR="00295950">
        <w:t xml:space="preserve"> the help of proper ratio analysis. </w:t>
      </w:r>
      <w:r w:rsidR="004A1945">
        <w:t xml:space="preserve">The limitations of the ratio analysis </w:t>
      </w:r>
      <w:r w:rsidR="00735E68">
        <w:t xml:space="preserve">can be impactful on the </w:t>
      </w:r>
      <w:r w:rsidR="00C21ABE">
        <w:t>organisation</w:t>
      </w:r>
      <w:r w:rsidR="00735E68">
        <w:t xml:space="preserve"> but it does not count out the utility of the ratio analysis aspects. </w:t>
      </w:r>
    </w:p>
    <w:p w14:paraId="73F5D805" w14:textId="77777777" w:rsidR="005F5C5C" w:rsidRDefault="005F5C5C">
      <w:pPr>
        <w:widowControl/>
        <w:autoSpaceDE/>
        <w:autoSpaceDN/>
        <w:spacing w:before="72"/>
        <w:ind w:left="62" w:right="79"/>
        <w:jc w:val="center"/>
      </w:pPr>
      <w:r>
        <w:br w:type="page"/>
      </w:r>
    </w:p>
    <w:p w14:paraId="21ED69D9" w14:textId="4F209C04" w:rsidR="006652D8" w:rsidRDefault="005F5C5C" w:rsidP="005F5C5C">
      <w:pPr>
        <w:pStyle w:val="Heading1"/>
      </w:pPr>
      <w:bookmarkStart w:id="4" w:name="_Toc104037745"/>
      <w:r>
        <w:lastRenderedPageBreak/>
        <w:t>Conclusion</w:t>
      </w:r>
      <w:bookmarkEnd w:id="4"/>
    </w:p>
    <w:p w14:paraId="310E2224" w14:textId="3583D743" w:rsidR="00A46442" w:rsidRDefault="005F5C5C" w:rsidP="005F5C5C">
      <w:r>
        <w:t>At the end of the analysis</w:t>
      </w:r>
      <w:r w:rsidR="00B60089">
        <w:t>,</w:t>
      </w:r>
      <w:r>
        <w:t xml:space="preserve"> it can be concluded that the </w:t>
      </w:r>
      <w:r w:rsidR="00B60089">
        <w:t>organisation needs to consider ratio analysis as an important factor</w:t>
      </w:r>
      <w:r w:rsidR="00087354">
        <w:t xml:space="preserve">. It allows the corporation to ensure that there are ways in which the company will be able to </w:t>
      </w:r>
      <w:r w:rsidR="004518A9">
        <w:t xml:space="preserve">have a competitive advantage. It has been found that proper ratio analysis will help the corporation in ensuring that they will be able to properly analyse the ways to make effective decision making. Another important aspect that has been found here is that </w:t>
      </w:r>
      <w:r w:rsidR="00F35A19">
        <w:t xml:space="preserve">there are certain limitations to ratio analysis of a business corporation as well. Finally, it can be said that the corporation can make better and </w:t>
      </w:r>
      <w:r w:rsidR="002D557F">
        <w:t xml:space="preserve">more </w:t>
      </w:r>
      <w:r w:rsidR="00F35A19">
        <w:t xml:space="preserve">informed decisions with the help of proper ratio analysis. </w:t>
      </w:r>
    </w:p>
    <w:p w14:paraId="1DE5F66A" w14:textId="77777777" w:rsidR="00A46442" w:rsidRDefault="00A46442">
      <w:pPr>
        <w:widowControl/>
        <w:autoSpaceDE/>
        <w:autoSpaceDN/>
        <w:spacing w:before="72"/>
        <w:ind w:left="62" w:right="79"/>
        <w:jc w:val="center"/>
      </w:pPr>
      <w:r>
        <w:br w:type="page"/>
      </w:r>
    </w:p>
    <w:p w14:paraId="301BA961" w14:textId="1ABF94EB" w:rsidR="00A46442" w:rsidRPr="00A46442" w:rsidRDefault="00A46442" w:rsidP="00A46442">
      <w:pPr>
        <w:pStyle w:val="Heading1"/>
      </w:pPr>
      <w:bookmarkStart w:id="5" w:name="_Toc104037746"/>
      <w:r>
        <w:lastRenderedPageBreak/>
        <w:t>Reference List</w:t>
      </w:r>
      <w:bookmarkEnd w:id="5"/>
    </w:p>
    <w:p w14:paraId="303DCAB3" w14:textId="77777777" w:rsidR="00A46442" w:rsidRPr="00CF6331" w:rsidRDefault="00A46442" w:rsidP="00A46442">
      <w:pPr>
        <w:rPr>
          <w:shd w:val="clear" w:color="auto" w:fill="FFFFFF"/>
        </w:rPr>
      </w:pPr>
      <w:proofErr w:type="spellStart"/>
      <w:r w:rsidRPr="00CF6331">
        <w:rPr>
          <w:shd w:val="clear" w:color="auto" w:fill="FFFFFF"/>
        </w:rPr>
        <w:t>Campisi</w:t>
      </w:r>
      <w:proofErr w:type="spellEnd"/>
      <w:r w:rsidRPr="00CF6331">
        <w:rPr>
          <w:shd w:val="clear" w:color="auto" w:fill="FFFFFF"/>
        </w:rPr>
        <w:t xml:space="preserve">, D., Mancuso, P., </w:t>
      </w:r>
      <w:proofErr w:type="spellStart"/>
      <w:r w:rsidRPr="00CF6331">
        <w:rPr>
          <w:shd w:val="clear" w:color="auto" w:fill="FFFFFF"/>
        </w:rPr>
        <w:t>Mastrodonato</w:t>
      </w:r>
      <w:proofErr w:type="spellEnd"/>
      <w:r w:rsidRPr="00CF6331">
        <w:rPr>
          <w:shd w:val="clear" w:color="auto" w:fill="FFFFFF"/>
        </w:rPr>
        <w:t>, S.L. and Morea, D., (2019). Efficiency assessment of knowledge intensive business services industry in Italy: Data envelopment analysis (DEA) and financial ratio analysis. </w:t>
      </w:r>
      <w:r w:rsidRPr="00CF6331">
        <w:rPr>
          <w:i/>
          <w:iCs/>
          <w:shd w:val="clear" w:color="auto" w:fill="FFFFFF"/>
        </w:rPr>
        <w:t>Measuring Business Excellence</w:t>
      </w:r>
      <w:r w:rsidRPr="00CF6331">
        <w:rPr>
          <w:shd w:val="clear" w:color="auto" w:fill="FFFFFF"/>
        </w:rPr>
        <w:t>.</w:t>
      </w:r>
    </w:p>
    <w:p w14:paraId="4D961469" w14:textId="77777777" w:rsidR="00A46442" w:rsidRDefault="00A46442" w:rsidP="00A46442">
      <w:r>
        <w:t xml:space="preserve">Corporate Finance Institute, (2022). </w:t>
      </w:r>
      <w:r w:rsidRPr="00CF6331">
        <w:rPr>
          <w:i/>
          <w:iCs/>
        </w:rPr>
        <w:t>Limitations of Ratio Analysis</w:t>
      </w:r>
      <w:r>
        <w:t xml:space="preserve"> Available at: </w:t>
      </w:r>
      <w:r w:rsidRPr="000B6D5D">
        <w:t>https://corporatefinanceinstitute.com/resources/knowledge/finance/limitations-ratio-analysis/</w:t>
      </w:r>
      <w:r>
        <w:t xml:space="preserve"> (Accessed: 21 May 2022)</w:t>
      </w:r>
    </w:p>
    <w:p w14:paraId="1199E2C1" w14:textId="77777777" w:rsidR="00A46442" w:rsidRPr="00CF6331" w:rsidRDefault="00A46442" w:rsidP="00A46442">
      <w:pPr>
        <w:rPr>
          <w:shd w:val="clear" w:color="auto" w:fill="FFFFFF"/>
        </w:rPr>
      </w:pPr>
      <w:r w:rsidRPr="00CF6331">
        <w:rPr>
          <w:shd w:val="clear" w:color="auto" w:fill="FFFFFF"/>
        </w:rPr>
        <w:t xml:space="preserve">Dance, M. and </w:t>
      </w:r>
      <w:proofErr w:type="spellStart"/>
      <w:r w:rsidRPr="00CF6331">
        <w:rPr>
          <w:shd w:val="clear" w:color="auto" w:fill="FFFFFF"/>
        </w:rPr>
        <w:t>Imade</w:t>
      </w:r>
      <w:proofErr w:type="spellEnd"/>
      <w:r w:rsidRPr="00CF6331">
        <w:rPr>
          <w:shd w:val="clear" w:color="auto" w:fill="FFFFFF"/>
        </w:rPr>
        <w:t xml:space="preserve">, S., (2019). Financial ratio analysis in predicting financial conditions distress in </w:t>
      </w:r>
      <w:proofErr w:type="spellStart"/>
      <w:r w:rsidRPr="00CF6331">
        <w:rPr>
          <w:shd w:val="clear" w:color="auto" w:fill="FFFFFF"/>
        </w:rPr>
        <w:t>indonesia</w:t>
      </w:r>
      <w:proofErr w:type="spellEnd"/>
      <w:r w:rsidRPr="00CF6331">
        <w:rPr>
          <w:shd w:val="clear" w:color="auto" w:fill="FFFFFF"/>
        </w:rPr>
        <w:t xml:space="preserve"> stock exchange. </w:t>
      </w:r>
      <w:r w:rsidRPr="00CF6331">
        <w:rPr>
          <w:i/>
          <w:iCs/>
          <w:shd w:val="clear" w:color="auto" w:fill="FFFFFF"/>
        </w:rPr>
        <w:t>Russian Journal of Agricultural and Socio-Economic Sciences</w:t>
      </w:r>
      <w:r w:rsidRPr="00CF6331">
        <w:rPr>
          <w:shd w:val="clear" w:color="auto" w:fill="FFFFFF"/>
        </w:rPr>
        <w:t>, </w:t>
      </w:r>
      <w:r w:rsidRPr="00CF6331">
        <w:rPr>
          <w:i/>
          <w:iCs/>
          <w:shd w:val="clear" w:color="auto" w:fill="FFFFFF"/>
        </w:rPr>
        <w:t>86</w:t>
      </w:r>
      <w:r w:rsidRPr="00CF6331">
        <w:rPr>
          <w:shd w:val="clear" w:color="auto" w:fill="FFFFFF"/>
        </w:rPr>
        <w:t>(2).</w:t>
      </w:r>
    </w:p>
    <w:p w14:paraId="579CBB16" w14:textId="77777777" w:rsidR="00A46442" w:rsidRDefault="00A46442" w:rsidP="00A46442">
      <w:r>
        <w:t xml:space="preserve">Hilton, (2022). </w:t>
      </w:r>
      <w:r w:rsidRPr="00CF6331">
        <w:rPr>
          <w:i/>
          <w:iCs/>
        </w:rPr>
        <w:t>HISTORY AND HERITAGE</w:t>
      </w:r>
      <w:r>
        <w:t xml:space="preserve"> Available at: </w:t>
      </w:r>
      <w:r w:rsidRPr="008E5DAE">
        <w:t>https://www.hilton.com/en/corporate/</w:t>
      </w:r>
      <w:r>
        <w:t xml:space="preserve"> (Accessed: 21 May 2022)</w:t>
      </w:r>
    </w:p>
    <w:p w14:paraId="32C224F1" w14:textId="77777777" w:rsidR="00A46442" w:rsidRDefault="00A46442" w:rsidP="00A46442">
      <w:pPr>
        <w:rPr>
          <w:shd w:val="clear" w:color="auto" w:fill="FFFFFF"/>
        </w:rPr>
      </w:pPr>
      <w:r w:rsidRPr="00CF6331">
        <w:rPr>
          <w:shd w:val="clear" w:color="auto" w:fill="FFFFFF"/>
        </w:rPr>
        <w:t xml:space="preserve">Husain, T. and </w:t>
      </w:r>
      <w:proofErr w:type="spellStart"/>
      <w:r w:rsidRPr="00CF6331">
        <w:rPr>
          <w:shd w:val="clear" w:color="auto" w:fill="FFFFFF"/>
        </w:rPr>
        <w:t>Sunardi</w:t>
      </w:r>
      <w:proofErr w:type="spellEnd"/>
      <w:r w:rsidRPr="00CF6331">
        <w:rPr>
          <w:shd w:val="clear" w:color="auto" w:fill="FFFFFF"/>
        </w:rPr>
        <w:t>, N., (2020). Firm's Value Prediction Based on Profitability Ratios and Dividend Policy. </w:t>
      </w:r>
      <w:r w:rsidRPr="00CF6331">
        <w:rPr>
          <w:i/>
          <w:iCs/>
          <w:shd w:val="clear" w:color="auto" w:fill="FFFFFF"/>
        </w:rPr>
        <w:t>Finance &amp; Economics Review</w:t>
      </w:r>
      <w:r w:rsidRPr="00CF6331">
        <w:rPr>
          <w:shd w:val="clear" w:color="auto" w:fill="FFFFFF"/>
        </w:rPr>
        <w:t>, </w:t>
      </w:r>
      <w:r w:rsidRPr="00CF6331">
        <w:rPr>
          <w:i/>
          <w:iCs/>
          <w:shd w:val="clear" w:color="auto" w:fill="FFFFFF"/>
        </w:rPr>
        <w:t>2</w:t>
      </w:r>
      <w:r w:rsidRPr="00CF6331">
        <w:rPr>
          <w:shd w:val="clear" w:color="auto" w:fill="FFFFFF"/>
        </w:rPr>
        <w:t>(2), pp.13-26.</w:t>
      </w:r>
    </w:p>
    <w:p w14:paraId="5D10053F" w14:textId="77777777" w:rsidR="00A46442" w:rsidRPr="00CF6331" w:rsidRDefault="00A46442" w:rsidP="00A46442">
      <w:pPr>
        <w:rPr>
          <w:shd w:val="clear" w:color="auto" w:fill="FFFFFF"/>
        </w:rPr>
      </w:pPr>
      <w:proofErr w:type="spellStart"/>
      <w:r w:rsidRPr="00CF6331">
        <w:rPr>
          <w:shd w:val="clear" w:color="auto" w:fill="FFFFFF"/>
        </w:rPr>
        <w:t>Islami</w:t>
      </w:r>
      <w:proofErr w:type="spellEnd"/>
      <w:r w:rsidRPr="00CF6331">
        <w:rPr>
          <w:shd w:val="clear" w:color="auto" w:fill="FFFFFF"/>
        </w:rPr>
        <w:t xml:space="preserve">, I.N. and Rio, W., (2019). Financial ratio analysis to predict financial distress on property and real estate company listed in </w:t>
      </w:r>
      <w:proofErr w:type="spellStart"/>
      <w:r w:rsidRPr="00CF6331">
        <w:rPr>
          <w:shd w:val="clear" w:color="auto" w:fill="FFFFFF"/>
        </w:rPr>
        <w:t>indonesia</w:t>
      </w:r>
      <w:proofErr w:type="spellEnd"/>
      <w:r w:rsidRPr="00CF6331">
        <w:rPr>
          <w:shd w:val="clear" w:color="auto" w:fill="FFFFFF"/>
        </w:rPr>
        <w:t xml:space="preserve"> stock exchange. </w:t>
      </w:r>
      <w:r w:rsidRPr="00CF6331">
        <w:rPr>
          <w:i/>
          <w:iCs/>
          <w:shd w:val="clear" w:color="auto" w:fill="FFFFFF"/>
        </w:rPr>
        <w:t>JAAF (Journal of Applied Accounting and Finance)</w:t>
      </w:r>
      <w:r w:rsidRPr="00CF6331">
        <w:rPr>
          <w:shd w:val="clear" w:color="auto" w:fill="FFFFFF"/>
        </w:rPr>
        <w:t>, </w:t>
      </w:r>
      <w:r w:rsidRPr="00CF6331">
        <w:rPr>
          <w:i/>
          <w:iCs/>
          <w:shd w:val="clear" w:color="auto" w:fill="FFFFFF"/>
        </w:rPr>
        <w:t>2</w:t>
      </w:r>
      <w:r w:rsidRPr="00CF6331">
        <w:rPr>
          <w:shd w:val="clear" w:color="auto" w:fill="FFFFFF"/>
        </w:rPr>
        <w:t>(2), pp.125-137.</w:t>
      </w:r>
    </w:p>
    <w:p w14:paraId="4AA6179B" w14:textId="77777777" w:rsidR="00A46442" w:rsidRPr="00CF6331" w:rsidRDefault="00A46442" w:rsidP="00A46442">
      <w:pPr>
        <w:rPr>
          <w:shd w:val="clear" w:color="auto" w:fill="FFFFFF"/>
        </w:rPr>
      </w:pPr>
      <w:proofErr w:type="spellStart"/>
      <w:r w:rsidRPr="00CF6331">
        <w:rPr>
          <w:shd w:val="clear" w:color="auto" w:fill="FFFFFF"/>
        </w:rPr>
        <w:t>Kourtis</w:t>
      </w:r>
      <w:proofErr w:type="spellEnd"/>
      <w:r w:rsidRPr="00CF6331">
        <w:rPr>
          <w:shd w:val="clear" w:color="auto" w:fill="FFFFFF"/>
        </w:rPr>
        <w:t xml:space="preserve">, E., </w:t>
      </w:r>
      <w:proofErr w:type="spellStart"/>
      <w:r w:rsidRPr="00CF6331">
        <w:rPr>
          <w:shd w:val="clear" w:color="auto" w:fill="FFFFFF"/>
        </w:rPr>
        <w:t>Kourtis</w:t>
      </w:r>
      <w:proofErr w:type="spellEnd"/>
      <w:r w:rsidRPr="00CF6331">
        <w:rPr>
          <w:shd w:val="clear" w:color="auto" w:fill="FFFFFF"/>
        </w:rPr>
        <w:t>, G. and Curtis, P., (2019). An integrated financial ratio analysis as a navigation compass through the fraudulent reporting conundrum: a case study.</w:t>
      </w:r>
    </w:p>
    <w:p w14:paraId="60E4675A" w14:textId="77777777" w:rsidR="00A46442" w:rsidRDefault="00A46442" w:rsidP="00A46442">
      <w:pPr>
        <w:rPr>
          <w:shd w:val="clear" w:color="auto" w:fill="FFFFFF"/>
        </w:rPr>
      </w:pPr>
      <w:r>
        <w:rPr>
          <w:shd w:val="clear" w:color="auto" w:fill="FFFFFF"/>
        </w:rPr>
        <w:t xml:space="preserve">Maglio, R., </w:t>
      </w:r>
      <w:proofErr w:type="spellStart"/>
      <w:r>
        <w:rPr>
          <w:shd w:val="clear" w:color="auto" w:fill="FFFFFF"/>
        </w:rPr>
        <w:t>Rapone</w:t>
      </w:r>
      <w:proofErr w:type="spellEnd"/>
      <w:r>
        <w:rPr>
          <w:shd w:val="clear" w:color="auto" w:fill="FFFFFF"/>
        </w:rPr>
        <w:t>, V. and Rey, A., (2018). Capitalisation of operating lease and its impact on firm’s financial ratios: Evidence from Italian listed companies. </w:t>
      </w:r>
      <w:r>
        <w:rPr>
          <w:i/>
          <w:iCs/>
          <w:shd w:val="clear" w:color="auto" w:fill="FFFFFF"/>
        </w:rPr>
        <w:t>Corporate Ownership &amp; Control</w:t>
      </w:r>
      <w:r>
        <w:rPr>
          <w:shd w:val="clear" w:color="auto" w:fill="FFFFFF"/>
        </w:rPr>
        <w:t>, </w:t>
      </w:r>
      <w:r>
        <w:rPr>
          <w:i/>
          <w:iCs/>
          <w:shd w:val="clear" w:color="auto" w:fill="FFFFFF"/>
        </w:rPr>
        <w:t>15</w:t>
      </w:r>
      <w:r>
        <w:rPr>
          <w:shd w:val="clear" w:color="auto" w:fill="FFFFFF"/>
        </w:rPr>
        <w:t>(3-1), pp.152-162.</w:t>
      </w:r>
    </w:p>
    <w:p w14:paraId="355DE3ED" w14:textId="77777777" w:rsidR="00A46442" w:rsidRPr="00CF6331" w:rsidRDefault="00A46442" w:rsidP="00A46442">
      <w:pPr>
        <w:rPr>
          <w:shd w:val="clear" w:color="auto" w:fill="FFFFFF"/>
        </w:rPr>
      </w:pPr>
      <w:proofErr w:type="spellStart"/>
      <w:r w:rsidRPr="00CF6331">
        <w:rPr>
          <w:shd w:val="clear" w:color="auto" w:fill="FFFFFF"/>
        </w:rPr>
        <w:t>Otekunrin</w:t>
      </w:r>
      <w:proofErr w:type="spellEnd"/>
      <w:r w:rsidRPr="00CF6331">
        <w:rPr>
          <w:shd w:val="clear" w:color="auto" w:fill="FFFFFF"/>
        </w:rPr>
        <w:t xml:space="preserve">, A.O., </w:t>
      </w:r>
      <w:proofErr w:type="spellStart"/>
      <w:r w:rsidRPr="00CF6331">
        <w:rPr>
          <w:shd w:val="clear" w:color="auto" w:fill="FFFFFF"/>
        </w:rPr>
        <w:t>Nwanji</w:t>
      </w:r>
      <w:proofErr w:type="spellEnd"/>
      <w:r w:rsidRPr="00CF6331">
        <w:rPr>
          <w:shd w:val="clear" w:color="auto" w:fill="FFFFFF"/>
        </w:rPr>
        <w:t xml:space="preserve">, T.I., </w:t>
      </w:r>
      <w:proofErr w:type="spellStart"/>
      <w:r w:rsidRPr="00CF6331">
        <w:rPr>
          <w:shd w:val="clear" w:color="auto" w:fill="FFFFFF"/>
        </w:rPr>
        <w:t>Olowookere</w:t>
      </w:r>
      <w:proofErr w:type="spellEnd"/>
      <w:r w:rsidRPr="00CF6331">
        <w:rPr>
          <w:shd w:val="clear" w:color="auto" w:fill="FFFFFF"/>
        </w:rPr>
        <w:t xml:space="preserve">, J.K., </w:t>
      </w:r>
      <w:proofErr w:type="spellStart"/>
      <w:r w:rsidRPr="00CF6331">
        <w:rPr>
          <w:shd w:val="clear" w:color="auto" w:fill="FFFFFF"/>
        </w:rPr>
        <w:t>Egbide</w:t>
      </w:r>
      <w:proofErr w:type="spellEnd"/>
      <w:r w:rsidRPr="00CF6331">
        <w:rPr>
          <w:shd w:val="clear" w:color="auto" w:fill="FFFFFF"/>
        </w:rPr>
        <w:t xml:space="preserve">, B.C., </w:t>
      </w:r>
      <w:proofErr w:type="spellStart"/>
      <w:r w:rsidRPr="00CF6331">
        <w:rPr>
          <w:shd w:val="clear" w:color="auto" w:fill="FFFFFF"/>
        </w:rPr>
        <w:t>Fakile</w:t>
      </w:r>
      <w:proofErr w:type="spellEnd"/>
      <w:r w:rsidRPr="00CF6331">
        <w:rPr>
          <w:shd w:val="clear" w:color="auto" w:fill="FFFFFF"/>
        </w:rPr>
        <w:t xml:space="preserve">, S.A., Lawal, A.I., Ajayi, S.A., </w:t>
      </w:r>
      <w:proofErr w:type="spellStart"/>
      <w:r w:rsidRPr="00CF6331">
        <w:rPr>
          <w:shd w:val="clear" w:color="auto" w:fill="FFFFFF"/>
        </w:rPr>
        <w:t>Falaye</w:t>
      </w:r>
      <w:proofErr w:type="spellEnd"/>
      <w:r w:rsidRPr="00CF6331">
        <w:rPr>
          <w:shd w:val="clear" w:color="auto" w:fill="FFFFFF"/>
        </w:rPr>
        <w:t xml:space="preserve">, A.J. and </w:t>
      </w:r>
      <w:proofErr w:type="spellStart"/>
      <w:r w:rsidRPr="00CF6331">
        <w:rPr>
          <w:shd w:val="clear" w:color="auto" w:fill="FFFFFF"/>
        </w:rPr>
        <w:t>Eluyela</w:t>
      </w:r>
      <w:proofErr w:type="spellEnd"/>
      <w:r w:rsidRPr="00CF6331">
        <w:rPr>
          <w:shd w:val="clear" w:color="auto" w:fill="FFFFFF"/>
        </w:rPr>
        <w:t xml:space="preserve">, F.D., (2018). Financial ratio analysis and market price of share of selected quoted agriculture and </w:t>
      </w:r>
      <w:proofErr w:type="spellStart"/>
      <w:r w:rsidRPr="00CF6331">
        <w:rPr>
          <w:shd w:val="clear" w:color="auto" w:fill="FFFFFF"/>
        </w:rPr>
        <w:t>agro</w:t>
      </w:r>
      <w:proofErr w:type="spellEnd"/>
      <w:r w:rsidRPr="00CF6331">
        <w:rPr>
          <w:shd w:val="clear" w:color="auto" w:fill="FFFFFF"/>
        </w:rPr>
        <w:t xml:space="preserve">-allied firms in Nigeria </w:t>
      </w:r>
      <w:proofErr w:type="spellStart"/>
      <w:r w:rsidRPr="00CF6331">
        <w:rPr>
          <w:shd w:val="clear" w:color="auto" w:fill="FFFFFF"/>
        </w:rPr>
        <w:t>afteradoption</w:t>
      </w:r>
      <w:proofErr w:type="spellEnd"/>
      <w:r w:rsidRPr="00CF6331">
        <w:rPr>
          <w:shd w:val="clear" w:color="auto" w:fill="FFFFFF"/>
        </w:rPr>
        <w:t xml:space="preserve"> of international financial reporting standard. </w:t>
      </w:r>
      <w:r w:rsidRPr="00CF6331">
        <w:rPr>
          <w:i/>
          <w:iCs/>
          <w:shd w:val="clear" w:color="auto" w:fill="FFFFFF"/>
        </w:rPr>
        <w:t>The Journal of Social Sciences Research</w:t>
      </w:r>
      <w:r w:rsidRPr="00CF6331">
        <w:rPr>
          <w:shd w:val="clear" w:color="auto" w:fill="FFFFFF"/>
        </w:rPr>
        <w:t>, </w:t>
      </w:r>
      <w:r w:rsidRPr="00CF6331">
        <w:rPr>
          <w:i/>
          <w:iCs/>
          <w:shd w:val="clear" w:color="auto" w:fill="FFFFFF"/>
        </w:rPr>
        <w:t>4</w:t>
      </w:r>
      <w:r w:rsidRPr="00CF6331">
        <w:rPr>
          <w:shd w:val="clear" w:color="auto" w:fill="FFFFFF"/>
        </w:rPr>
        <w:t>(12), pp.736-744.</w:t>
      </w:r>
    </w:p>
    <w:p w14:paraId="6DFDDB14" w14:textId="77777777" w:rsidR="00A46442" w:rsidRPr="00CF6331" w:rsidRDefault="00A46442" w:rsidP="00A46442">
      <w:pPr>
        <w:rPr>
          <w:shd w:val="clear" w:color="auto" w:fill="FFFFFF"/>
        </w:rPr>
      </w:pPr>
      <w:r w:rsidRPr="00CF6331">
        <w:rPr>
          <w:shd w:val="clear" w:color="auto" w:fill="FFFFFF"/>
        </w:rPr>
        <w:t>Rashid, C.A., (2021). The Efficiency of Financial Ratios Analysis to Evaluate Company’s Profitability. </w:t>
      </w:r>
      <w:r w:rsidRPr="00CF6331">
        <w:rPr>
          <w:i/>
          <w:iCs/>
          <w:shd w:val="clear" w:color="auto" w:fill="FFFFFF"/>
        </w:rPr>
        <w:t>Journal of Global Economics and Business</w:t>
      </w:r>
      <w:r w:rsidRPr="00CF6331">
        <w:rPr>
          <w:shd w:val="clear" w:color="auto" w:fill="FFFFFF"/>
        </w:rPr>
        <w:t>, </w:t>
      </w:r>
      <w:r w:rsidRPr="00CF6331">
        <w:rPr>
          <w:i/>
          <w:iCs/>
          <w:shd w:val="clear" w:color="auto" w:fill="FFFFFF"/>
        </w:rPr>
        <w:t>2</w:t>
      </w:r>
      <w:r w:rsidRPr="00CF6331">
        <w:rPr>
          <w:shd w:val="clear" w:color="auto" w:fill="FFFFFF"/>
        </w:rPr>
        <w:t>(4), pp.119-132.</w:t>
      </w:r>
    </w:p>
    <w:p w14:paraId="3ECA8241" w14:textId="77777777" w:rsidR="00A46442" w:rsidRPr="008E5DAE" w:rsidRDefault="00A46442" w:rsidP="00A46442">
      <w:proofErr w:type="spellStart"/>
      <w:r>
        <w:rPr>
          <w:shd w:val="clear" w:color="auto" w:fill="FFFFFF"/>
        </w:rPr>
        <w:t>Sartika</w:t>
      </w:r>
      <w:proofErr w:type="spellEnd"/>
      <w:r>
        <w:rPr>
          <w:shd w:val="clear" w:color="auto" w:fill="FFFFFF"/>
        </w:rPr>
        <w:t xml:space="preserve">, D., </w:t>
      </w:r>
      <w:proofErr w:type="spellStart"/>
      <w:r>
        <w:rPr>
          <w:shd w:val="clear" w:color="auto" w:fill="FFFFFF"/>
        </w:rPr>
        <w:t>Muin</w:t>
      </w:r>
      <w:proofErr w:type="spellEnd"/>
      <w:r>
        <w:rPr>
          <w:shd w:val="clear" w:color="auto" w:fill="FFFFFF"/>
        </w:rPr>
        <w:t xml:space="preserve">, M.R. and </w:t>
      </w:r>
      <w:proofErr w:type="spellStart"/>
      <w:r>
        <w:rPr>
          <w:shd w:val="clear" w:color="auto" w:fill="FFFFFF"/>
        </w:rPr>
        <w:t>Sofyan</w:t>
      </w:r>
      <w:proofErr w:type="spellEnd"/>
      <w:r>
        <w:rPr>
          <w:shd w:val="clear" w:color="auto" w:fill="FFFFFF"/>
        </w:rPr>
        <w:t>, D., (2021). The Effect of Liquidity Ratio and Solvency Ratio on the Profitability of Plantation Subsector Companies Listed on the Indonesian Stock Exchange. </w:t>
      </w:r>
      <w:proofErr w:type="spellStart"/>
      <w:r>
        <w:rPr>
          <w:i/>
          <w:iCs/>
          <w:shd w:val="clear" w:color="auto" w:fill="FFFFFF"/>
        </w:rPr>
        <w:t>Husnayain</w:t>
      </w:r>
      <w:proofErr w:type="spellEnd"/>
      <w:r>
        <w:rPr>
          <w:i/>
          <w:iCs/>
          <w:shd w:val="clear" w:color="auto" w:fill="FFFFFF"/>
        </w:rPr>
        <w:t xml:space="preserve"> Business Review</w:t>
      </w:r>
      <w:r>
        <w:rPr>
          <w:shd w:val="clear" w:color="auto" w:fill="FFFFFF"/>
        </w:rPr>
        <w:t>, </w:t>
      </w:r>
      <w:r>
        <w:rPr>
          <w:i/>
          <w:iCs/>
          <w:shd w:val="clear" w:color="auto" w:fill="FFFFFF"/>
        </w:rPr>
        <w:t>1</w:t>
      </w:r>
      <w:r>
        <w:rPr>
          <w:shd w:val="clear" w:color="auto" w:fill="FFFFFF"/>
        </w:rPr>
        <w:t>(1), pp.69-77.</w:t>
      </w:r>
    </w:p>
    <w:p w14:paraId="79F3D858" w14:textId="77777777" w:rsidR="00A46442" w:rsidRPr="00CF6331" w:rsidRDefault="00A46442" w:rsidP="00A46442">
      <w:pPr>
        <w:rPr>
          <w:shd w:val="clear" w:color="auto" w:fill="FFFFFF"/>
        </w:rPr>
      </w:pPr>
      <w:proofErr w:type="spellStart"/>
      <w:r w:rsidRPr="00CF6331">
        <w:rPr>
          <w:shd w:val="clear" w:color="auto" w:fill="FFFFFF"/>
        </w:rPr>
        <w:t>Tascón</w:t>
      </w:r>
      <w:proofErr w:type="spellEnd"/>
      <w:r w:rsidRPr="00CF6331">
        <w:rPr>
          <w:shd w:val="clear" w:color="auto" w:fill="FFFFFF"/>
        </w:rPr>
        <w:t xml:space="preserve">, M.T., </w:t>
      </w:r>
      <w:proofErr w:type="spellStart"/>
      <w:r w:rsidRPr="00CF6331">
        <w:rPr>
          <w:shd w:val="clear" w:color="auto" w:fill="FFFFFF"/>
        </w:rPr>
        <w:t>Castaño</w:t>
      </w:r>
      <w:proofErr w:type="spellEnd"/>
      <w:r w:rsidRPr="00CF6331">
        <w:rPr>
          <w:shd w:val="clear" w:color="auto" w:fill="FFFFFF"/>
        </w:rPr>
        <w:t xml:space="preserve">, F.J. and Castro, P., (2018). A new tool for failure analysis in </w:t>
      </w:r>
      <w:r w:rsidRPr="00CF6331">
        <w:rPr>
          <w:shd w:val="clear" w:color="auto" w:fill="FFFFFF"/>
        </w:rPr>
        <w:lastRenderedPageBreak/>
        <w:t>small firms: frontiers of financial ratios based on percentile differences (PDFR). </w:t>
      </w:r>
      <w:r w:rsidRPr="00CF6331">
        <w:rPr>
          <w:i/>
          <w:iCs/>
          <w:shd w:val="clear" w:color="auto" w:fill="FFFFFF"/>
        </w:rPr>
        <w:t>Spanish Journal of Finance and Accounting/</w:t>
      </w:r>
      <w:proofErr w:type="spellStart"/>
      <w:r w:rsidRPr="00CF6331">
        <w:rPr>
          <w:i/>
          <w:iCs/>
          <w:shd w:val="clear" w:color="auto" w:fill="FFFFFF"/>
        </w:rPr>
        <w:t>Revista</w:t>
      </w:r>
      <w:proofErr w:type="spellEnd"/>
      <w:r w:rsidRPr="00CF6331">
        <w:rPr>
          <w:i/>
          <w:iCs/>
          <w:shd w:val="clear" w:color="auto" w:fill="FFFFFF"/>
        </w:rPr>
        <w:t xml:space="preserve"> Española de </w:t>
      </w:r>
      <w:proofErr w:type="spellStart"/>
      <w:r w:rsidRPr="00CF6331">
        <w:rPr>
          <w:i/>
          <w:iCs/>
          <w:shd w:val="clear" w:color="auto" w:fill="FFFFFF"/>
        </w:rPr>
        <w:t>Financiación</w:t>
      </w:r>
      <w:proofErr w:type="spellEnd"/>
      <w:r w:rsidRPr="00CF6331">
        <w:rPr>
          <w:i/>
          <w:iCs/>
          <w:shd w:val="clear" w:color="auto" w:fill="FFFFFF"/>
        </w:rPr>
        <w:t xml:space="preserve"> y </w:t>
      </w:r>
      <w:proofErr w:type="spellStart"/>
      <w:r w:rsidRPr="00CF6331">
        <w:rPr>
          <w:i/>
          <w:iCs/>
          <w:shd w:val="clear" w:color="auto" w:fill="FFFFFF"/>
        </w:rPr>
        <w:t>Contabilidad</w:t>
      </w:r>
      <w:proofErr w:type="spellEnd"/>
      <w:r w:rsidRPr="00CF6331">
        <w:rPr>
          <w:shd w:val="clear" w:color="auto" w:fill="FFFFFF"/>
        </w:rPr>
        <w:t>, </w:t>
      </w:r>
      <w:r w:rsidRPr="00CF6331">
        <w:rPr>
          <w:i/>
          <w:iCs/>
          <w:shd w:val="clear" w:color="auto" w:fill="FFFFFF"/>
        </w:rPr>
        <w:t>47</w:t>
      </w:r>
      <w:r w:rsidRPr="00CF6331">
        <w:rPr>
          <w:shd w:val="clear" w:color="auto" w:fill="FFFFFF"/>
        </w:rPr>
        <w:t>(4), pp.433-463.</w:t>
      </w:r>
    </w:p>
    <w:p w14:paraId="72AEF313" w14:textId="77777777" w:rsidR="00A46442" w:rsidRPr="00A46442" w:rsidRDefault="00A46442" w:rsidP="00A46442"/>
    <w:sectPr w:rsidR="00A46442" w:rsidRPr="00A46442" w:rsidSect="00A46442">
      <w:headerReference w:type="default" r:id="rId12"/>
      <w:footerReference w:type="default" r:id="rId1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59DB2" w14:textId="77777777" w:rsidR="00E86806" w:rsidRDefault="00E86806" w:rsidP="00A46442">
      <w:pPr>
        <w:spacing w:line="240" w:lineRule="auto"/>
      </w:pPr>
      <w:r>
        <w:separator/>
      </w:r>
    </w:p>
  </w:endnote>
  <w:endnote w:type="continuationSeparator" w:id="0">
    <w:p w14:paraId="41093AD9" w14:textId="77777777" w:rsidR="00E86806" w:rsidRDefault="00E86806" w:rsidP="00A464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2618589"/>
      <w:docPartObj>
        <w:docPartGallery w:val="Page Numbers (Bottom of Page)"/>
        <w:docPartUnique/>
      </w:docPartObj>
    </w:sdtPr>
    <w:sdtEndPr>
      <w:rPr>
        <w:noProof/>
      </w:rPr>
    </w:sdtEndPr>
    <w:sdtContent>
      <w:p w14:paraId="6CAE5A46" w14:textId="4C5EAE9A" w:rsidR="00A46442" w:rsidRDefault="00A464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7D3DC2" w14:textId="77777777" w:rsidR="00A46442" w:rsidRDefault="00A464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A1324" w14:textId="77777777" w:rsidR="00E86806" w:rsidRDefault="00E86806" w:rsidP="00A46442">
      <w:pPr>
        <w:spacing w:line="240" w:lineRule="auto"/>
      </w:pPr>
      <w:r>
        <w:separator/>
      </w:r>
    </w:p>
  </w:footnote>
  <w:footnote w:type="continuationSeparator" w:id="0">
    <w:p w14:paraId="03E8421F" w14:textId="77777777" w:rsidR="00E86806" w:rsidRDefault="00E86806" w:rsidP="00A464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26EDE" w14:textId="122BA389" w:rsidR="00A46442" w:rsidRDefault="00A46442">
    <w:pPr>
      <w:pStyle w:val="Header"/>
    </w:pPr>
    <w:r w:rsidRPr="00A406E5">
      <w:rPr>
        <w:rFonts w:cs="Arial"/>
        <w:noProof/>
      </w:rPr>
      <w:drawing>
        <wp:anchor distT="0" distB="0" distL="114300" distR="114300" simplePos="0" relativeHeight="251659264" behindDoc="0" locked="0" layoutInCell="1" allowOverlap="1" wp14:anchorId="2F2D885A" wp14:editId="56029E2D">
          <wp:simplePos x="0" y="0"/>
          <wp:positionH relativeFrom="margin">
            <wp:align>left</wp:align>
          </wp:positionH>
          <wp:positionV relativeFrom="paragraph">
            <wp:posOffset>-259715</wp:posOffset>
          </wp:positionV>
          <wp:extent cx="1809750" cy="723900"/>
          <wp:effectExtent l="0" t="0" r="0" b="0"/>
          <wp:wrapSquare wrapText="bothSides"/>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15243"/>
    <w:multiLevelType w:val="hybridMultilevel"/>
    <w:tmpl w:val="853E2FC0"/>
    <w:lvl w:ilvl="0" w:tplc="F260FD0E">
      <w:start w:val="1"/>
      <w:numFmt w:val="lowerLetter"/>
      <w:lvlText w:val="(%1)"/>
      <w:lvlJc w:val="left"/>
      <w:pPr>
        <w:ind w:left="422" w:hanging="360"/>
      </w:pPr>
      <w:rPr>
        <w:rFonts w:eastAsia="Arial MT" w:cs="Arial MT" w:hint="default"/>
        <w:b w:val="0"/>
        <w:color w:val="auto"/>
      </w:rPr>
    </w:lvl>
    <w:lvl w:ilvl="1" w:tplc="40090019" w:tentative="1">
      <w:start w:val="1"/>
      <w:numFmt w:val="lowerLetter"/>
      <w:lvlText w:val="%2."/>
      <w:lvlJc w:val="left"/>
      <w:pPr>
        <w:ind w:left="1142" w:hanging="360"/>
      </w:pPr>
    </w:lvl>
    <w:lvl w:ilvl="2" w:tplc="4009001B" w:tentative="1">
      <w:start w:val="1"/>
      <w:numFmt w:val="lowerRoman"/>
      <w:lvlText w:val="%3."/>
      <w:lvlJc w:val="right"/>
      <w:pPr>
        <w:ind w:left="1862" w:hanging="180"/>
      </w:pPr>
    </w:lvl>
    <w:lvl w:ilvl="3" w:tplc="4009000F" w:tentative="1">
      <w:start w:val="1"/>
      <w:numFmt w:val="decimal"/>
      <w:lvlText w:val="%4."/>
      <w:lvlJc w:val="left"/>
      <w:pPr>
        <w:ind w:left="2582" w:hanging="360"/>
      </w:pPr>
    </w:lvl>
    <w:lvl w:ilvl="4" w:tplc="40090019" w:tentative="1">
      <w:start w:val="1"/>
      <w:numFmt w:val="lowerLetter"/>
      <w:lvlText w:val="%5."/>
      <w:lvlJc w:val="left"/>
      <w:pPr>
        <w:ind w:left="3302" w:hanging="360"/>
      </w:pPr>
    </w:lvl>
    <w:lvl w:ilvl="5" w:tplc="4009001B" w:tentative="1">
      <w:start w:val="1"/>
      <w:numFmt w:val="lowerRoman"/>
      <w:lvlText w:val="%6."/>
      <w:lvlJc w:val="right"/>
      <w:pPr>
        <w:ind w:left="4022" w:hanging="180"/>
      </w:pPr>
    </w:lvl>
    <w:lvl w:ilvl="6" w:tplc="4009000F" w:tentative="1">
      <w:start w:val="1"/>
      <w:numFmt w:val="decimal"/>
      <w:lvlText w:val="%7."/>
      <w:lvlJc w:val="left"/>
      <w:pPr>
        <w:ind w:left="4742" w:hanging="360"/>
      </w:pPr>
    </w:lvl>
    <w:lvl w:ilvl="7" w:tplc="40090019" w:tentative="1">
      <w:start w:val="1"/>
      <w:numFmt w:val="lowerLetter"/>
      <w:lvlText w:val="%8."/>
      <w:lvlJc w:val="left"/>
      <w:pPr>
        <w:ind w:left="5462" w:hanging="360"/>
      </w:pPr>
    </w:lvl>
    <w:lvl w:ilvl="8" w:tplc="4009001B" w:tentative="1">
      <w:start w:val="1"/>
      <w:numFmt w:val="lowerRoman"/>
      <w:lvlText w:val="%9."/>
      <w:lvlJc w:val="right"/>
      <w:pPr>
        <w:ind w:left="6182" w:hanging="180"/>
      </w:pPr>
    </w:lvl>
  </w:abstractNum>
  <w:abstractNum w:abstractNumId="1"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471144171">
    <w:abstractNumId w:val="0"/>
  </w:num>
  <w:num w:numId="2" w16cid:durableId="55701595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275B"/>
    <w:rsid w:val="00087354"/>
    <w:rsid w:val="000B1DE4"/>
    <w:rsid w:val="00156231"/>
    <w:rsid w:val="0015707F"/>
    <w:rsid w:val="0017295E"/>
    <w:rsid w:val="00175D4A"/>
    <w:rsid w:val="001C4FFF"/>
    <w:rsid w:val="00202A37"/>
    <w:rsid w:val="00212713"/>
    <w:rsid w:val="00231BAD"/>
    <w:rsid w:val="00241232"/>
    <w:rsid w:val="00252582"/>
    <w:rsid w:val="00270972"/>
    <w:rsid w:val="00286276"/>
    <w:rsid w:val="0029037D"/>
    <w:rsid w:val="00295950"/>
    <w:rsid w:val="002C02C5"/>
    <w:rsid w:val="002D557F"/>
    <w:rsid w:val="002F5379"/>
    <w:rsid w:val="003334C4"/>
    <w:rsid w:val="00364280"/>
    <w:rsid w:val="00374656"/>
    <w:rsid w:val="003849CC"/>
    <w:rsid w:val="003F2C0E"/>
    <w:rsid w:val="004518A9"/>
    <w:rsid w:val="004608B5"/>
    <w:rsid w:val="004974CF"/>
    <w:rsid w:val="004A1945"/>
    <w:rsid w:val="004A7D80"/>
    <w:rsid w:val="00512838"/>
    <w:rsid w:val="00516681"/>
    <w:rsid w:val="00532D89"/>
    <w:rsid w:val="005613E5"/>
    <w:rsid w:val="005760C0"/>
    <w:rsid w:val="005F5C5C"/>
    <w:rsid w:val="006250B1"/>
    <w:rsid w:val="0066339F"/>
    <w:rsid w:val="006652D8"/>
    <w:rsid w:val="006A71E3"/>
    <w:rsid w:val="006F0B5A"/>
    <w:rsid w:val="00735E68"/>
    <w:rsid w:val="00764E9D"/>
    <w:rsid w:val="007C32AD"/>
    <w:rsid w:val="00816D17"/>
    <w:rsid w:val="00830036"/>
    <w:rsid w:val="00853EC2"/>
    <w:rsid w:val="008742C0"/>
    <w:rsid w:val="008C71CE"/>
    <w:rsid w:val="008E4340"/>
    <w:rsid w:val="008F2393"/>
    <w:rsid w:val="00900D3B"/>
    <w:rsid w:val="009074B3"/>
    <w:rsid w:val="00911E96"/>
    <w:rsid w:val="00931650"/>
    <w:rsid w:val="0093652A"/>
    <w:rsid w:val="00937C85"/>
    <w:rsid w:val="00967E99"/>
    <w:rsid w:val="009A7351"/>
    <w:rsid w:val="009B24EC"/>
    <w:rsid w:val="00A30B88"/>
    <w:rsid w:val="00A46442"/>
    <w:rsid w:val="00A51AFE"/>
    <w:rsid w:val="00AA6B65"/>
    <w:rsid w:val="00B15560"/>
    <w:rsid w:val="00B229AF"/>
    <w:rsid w:val="00B60089"/>
    <w:rsid w:val="00BA0F36"/>
    <w:rsid w:val="00BE2E64"/>
    <w:rsid w:val="00BE3FB3"/>
    <w:rsid w:val="00C1343C"/>
    <w:rsid w:val="00C21ABE"/>
    <w:rsid w:val="00C3000F"/>
    <w:rsid w:val="00C674F7"/>
    <w:rsid w:val="00C76F9E"/>
    <w:rsid w:val="00CC275B"/>
    <w:rsid w:val="00D11CE4"/>
    <w:rsid w:val="00DF42F6"/>
    <w:rsid w:val="00E0358F"/>
    <w:rsid w:val="00E71514"/>
    <w:rsid w:val="00E7440B"/>
    <w:rsid w:val="00E86806"/>
    <w:rsid w:val="00E959F0"/>
    <w:rsid w:val="00EB4887"/>
    <w:rsid w:val="00F051C9"/>
    <w:rsid w:val="00F11C6B"/>
    <w:rsid w:val="00F1786A"/>
    <w:rsid w:val="00F35A19"/>
    <w:rsid w:val="00F5501B"/>
    <w:rsid w:val="00F7698B"/>
    <w:rsid w:val="00FA65C6"/>
    <w:rsid w:val="00FC23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AB269C"/>
  <w15:chartTrackingRefBased/>
  <w15:docId w15:val="{BD6ABB03-D6DB-4667-AF24-D1B6108EA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MT" w:hAnsiTheme="minorHAnsi" w:cstheme="minorBidi"/>
        <w:sz w:val="22"/>
        <w:szCs w:val="22"/>
        <w:lang w:val="en-IN" w:eastAsia="en-US" w:bidi="ar-SA"/>
      </w:rPr>
    </w:rPrDefault>
    <w:pPrDefault>
      <w:pPr>
        <w:spacing w:before="72" w:line="360" w:lineRule="auto"/>
        <w:ind w:left="62" w:right="79"/>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6442"/>
    <w:pPr>
      <w:widowControl w:val="0"/>
      <w:autoSpaceDE w:val="0"/>
      <w:autoSpaceDN w:val="0"/>
      <w:spacing w:before="0"/>
      <w:ind w:left="0" w:right="0"/>
      <w:jc w:val="both"/>
    </w:pPr>
    <w:rPr>
      <w:rFonts w:ascii="Arial" w:hAnsi="Arial" w:cs="Arial MT"/>
      <w:sz w:val="24"/>
      <w:lang w:val="en-GB"/>
    </w:rPr>
  </w:style>
  <w:style w:type="paragraph" w:styleId="Heading1">
    <w:name w:val="heading 1"/>
    <w:basedOn w:val="Normal"/>
    <w:next w:val="Normal"/>
    <w:link w:val="Heading1Char"/>
    <w:autoRedefine/>
    <w:uiPriority w:val="9"/>
    <w:qFormat/>
    <w:rsid w:val="00FA65C6"/>
    <w:pPr>
      <w:keepNext/>
      <w:keepLines/>
      <w:spacing w:before="24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semiHidden/>
    <w:unhideWhenUsed/>
    <w:qFormat/>
    <w:rsid w:val="00A4644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5C6"/>
    <w:rPr>
      <w:rFonts w:ascii="Times New Roman" w:eastAsiaTheme="majorEastAsia" w:hAnsi="Times New Roman" w:cstheme="majorBidi"/>
      <w:b/>
      <w:color w:val="000000" w:themeColor="text1"/>
      <w:sz w:val="24"/>
      <w:szCs w:val="32"/>
      <w:lang w:val="en-GB" w:eastAsia="zh-CN"/>
    </w:rPr>
  </w:style>
  <w:style w:type="paragraph" w:styleId="Title">
    <w:name w:val="Title"/>
    <w:basedOn w:val="Normal"/>
    <w:next w:val="Normal"/>
    <w:link w:val="TitleChar"/>
    <w:uiPriority w:val="10"/>
    <w:qFormat/>
    <w:rsid w:val="003F2C0E"/>
    <w:pPr>
      <w:contextualSpacing/>
    </w:pPr>
    <w:rPr>
      <w:rFonts w:eastAsiaTheme="majorEastAsia" w:cstheme="majorBidi"/>
      <w:spacing w:val="-10"/>
      <w:kern w:val="28"/>
      <w:sz w:val="36"/>
      <w:szCs w:val="56"/>
    </w:rPr>
  </w:style>
  <w:style w:type="character" w:customStyle="1" w:styleId="TitleChar">
    <w:name w:val="Title Char"/>
    <w:basedOn w:val="DefaultParagraphFont"/>
    <w:link w:val="Title"/>
    <w:uiPriority w:val="10"/>
    <w:rsid w:val="003F2C0E"/>
    <w:rPr>
      <w:rFonts w:ascii="Times New Roman" w:eastAsiaTheme="majorEastAsia" w:hAnsi="Times New Roman" w:cstheme="majorBidi"/>
      <w:spacing w:val="-10"/>
      <w:kern w:val="28"/>
      <w:sz w:val="36"/>
      <w:szCs w:val="56"/>
      <w:lang w:val="en-GB"/>
    </w:rPr>
  </w:style>
  <w:style w:type="paragraph" w:styleId="ListParagraph">
    <w:name w:val="List Paragraph"/>
    <w:basedOn w:val="Normal"/>
    <w:uiPriority w:val="34"/>
    <w:qFormat/>
    <w:rsid w:val="004608B5"/>
    <w:pPr>
      <w:widowControl/>
      <w:autoSpaceDE/>
      <w:autoSpaceDN/>
      <w:spacing w:after="200"/>
      <w:ind w:left="720"/>
      <w:contextualSpacing/>
    </w:pPr>
    <w:rPr>
      <w:rFonts w:eastAsiaTheme="minorEastAsia" w:cstheme="minorBidi"/>
      <w:color w:val="000000" w:themeColor="text1"/>
      <w:lang w:eastAsia="zh-CN"/>
    </w:rPr>
  </w:style>
  <w:style w:type="table" w:styleId="TableGrid">
    <w:name w:val="Table Grid"/>
    <w:basedOn w:val="TableNormal"/>
    <w:uiPriority w:val="39"/>
    <w:rsid w:val="00931650"/>
    <w:pPr>
      <w:spacing w:before="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11E96"/>
    <w:pPr>
      <w:spacing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3">
    <w:name w:val="Grid Table 4 Accent 3"/>
    <w:basedOn w:val="TableNormal"/>
    <w:uiPriority w:val="49"/>
    <w:rsid w:val="009074B3"/>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3">
    <w:name w:val="Grid Table 5 Dark Accent 3"/>
    <w:basedOn w:val="TableNormal"/>
    <w:uiPriority w:val="50"/>
    <w:rsid w:val="009074B3"/>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4-Accent6">
    <w:name w:val="Grid Table 4 Accent 6"/>
    <w:basedOn w:val="TableNormal"/>
    <w:uiPriority w:val="49"/>
    <w:rsid w:val="00B229AF"/>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
    <w:name w:val="Grid Table 4"/>
    <w:basedOn w:val="TableNormal"/>
    <w:uiPriority w:val="49"/>
    <w:rsid w:val="00286276"/>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A46442"/>
    <w:pPr>
      <w:tabs>
        <w:tab w:val="center" w:pos="4513"/>
        <w:tab w:val="right" w:pos="9026"/>
      </w:tabs>
      <w:spacing w:line="240" w:lineRule="auto"/>
    </w:pPr>
  </w:style>
  <w:style w:type="character" w:customStyle="1" w:styleId="HeaderChar">
    <w:name w:val="Header Char"/>
    <w:basedOn w:val="DefaultParagraphFont"/>
    <w:link w:val="Header"/>
    <w:uiPriority w:val="99"/>
    <w:rsid w:val="00A46442"/>
    <w:rPr>
      <w:rFonts w:ascii="Arial" w:hAnsi="Arial" w:cs="Arial MT"/>
      <w:sz w:val="24"/>
      <w:lang w:val="en-GB"/>
    </w:rPr>
  </w:style>
  <w:style w:type="paragraph" w:styleId="Footer">
    <w:name w:val="footer"/>
    <w:basedOn w:val="Normal"/>
    <w:link w:val="FooterChar"/>
    <w:uiPriority w:val="99"/>
    <w:unhideWhenUsed/>
    <w:rsid w:val="00A46442"/>
    <w:pPr>
      <w:tabs>
        <w:tab w:val="center" w:pos="4513"/>
        <w:tab w:val="right" w:pos="9026"/>
      </w:tabs>
      <w:spacing w:line="240" w:lineRule="auto"/>
    </w:pPr>
  </w:style>
  <w:style w:type="character" w:customStyle="1" w:styleId="FooterChar">
    <w:name w:val="Footer Char"/>
    <w:basedOn w:val="DefaultParagraphFont"/>
    <w:link w:val="Footer"/>
    <w:uiPriority w:val="99"/>
    <w:rsid w:val="00A46442"/>
    <w:rPr>
      <w:rFonts w:ascii="Arial" w:hAnsi="Arial" w:cs="Arial MT"/>
      <w:sz w:val="24"/>
      <w:lang w:val="en-GB"/>
    </w:rPr>
  </w:style>
  <w:style w:type="character" w:customStyle="1" w:styleId="Heading2Char">
    <w:name w:val="Heading 2 Char"/>
    <w:basedOn w:val="DefaultParagraphFont"/>
    <w:link w:val="Heading2"/>
    <w:uiPriority w:val="9"/>
    <w:semiHidden/>
    <w:rsid w:val="00A46442"/>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A46442"/>
    <w:pPr>
      <w:widowControl/>
      <w:autoSpaceDE/>
      <w:autoSpaceDN/>
      <w:spacing w:line="259" w:lineRule="auto"/>
      <w:jc w:val="left"/>
      <w:outlineLvl w:val="9"/>
    </w:pPr>
    <w:rPr>
      <w:rFonts w:asciiTheme="majorHAnsi" w:hAnsiTheme="majorHAnsi"/>
      <w:b w:val="0"/>
      <w:color w:val="2F5496" w:themeColor="accent1" w:themeShade="BF"/>
      <w:sz w:val="32"/>
      <w:lang w:val="en-US"/>
    </w:rPr>
  </w:style>
  <w:style w:type="paragraph" w:styleId="TOC2">
    <w:name w:val="toc 2"/>
    <w:basedOn w:val="Normal"/>
    <w:next w:val="Normal"/>
    <w:autoRedefine/>
    <w:uiPriority w:val="39"/>
    <w:unhideWhenUsed/>
    <w:rsid w:val="00A46442"/>
    <w:pPr>
      <w:spacing w:after="100"/>
      <w:ind w:left="240"/>
    </w:pPr>
  </w:style>
  <w:style w:type="paragraph" w:styleId="TOC1">
    <w:name w:val="toc 1"/>
    <w:basedOn w:val="Normal"/>
    <w:next w:val="Normal"/>
    <w:autoRedefine/>
    <w:uiPriority w:val="39"/>
    <w:unhideWhenUsed/>
    <w:rsid w:val="00A46442"/>
    <w:pPr>
      <w:spacing w:after="100"/>
    </w:pPr>
  </w:style>
  <w:style w:type="character" w:styleId="Hyperlink">
    <w:name w:val="Hyperlink"/>
    <w:basedOn w:val="DefaultParagraphFont"/>
    <w:uiPriority w:val="99"/>
    <w:unhideWhenUsed/>
    <w:rsid w:val="00A464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IN"/>
              <a:t>Profitability</a:t>
            </a:r>
            <a:r>
              <a:rPr lang="en-IN" baseline="0"/>
              <a:t> Ratio</a:t>
            </a:r>
            <a:endParaRPr lang="en-IN"/>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Gross Profit Margin</c:v>
                </c:pt>
              </c:strCache>
            </c:strRef>
          </c:tx>
          <c:spPr>
            <a:noFill/>
            <a:ln w="9525" cap="flat" cmpd="sng" algn="ctr">
              <a:solidFill>
                <a:schemeClr val="accent1"/>
              </a:solidFill>
              <a:miter lim="800000"/>
            </a:ln>
            <a:effectLst>
              <a:glow rad="63500">
                <a:schemeClr val="accent1">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Sheet1!$B$1:$C$1</c:f>
              <c:numCache>
                <c:formatCode>General</c:formatCode>
                <c:ptCount val="2"/>
                <c:pt idx="0">
                  <c:v>2019</c:v>
                </c:pt>
                <c:pt idx="1">
                  <c:v>2020</c:v>
                </c:pt>
              </c:numCache>
            </c:numRef>
          </c:cat>
          <c:val>
            <c:numRef>
              <c:f>Sheet1!$B$2:$C$2</c:f>
              <c:numCache>
                <c:formatCode>0.00%</c:formatCode>
                <c:ptCount val="2"/>
                <c:pt idx="0">
                  <c:v>0.2576</c:v>
                </c:pt>
                <c:pt idx="1">
                  <c:v>0.1353</c:v>
                </c:pt>
              </c:numCache>
            </c:numRef>
          </c:val>
          <c:extLst>
            <c:ext xmlns:c16="http://schemas.microsoft.com/office/drawing/2014/chart" uri="{C3380CC4-5D6E-409C-BE32-E72D297353CC}">
              <c16:uniqueId val="{00000000-1F4F-481B-895A-488DC7F068DA}"/>
            </c:ext>
          </c:extLst>
        </c:ser>
        <c:ser>
          <c:idx val="1"/>
          <c:order val="1"/>
          <c:tx>
            <c:strRef>
              <c:f>Sheet1!$A$3</c:f>
              <c:strCache>
                <c:ptCount val="1"/>
                <c:pt idx="0">
                  <c:v>Operating Profit Margin</c:v>
                </c:pt>
              </c:strCache>
            </c:strRef>
          </c:tx>
          <c:spPr>
            <a:noFill/>
            <a:ln w="9525" cap="flat" cmpd="sng" algn="ctr">
              <a:solidFill>
                <a:schemeClr val="accent2"/>
              </a:solidFill>
              <a:miter lim="800000"/>
            </a:ln>
            <a:effectLst>
              <a:glow rad="63500">
                <a:schemeClr val="accent2">
                  <a:satMod val="175000"/>
                  <a:alpha val="25000"/>
                </a:schemeClr>
              </a:glo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Sheet1!$B$1:$C$1</c:f>
              <c:numCache>
                <c:formatCode>General</c:formatCode>
                <c:ptCount val="2"/>
                <c:pt idx="0">
                  <c:v>2019</c:v>
                </c:pt>
                <c:pt idx="1">
                  <c:v>2020</c:v>
                </c:pt>
              </c:numCache>
            </c:numRef>
          </c:cat>
          <c:val>
            <c:numRef>
              <c:f>Sheet1!$B$3:$C$3</c:f>
              <c:numCache>
                <c:formatCode>0.00%</c:formatCode>
                <c:ptCount val="2"/>
                <c:pt idx="0">
                  <c:v>0.3659</c:v>
                </c:pt>
                <c:pt idx="1">
                  <c:v>-1.2E-2</c:v>
                </c:pt>
              </c:numCache>
            </c:numRef>
          </c:val>
          <c:extLst>
            <c:ext xmlns:c16="http://schemas.microsoft.com/office/drawing/2014/chart" uri="{C3380CC4-5D6E-409C-BE32-E72D297353CC}">
              <c16:uniqueId val="{00000001-1F4F-481B-895A-488DC7F068DA}"/>
            </c:ext>
          </c:extLst>
        </c:ser>
        <c:dLbls>
          <c:dLblPos val="outEnd"/>
          <c:showLegendKey val="0"/>
          <c:showVal val="1"/>
          <c:showCatName val="0"/>
          <c:showSerName val="0"/>
          <c:showPercent val="0"/>
          <c:showBubbleSize val="0"/>
        </c:dLbls>
        <c:gapWidth val="315"/>
        <c:overlap val="-40"/>
        <c:axId val="1033070463"/>
        <c:axId val="1033070879"/>
      </c:barChart>
      <c:catAx>
        <c:axId val="1033070463"/>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33070879"/>
        <c:crosses val="autoZero"/>
        <c:auto val="1"/>
        <c:lblAlgn val="ctr"/>
        <c:lblOffset val="100"/>
        <c:noMultiLvlLbl val="0"/>
      </c:catAx>
      <c:valAx>
        <c:axId val="1033070879"/>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1033070463"/>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Liquidity Ratio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Sheet1!$A$25</c:f>
              <c:strCache>
                <c:ptCount val="1"/>
                <c:pt idx="0">
                  <c:v>Current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Sheet1!$B$24:$C$24</c:f>
              <c:numCache>
                <c:formatCode>General</c:formatCode>
                <c:ptCount val="2"/>
                <c:pt idx="0">
                  <c:v>2019</c:v>
                </c:pt>
                <c:pt idx="1">
                  <c:v>2020</c:v>
                </c:pt>
              </c:numCache>
            </c:numRef>
          </c:cat>
          <c:val>
            <c:numRef>
              <c:f>Sheet1!$B$25:$C$25</c:f>
              <c:numCache>
                <c:formatCode>General</c:formatCode>
                <c:ptCount val="2"/>
                <c:pt idx="0">
                  <c:v>0.72</c:v>
                </c:pt>
                <c:pt idx="1">
                  <c:v>1.72</c:v>
                </c:pt>
              </c:numCache>
            </c:numRef>
          </c:val>
          <c:extLst>
            <c:ext xmlns:c16="http://schemas.microsoft.com/office/drawing/2014/chart" uri="{C3380CC4-5D6E-409C-BE32-E72D297353CC}">
              <c16:uniqueId val="{00000000-11F0-4E70-A843-8FBB90481C0D}"/>
            </c:ext>
          </c:extLst>
        </c:ser>
        <c:ser>
          <c:idx val="1"/>
          <c:order val="1"/>
          <c:tx>
            <c:strRef>
              <c:f>Sheet1!$A$26</c:f>
              <c:strCache>
                <c:ptCount val="1"/>
                <c:pt idx="0">
                  <c:v>Quick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Sheet1!$B$24:$C$24</c:f>
              <c:numCache>
                <c:formatCode>General</c:formatCode>
                <c:ptCount val="2"/>
                <c:pt idx="0">
                  <c:v>2019</c:v>
                </c:pt>
                <c:pt idx="1">
                  <c:v>2020</c:v>
                </c:pt>
              </c:numCache>
            </c:numRef>
          </c:cat>
          <c:val>
            <c:numRef>
              <c:f>Sheet1!$B$26:$C$26</c:f>
              <c:numCache>
                <c:formatCode>General</c:formatCode>
                <c:ptCount val="2"/>
                <c:pt idx="0">
                  <c:v>0.62</c:v>
                </c:pt>
                <c:pt idx="1">
                  <c:v>1.64</c:v>
                </c:pt>
              </c:numCache>
            </c:numRef>
          </c:val>
          <c:extLst>
            <c:ext xmlns:c16="http://schemas.microsoft.com/office/drawing/2014/chart" uri="{C3380CC4-5D6E-409C-BE32-E72D297353CC}">
              <c16:uniqueId val="{00000001-11F0-4E70-A843-8FBB90481C0D}"/>
            </c:ext>
          </c:extLst>
        </c:ser>
        <c:dLbls>
          <c:dLblPos val="outEnd"/>
          <c:showLegendKey val="0"/>
          <c:showVal val="1"/>
          <c:showCatName val="0"/>
          <c:showSerName val="0"/>
          <c:showPercent val="0"/>
          <c:showBubbleSize val="0"/>
        </c:dLbls>
        <c:gapWidth val="100"/>
        <c:overlap val="-24"/>
        <c:axId val="1239133503"/>
        <c:axId val="1239136831"/>
      </c:barChart>
      <c:catAx>
        <c:axId val="1239133503"/>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39136831"/>
        <c:crosses val="autoZero"/>
        <c:auto val="1"/>
        <c:lblAlgn val="ctr"/>
        <c:lblOffset val="100"/>
        <c:noMultiLvlLbl val="0"/>
      </c:catAx>
      <c:valAx>
        <c:axId val="1239136831"/>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3913350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solidFill>
        <a:schemeClr val="tx1">
          <a:lumMod val="95000"/>
          <a:lumOff val="5000"/>
        </a:schemeClr>
      </a:solid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b="1"/>
              <a:t>Efficiency</a:t>
            </a:r>
            <a:r>
              <a:rPr lang="en-IN" b="1" baseline="0"/>
              <a:t> Ratio</a:t>
            </a:r>
            <a:endParaRPr lang="en-IN" b="1"/>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Sheet1!$A$31</c:f>
              <c:strCache>
                <c:ptCount val="1"/>
                <c:pt idx="0">
                  <c:v>Debtors Collection Period</c:v>
                </c:pt>
              </c:strCache>
            </c:strRef>
          </c:tx>
          <c:spPr>
            <a:solidFill>
              <a:schemeClr val="accent1"/>
            </a:solidFill>
            <a:ln>
              <a:noFill/>
            </a:ln>
            <a:effectLst/>
          </c:spPr>
          <c:invertIfNegative val="0"/>
          <c:cat>
            <c:numRef>
              <c:f>Sheet1!$B$30:$C$30</c:f>
              <c:numCache>
                <c:formatCode>General</c:formatCode>
                <c:ptCount val="2"/>
                <c:pt idx="0">
                  <c:v>2019</c:v>
                </c:pt>
                <c:pt idx="1">
                  <c:v>2020</c:v>
                </c:pt>
              </c:numCache>
            </c:numRef>
          </c:cat>
          <c:val>
            <c:numRef>
              <c:f>Sheet1!$B$31:$C$31</c:f>
              <c:numCache>
                <c:formatCode>General</c:formatCode>
                <c:ptCount val="2"/>
                <c:pt idx="0">
                  <c:v>48.69</c:v>
                </c:pt>
                <c:pt idx="1">
                  <c:v>65.33</c:v>
                </c:pt>
              </c:numCache>
            </c:numRef>
          </c:val>
          <c:extLst>
            <c:ext xmlns:c16="http://schemas.microsoft.com/office/drawing/2014/chart" uri="{C3380CC4-5D6E-409C-BE32-E72D297353CC}">
              <c16:uniqueId val="{00000000-32F7-48E3-B62A-0B523A265159}"/>
            </c:ext>
          </c:extLst>
        </c:ser>
        <c:ser>
          <c:idx val="1"/>
          <c:order val="1"/>
          <c:tx>
            <c:strRef>
              <c:f>Sheet1!$A$32</c:f>
              <c:strCache>
                <c:ptCount val="1"/>
                <c:pt idx="0">
                  <c:v>Creditors Payable Period</c:v>
                </c:pt>
              </c:strCache>
            </c:strRef>
          </c:tx>
          <c:spPr>
            <a:solidFill>
              <a:schemeClr val="accent2"/>
            </a:solidFill>
            <a:ln>
              <a:noFill/>
            </a:ln>
            <a:effectLst/>
          </c:spPr>
          <c:invertIfNegative val="0"/>
          <c:cat>
            <c:numRef>
              <c:f>Sheet1!$B$30:$C$30</c:f>
              <c:numCache>
                <c:formatCode>General</c:formatCode>
                <c:ptCount val="2"/>
                <c:pt idx="0">
                  <c:v>2019</c:v>
                </c:pt>
                <c:pt idx="1">
                  <c:v>2020</c:v>
                </c:pt>
              </c:numCache>
            </c:numRef>
          </c:cat>
          <c:val>
            <c:numRef>
              <c:f>Sheet1!$B$32:$C$32</c:f>
              <c:numCache>
                <c:formatCode>General</c:formatCode>
                <c:ptCount val="2"/>
                <c:pt idx="0">
                  <c:v>15.76</c:v>
                </c:pt>
                <c:pt idx="1">
                  <c:v>21.95</c:v>
                </c:pt>
              </c:numCache>
            </c:numRef>
          </c:val>
          <c:extLst>
            <c:ext xmlns:c16="http://schemas.microsoft.com/office/drawing/2014/chart" uri="{C3380CC4-5D6E-409C-BE32-E72D297353CC}">
              <c16:uniqueId val="{00000001-32F7-48E3-B62A-0B523A265159}"/>
            </c:ext>
          </c:extLst>
        </c:ser>
        <c:dLbls>
          <c:showLegendKey val="0"/>
          <c:showVal val="0"/>
          <c:showCatName val="0"/>
          <c:showSerName val="0"/>
          <c:showPercent val="0"/>
          <c:showBubbleSize val="0"/>
        </c:dLbls>
        <c:gapWidth val="219"/>
        <c:overlap val="-27"/>
        <c:axId val="1245007775"/>
        <c:axId val="1245005279"/>
      </c:barChart>
      <c:catAx>
        <c:axId val="124500777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5005279"/>
        <c:crosses val="autoZero"/>
        <c:auto val="1"/>
        <c:lblAlgn val="ctr"/>
        <c:lblOffset val="100"/>
        <c:noMultiLvlLbl val="0"/>
      </c:catAx>
      <c:valAx>
        <c:axId val="124500527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50077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3">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751D7-05A5-45C7-8A54-A3749D72EC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18</Pages>
  <Words>2523</Words>
  <Characters>14385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Pavelescu (2020583)</cp:lastModifiedBy>
  <cp:revision>3</cp:revision>
  <dcterms:created xsi:type="dcterms:W3CDTF">2022-05-21T09:33:00Z</dcterms:created>
  <dcterms:modified xsi:type="dcterms:W3CDTF">2022-06-01T10:29:00Z</dcterms:modified>
</cp:coreProperties>
</file>