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42E1" w:rsidRPr="00FC42E1" w:rsidRDefault="00FC42E1" w:rsidP="00FC42E1">
      <w:pPr>
        <w:tabs>
          <w:tab w:val="center" w:pos="4513"/>
        </w:tabs>
        <w:suppressAutoHyphens/>
        <w:spacing w:line="240" w:lineRule="atLeast"/>
        <w:jc w:val="center"/>
        <w:rPr>
          <w:rFonts w:ascii="Times" w:hAnsi="Times" w:cs="Times"/>
          <w:b/>
          <w:bCs/>
          <w:spacing w:val="-3"/>
          <w:lang w:val="en-GB"/>
        </w:rPr>
      </w:pPr>
      <w:r w:rsidRPr="00FC42E1">
        <w:rPr>
          <w:rFonts w:ascii="Times" w:hAnsi="Times" w:cs="Times"/>
          <w:b/>
          <w:bCs/>
          <w:spacing w:val="-3"/>
          <w:lang w:val="en-GB"/>
        </w:rPr>
        <w:t>SESSION 9</w:t>
      </w:r>
    </w:p>
    <w:p w:rsidR="00FC42E1" w:rsidRPr="00FC42E1" w:rsidRDefault="00FC42E1" w:rsidP="00FC42E1">
      <w:pPr>
        <w:tabs>
          <w:tab w:val="left" w:pos="-720"/>
        </w:tabs>
        <w:suppressAutoHyphens/>
        <w:spacing w:line="240" w:lineRule="atLeast"/>
        <w:jc w:val="both"/>
        <w:rPr>
          <w:rFonts w:ascii="Times" w:hAnsi="Times" w:cs="Times"/>
          <w:b/>
          <w:bCs/>
          <w:spacing w:val="-3"/>
          <w:lang w:val="en-GB"/>
        </w:rPr>
      </w:pPr>
    </w:p>
    <w:p w:rsidR="00FC42E1" w:rsidRPr="00FC42E1" w:rsidRDefault="00FC42E1" w:rsidP="00FC42E1">
      <w:pPr>
        <w:tabs>
          <w:tab w:val="center" w:pos="4513"/>
        </w:tabs>
        <w:suppressAutoHyphens/>
        <w:spacing w:line="240" w:lineRule="atLeast"/>
        <w:jc w:val="both"/>
        <w:rPr>
          <w:rFonts w:ascii="Times" w:hAnsi="Times" w:cs="Times"/>
          <w:b/>
          <w:bCs/>
          <w:spacing w:val="-3"/>
          <w:lang w:val="en-GB"/>
        </w:rPr>
      </w:pPr>
      <w:r>
        <w:rPr>
          <w:rFonts w:ascii="Times" w:hAnsi="Times" w:cs="Times"/>
          <w:b/>
          <w:bCs/>
          <w:spacing w:val="-3"/>
          <w:lang w:val="en-GB"/>
        </w:rPr>
        <w:tab/>
        <w:t>Thomas Becket</w:t>
      </w:r>
      <w:r w:rsidRPr="00FC42E1">
        <w:rPr>
          <w:rFonts w:ascii="Times" w:hAnsi="Times" w:cs="Times"/>
          <w:b/>
          <w:bCs/>
          <w:spacing w:val="-3"/>
          <w:lang w:val="en-GB"/>
        </w:rPr>
        <w:t>: the man and the legend</w:t>
      </w:r>
    </w:p>
    <w:p w:rsidR="00FC42E1" w:rsidRPr="00FC42E1" w:rsidRDefault="00FC42E1" w:rsidP="00FC42E1">
      <w:pPr>
        <w:tabs>
          <w:tab w:val="left" w:pos="-720"/>
        </w:tabs>
        <w:suppressAutoHyphens/>
        <w:spacing w:line="240" w:lineRule="atLeast"/>
        <w:jc w:val="both"/>
        <w:rPr>
          <w:rFonts w:ascii="Times" w:hAnsi="Times" w:cs="Times"/>
          <w:b/>
          <w:bC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spacing w:val="-3"/>
          <w:lang w:val="en-GB"/>
        </w:rPr>
        <w:t xml:space="preserve">In the fifteen years or so after his death no fewer than eleven lives of Becket were composed. And the written tradition grew with works such as the Icelandic saga, </w:t>
      </w:r>
      <w:r w:rsidRPr="00FC42E1">
        <w:rPr>
          <w:rFonts w:ascii="Times" w:hAnsi="Times" w:cs="Times"/>
          <w:i/>
          <w:iCs/>
          <w:spacing w:val="-3"/>
          <w:lang w:val="en-GB"/>
        </w:rPr>
        <w:t xml:space="preserve">Thomas Saga </w:t>
      </w:r>
      <w:proofErr w:type="spellStart"/>
      <w:r w:rsidRPr="00FC42E1">
        <w:rPr>
          <w:rFonts w:ascii="Times" w:hAnsi="Times" w:cs="Times"/>
          <w:i/>
          <w:iCs/>
          <w:spacing w:val="-3"/>
          <w:lang w:val="en-GB"/>
        </w:rPr>
        <w:t>Erkibyskups</w:t>
      </w:r>
      <w:proofErr w:type="spellEnd"/>
      <w:r w:rsidRPr="00FC42E1">
        <w:rPr>
          <w:rFonts w:ascii="Times" w:hAnsi="Times" w:cs="Times"/>
          <w:spacing w:val="-3"/>
          <w:lang w:val="en-GB"/>
        </w:rPr>
        <w:t>, probably written between 1200 and 1250. Thomas Becket the archbishop and martyr now became Thomas Becket the legend. For this session you should consider the value of the contemporary lives as historical evidence and at how the writings of those who know Becket personally developed as his cult spread. Think about the bias or positioning of those who wrote, and how this affected their portrayal of the man and the issues.</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b/>
          <w:bCs/>
          <w:spacing w:val="-3"/>
          <w:lang w:val="en-GB"/>
        </w:rPr>
        <w:t>Reading Guide</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spacing w:val="-3"/>
          <w:lang w:val="en-GB"/>
        </w:rPr>
        <w:t xml:space="preserve">Essential for this is Barlow, </w:t>
      </w:r>
      <w:r w:rsidRPr="00FC42E1">
        <w:rPr>
          <w:rFonts w:ascii="Times" w:hAnsi="Times" w:cs="Times"/>
          <w:i/>
          <w:iCs/>
          <w:spacing w:val="-3"/>
          <w:lang w:val="en-GB"/>
        </w:rPr>
        <w:t>Thomas Becket</w:t>
      </w:r>
      <w:r w:rsidRPr="00FC42E1">
        <w:rPr>
          <w:rFonts w:ascii="Times" w:hAnsi="Times" w:cs="Times"/>
          <w:spacing w:val="-3"/>
          <w:lang w:val="en-GB"/>
        </w:rPr>
        <w:t xml:space="preserve">, and especially the brief but valuable account of the Lives and their authorship on pp. 1–9. See also Duggan, </w:t>
      </w:r>
      <w:r w:rsidRPr="00FC42E1">
        <w:rPr>
          <w:rFonts w:ascii="Times" w:hAnsi="Times" w:cs="Times"/>
          <w:i/>
          <w:spacing w:val="-3"/>
          <w:lang w:val="en-GB"/>
        </w:rPr>
        <w:t>Thomas Becket,</w:t>
      </w:r>
      <w:r w:rsidRPr="00FC42E1">
        <w:rPr>
          <w:rFonts w:ascii="Times" w:hAnsi="Times" w:cs="Times"/>
          <w:spacing w:val="-3"/>
          <w:lang w:val="en-GB"/>
        </w:rPr>
        <w:t xml:space="preserve"> pp. 224–52. Extracts from the early lives have been included in the readings for various units. There is a modern translation of </w:t>
      </w:r>
      <w:proofErr w:type="spellStart"/>
      <w:r w:rsidRPr="00FC42E1">
        <w:rPr>
          <w:rFonts w:ascii="Times" w:hAnsi="Times" w:cs="Times"/>
          <w:spacing w:val="-3"/>
          <w:lang w:val="en-GB"/>
        </w:rPr>
        <w:t>Guernes</w:t>
      </w:r>
      <w:proofErr w:type="spellEnd"/>
      <w:r w:rsidRPr="00FC42E1">
        <w:rPr>
          <w:rFonts w:ascii="Times" w:hAnsi="Times" w:cs="Times"/>
          <w:spacing w:val="-3"/>
          <w:lang w:val="en-GB"/>
        </w:rPr>
        <w:t xml:space="preserve"> (</w:t>
      </w:r>
      <w:proofErr w:type="spellStart"/>
      <w:r w:rsidRPr="00FC42E1">
        <w:rPr>
          <w:rFonts w:ascii="Times" w:hAnsi="Times" w:cs="Times"/>
          <w:spacing w:val="-3"/>
          <w:lang w:val="en-GB"/>
        </w:rPr>
        <w:t>Garnier</w:t>
      </w:r>
      <w:proofErr w:type="spellEnd"/>
      <w:r w:rsidRPr="00FC42E1">
        <w:rPr>
          <w:rFonts w:ascii="Times" w:hAnsi="Times" w:cs="Times"/>
          <w:spacing w:val="-3"/>
          <w:lang w:val="en-GB"/>
        </w:rPr>
        <w:t>) in Shirley 1975.</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spacing w:val="-3"/>
          <w:lang w:val="en-GB"/>
        </w:rPr>
        <w:t xml:space="preserve">Rather later accounts, which contributed to the development of the legend, are to be found in </w:t>
      </w:r>
      <w:proofErr w:type="spellStart"/>
      <w:r w:rsidRPr="00FC42E1">
        <w:rPr>
          <w:rFonts w:ascii="Times" w:hAnsi="Times" w:cs="Times"/>
          <w:spacing w:val="-3"/>
          <w:lang w:val="en-GB"/>
        </w:rPr>
        <w:t>Jacobus</w:t>
      </w:r>
      <w:proofErr w:type="spellEnd"/>
      <w:r w:rsidRPr="00FC42E1">
        <w:rPr>
          <w:rFonts w:ascii="Times" w:hAnsi="Times" w:cs="Times"/>
          <w:spacing w:val="-3"/>
          <w:lang w:val="en-GB"/>
        </w:rPr>
        <w:t xml:space="preserve"> a </w:t>
      </w:r>
      <w:proofErr w:type="spellStart"/>
      <w:r w:rsidRPr="00FC42E1">
        <w:rPr>
          <w:rFonts w:ascii="Times" w:hAnsi="Times" w:cs="Times"/>
          <w:spacing w:val="-3"/>
          <w:lang w:val="en-GB"/>
        </w:rPr>
        <w:t>Voragine</w:t>
      </w:r>
      <w:proofErr w:type="spellEnd"/>
      <w:r w:rsidRPr="00FC42E1">
        <w:rPr>
          <w:rFonts w:ascii="Times" w:hAnsi="Times" w:cs="Times"/>
          <w:spacing w:val="-3"/>
          <w:lang w:val="en-GB"/>
        </w:rPr>
        <w:t xml:space="preserve">, </w:t>
      </w:r>
      <w:proofErr w:type="spellStart"/>
      <w:r w:rsidRPr="00FC42E1">
        <w:rPr>
          <w:rFonts w:ascii="Times" w:hAnsi="Times" w:cs="Times"/>
          <w:i/>
          <w:iCs/>
          <w:spacing w:val="-3"/>
          <w:lang w:val="en-GB"/>
        </w:rPr>
        <w:t>Legenda</w:t>
      </w:r>
      <w:proofErr w:type="spellEnd"/>
      <w:r w:rsidRPr="00FC42E1">
        <w:rPr>
          <w:rFonts w:ascii="Times" w:hAnsi="Times" w:cs="Times"/>
          <w:i/>
          <w:iCs/>
          <w:spacing w:val="-3"/>
          <w:lang w:val="en-GB"/>
        </w:rPr>
        <w:t xml:space="preserve"> </w:t>
      </w:r>
      <w:proofErr w:type="spellStart"/>
      <w:r w:rsidRPr="00FC42E1">
        <w:rPr>
          <w:rFonts w:ascii="Times" w:hAnsi="Times" w:cs="Times"/>
          <w:i/>
          <w:iCs/>
          <w:spacing w:val="-3"/>
          <w:lang w:val="en-GB"/>
        </w:rPr>
        <w:t>Aurea</w:t>
      </w:r>
      <w:proofErr w:type="spellEnd"/>
      <w:r w:rsidRPr="00FC42E1">
        <w:rPr>
          <w:rFonts w:ascii="Times" w:hAnsi="Times" w:cs="Times"/>
          <w:spacing w:val="-3"/>
          <w:lang w:val="en-GB"/>
        </w:rPr>
        <w:t xml:space="preserve">, written </w:t>
      </w:r>
      <w:r w:rsidRPr="00FC42E1">
        <w:rPr>
          <w:rFonts w:ascii="Times" w:hAnsi="Times" w:cs="Times"/>
          <w:i/>
          <w:iCs/>
          <w:spacing w:val="-3"/>
          <w:lang w:val="en-GB"/>
        </w:rPr>
        <w:t>c.</w:t>
      </w:r>
      <w:r w:rsidRPr="00FC42E1">
        <w:rPr>
          <w:rFonts w:ascii="Times" w:hAnsi="Times" w:cs="Times"/>
          <w:spacing w:val="-3"/>
          <w:lang w:val="en-GB"/>
        </w:rPr>
        <w:t xml:space="preserve"> 1260 (text from Grainger, </w:t>
      </w:r>
      <w:r w:rsidRPr="00FC42E1">
        <w:rPr>
          <w:rFonts w:ascii="Times" w:hAnsi="Times" w:cs="Times"/>
          <w:i/>
          <w:iCs/>
          <w:spacing w:val="-3"/>
          <w:lang w:val="en-GB"/>
        </w:rPr>
        <w:t>The Golden Legend</w:t>
      </w:r>
      <w:r w:rsidRPr="00FC42E1">
        <w:rPr>
          <w:rFonts w:ascii="Times" w:hAnsi="Times" w:cs="Times"/>
          <w:spacing w:val="-3"/>
          <w:lang w:val="en-GB"/>
        </w:rPr>
        <w:t>, 59–62).</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spacing w:val="-3"/>
          <w:lang w:val="en-GB"/>
        </w:rPr>
        <w:t xml:space="preserve">In visual arts, there is a fragment of an illuminated life of Becket (see Backhouse and De Hamel, </w:t>
      </w:r>
      <w:r w:rsidRPr="00FC42E1">
        <w:rPr>
          <w:rFonts w:ascii="Times" w:hAnsi="Times" w:cs="Times"/>
          <w:i/>
          <w:iCs/>
          <w:spacing w:val="-3"/>
          <w:lang w:val="en-GB"/>
        </w:rPr>
        <w:t>The Becket Leaves</w:t>
      </w:r>
      <w:r w:rsidRPr="00FC42E1">
        <w:rPr>
          <w:rFonts w:ascii="Times" w:hAnsi="Times" w:cs="Times"/>
          <w:spacing w:val="-3"/>
          <w:lang w:val="en-GB"/>
        </w:rPr>
        <w:t xml:space="preserve">), and the stained glass of </w:t>
      </w:r>
      <w:smartTag w:uri="urn:schemas-microsoft-com:office:smarttags" w:element="City">
        <w:smartTag w:uri="urn:schemas-microsoft-com:office:smarttags" w:element="place">
          <w:r w:rsidRPr="00FC42E1">
            <w:rPr>
              <w:rFonts w:ascii="Times" w:hAnsi="Times" w:cs="Times"/>
              <w:spacing w:val="-3"/>
              <w:lang w:val="en-GB"/>
            </w:rPr>
            <w:t>Canterbury</w:t>
          </w:r>
        </w:smartTag>
      </w:smartTag>
      <w:r w:rsidRPr="00FC42E1">
        <w:rPr>
          <w:rFonts w:ascii="Times" w:hAnsi="Times" w:cs="Times"/>
          <w:spacing w:val="-3"/>
          <w:lang w:val="en-GB"/>
        </w:rPr>
        <w:t xml:space="preserve"> is described by </w:t>
      </w:r>
      <w:proofErr w:type="spellStart"/>
      <w:r w:rsidRPr="00FC42E1">
        <w:rPr>
          <w:rFonts w:ascii="Times" w:hAnsi="Times" w:cs="Times"/>
          <w:spacing w:val="-3"/>
          <w:lang w:val="en-GB"/>
        </w:rPr>
        <w:t>Caviness</w:t>
      </w:r>
      <w:proofErr w:type="spellEnd"/>
      <w:r w:rsidRPr="00FC42E1">
        <w:rPr>
          <w:rFonts w:ascii="Times" w:hAnsi="Times" w:cs="Times"/>
          <w:spacing w:val="-3"/>
          <w:lang w:val="en-GB"/>
        </w:rPr>
        <w:t xml:space="preserve">. A full treatment of visual representations comes in </w:t>
      </w:r>
      <w:proofErr w:type="spellStart"/>
      <w:r w:rsidRPr="00FC42E1">
        <w:rPr>
          <w:rFonts w:ascii="Times" w:hAnsi="Times" w:cs="Times"/>
          <w:spacing w:val="-3"/>
          <w:lang w:val="en-GB"/>
        </w:rPr>
        <w:t>Borenius</w:t>
      </w:r>
      <w:proofErr w:type="spellEnd"/>
      <w:r w:rsidRPr="00FC42E1">
        <w:rPr>
          <w:rFonts w:ascii="Times" w:hAnsi="Times" w:cs="Times"/>
          <w:spacing w:val="-3"/>
          <w:lang w:val="en-GB"/>
        </w:rPr>
        <w:t xml:space="preserve">, </w:t>
      </w:r>
      <w:r w:rsidRPr="00FC42E1">
        <w:rPr>
          <w:rFonts w:ascii="Times" w:hAnsi="Times" w:cs="Times"/>
          <w:i/>
          <w:iCs/>
          <w:spacing w:val="-3"/>
          <w:lang w:val="en-GB"/>
        </w:rPr>
        <w:t>St Thomas in Art</w:t>
      </w:r>
      <w:r w:rsidRPr="00FC42E1">
        <w:rPr>
          <w:rFonts w:ascii="Times" w:hAnsi="Times" w:cs="Times"/>
          <w:spacing w:val="-3"/>
          <w:lang w:val="en-GB"/>
        </w:rPr>
        <w:t xml:space="preserve"> (though this can be difficult to get hold of but I have a copy I can lend you).  </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spacing w:val="-3"/>
          <w:lang w:val="en-GB"/>
        </w:rPr>
        <w:t xml:space="preserve">The fullest treatment of the creation of the legend is in Brown, </w:t>
      </w:r>
      <w:r w:rsidRPr="00FC42E1">
        <w:rPr>
          <w:rFonts w:ascii="Times" w:hAnsi="Times" w:cs="Times"/>
          <w:i/>
          <w:iCs/>
          <w:spacing w:val="-3"/>
          <w:lang w:val="en-GB"/>
        </w:rPr>
        <w:t xml:space="preserve">The Legend of </w:t>
      </w:r>
      <w:smartTag w:uri="urn:schemas-microsoft-com:office:smarttags" w:element="place">
        <w:smartTag w:uri="urn:schemas-microsoft-com:office:smarttags" w:element="City">
          <w:r w:rsidRPr="00FC42E1">
            <w:rPr>
              <w:rFonts w:ascii="Times" w:hAnsi="Times" w:cs="Times"/>
              <w:i/>
              <w:iCs/>
              <w:spacing w:val="-3"/>
              <w:lang w:val="en-GB"/>
            </w:rPr>
            <w:t>St Thomas</w:t>
          </w:r>
        </w:smartTag>
      </w:smartTag>
      <w:r w:rsidRPr="00FC42E1">
        <w:rPr>
          <w:rFonts w:ascii="Times" w:hAnsi="Times" w:cs="Times"/>
          <w:i/>
          <w:iCs/>
          <w:spacing w:val="-3"/>
          <w:lang w:val="en-GB"/>
        </w:rPr>
        <w:t>.</w:t>
      </w:r>
      <w:r w:rsidRPr="00FC42E1">
        <w:rPr>
          <w:rFonts w:ascii="Times" w:hAnsi="Times" w:cs="Times"/>
          <w:spacing w:val="-3"/>
          <w:lang w:val="en-GB"/>
        </w:rPr>
        <w:t xml:space="preserve"> A copy is available from me.</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spacing w:val="-3"/>
          <w:lang w:val="en-GB"/>
        </w:rPr>
        <w:t>In summary you should look for additions to contemporary accounts of Becket; these include: incidents from Becket’s childhood, such as the escape from drowning; additional miracles (the mending of the hair shirt); visions (such as the martyrdom); legends of the murderers.</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spacing w:val="-3"/>
          <w:lang w:val="en-GB"/>
        </w:rPr>
        <w:t>The most startling addition is the Saracen mother of Becket, which appears within 100 years of Becket’s death, and is depicted visually in the Queen Mary’s Psalter.</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spacing w:val="-3"/>
          <w:lang w:val="en-GB"/>
        </w:rPr>
        <w:t>Consider as well the way in which Thomas appears as the ‘champion of the masses’, as depicted in the Becket leaves.</w:t>
      </w:r>
    </w:p>
    <w:p w:rsidR="00FC42E1" w:rsidRPr="00FC42E1" w:rsidRDefault="00FC42E1" w:rsidP="00FC42E1">
      <w:pPr>
        <w:tabs>
          <w:tab w:val="center" w:pos="4513"/>
        </w:tabs>
        <w:suppressAutoHyphens/>
        <w:spacing w:line="240" w:lineRule="atLeast"/>
        <w:jc w:val="both"/>
        <w:rPr>
          <w:rFonts w:ascii="Times" w:hAnsi="Times" w:cs="Times"/>
          <w:spacing w:val="-3"/>
          <w:lang w:val="en-GB"/>
        </w:rPr>
      </w:pPr>
      <w:r w:rsidRPr="00FC42E1">
        <w:rPr>
          <w:rFonts w:ascii="Times" w:hAnsi="Times" w:cs="Times"/>
          <w:spacing w:val="-3"/>
          <w:lang w:val="en-GB"/>
        </w:rPr>
        <w:br w:type="page"/>
      </w:r>
      <w:r>
        <w:rPr>
          <w:rFonts w:ascii="Times" w:hAnsi="Times" w:cs="Times"/>
          <w:noProof/>
          <w:spacing w:val="-3"/>
          <w:lang w:val="en-GB" w:eastAsia="en-GB"/>
        </w:rPr>
        <w:lastRenderedPageBreak/>
        <w:drawing>
          <wp:inline distT="0" distB="0" distL="0" distR="0">
            <wp:extent cx="5724525" cy="7639050"/>
            <wp:effectExtent l="0" t="0" r="9525" b="0"/>
            <wp:docPr id="2" name="Picture 2" descr="Canterbury Trinity chapel glas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terbury Trinity chapel glass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4525" cy="7639050"/>
                    </a:xfrm>
                    <a:prstGeom prst="rect">
                      <a:avLst/>
                    </a:prstGeom>
                    <a:noFill/>
                    <a:ln>
                      <a:noFill/>
                    </a:ln>
                  </pic:spPr>
                </pic:pic>
              </a:graphicData>
            </a:graphic>
          </wp:inline>
        </w:drawing>
      </w:r>
    </w:p>
    <w:p w:rsidR="00FC42E1" w:rsidRPr="00FC42E1" w:rsidRDefault="00FC42E1" w:rsidP="00FC42E1">
      <w:pPr>
        <w:tabs>
          <w:tab w:val="center" w:pos="4513"/>
        </w:tabs>
        <w:suppressAutoHyphens/>
        <w:spacing w:line="240" w:lineRule="atLeast"/>
        <w:jc w:val="both"/>
        <w:rPr>
          <w:rFonts w:ascii="Times" w:hAnsi="Times" w:cs="Times"/>
          <w:spacing w:val="-3"/>
          <w:lang w:val="en-GB"/>
        </w:rPr>
      </w:pPr>
    </w:p>
    <w:p w:rsidR="00FC42E1" w:rsidRPr="00FC42E1" w:rsidRDefault="00FC42E1" w:rsidP="00FC42E1">
      <w:pPr>
        <w:tabs>
          <w:tab w:val="center" w:pos="4513"/>
        </w:tabs>
        <w:suppressAutoHyphens/>
        <w:spacing w:line="240" w:lineRule="atLeast"/>
        <w:rPr>
          <w:rFonts w:ascii="Times" w:hAnsi="Times" w:cs="Times"/>
          <w:spacing w:val="-3"/>
          <w:lang w:val="en-GB"/>
        </w:rPr>
      </w:pPr>
      <w:r w:rsidRPr="00FC42E1">
        <w:rPr>
          <w:rFonts w:ascii="Times" w:hAnsi="Times" w:cs="Times"/>
          <w:spacing w:val="-3"/>
          <w:lang w:val="en-GB"/>
        </w:rPr>
        <w:t>Trinity Chapel: The Becket windows</w:t>
      </w:r>
      <w:r w:rsidRPr="00FC42E1">
        <w:rPr>
          <w:rFonts w:ascii="Times" w:hAnsi="Times" w:cs="Times"/>
          <w:spacing w:val="-3"/>
          <w:lang w:val="en-GB"/>
        </w:rPr>
        <w:br w:type="page"/>
      </w:r>
      <w:r>
        <w:rPr>
          <w:rFonts w:ascii="Times" w:hAnsi="Times" w:cs="Times"/>
          <w:noProof/>
          <w:spacing w:val="-3"/>
          <w:lang w:val="en-GB" w:eastAsia="en-GB"/>
        </w:rPr>
        <w:lastRenderedPageBreak/>
        <w:drawing>
          <wp:inline distT="0" distB="0" distL="0" distR="0">
            <wp:extent cx="5724525" cy="7639050"/>
            <wp:effectExtent l="0" t="0" r="9525" b="0"/>
            <wp:docPr id="1" name="Picture 1" descr="Canterbury Trinity Chapel Miracle Window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nterbury Trinity Chapel Miracle Window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4525" cy="7639050"/>
                    </a:xfrm>
                    <a:prstGeom prst="rect">
                      <a:avLst/>
                    </a:prstGeom>
                    <a:noFill/>
                    <a:ln>
                      <a:noFill/>
                    </a:ln>
                  </pic:spPr>
                </pic:pic>
              </a:graphicData>
            </a:graphic>
          </wp:inline>
        </w:drawing>
      </w:r>
    </w:p>
    <w:p w:rsidR="00FC42E1" w:rsidRPr="00FC42E1" w:rsidRDefault="00FC42E1" w:rsidP="00FC42E1">
      <w:pPr>
        <w:tabs>
          <w:tab w:val="center" w:pos="4513"/>
        </w:tabs>
        <w:suppressAutoHyphens/>
        <w:spacing w:line="240" w:lineRule="atLeast"/>
        <w:rPr>
          <w:rFonts w:ascii="Times" w:hAnsi="Times" w:cs="Times"/>
          <w:spacing w:val="-3"/>
          <w:lang w:val="en-GB"/>
        </w:rPr>
      </w:pPr>
    </w:p>
    <w:p w:rsidR="00FC42E1" w:rsidRPr="00FC42E1" w:rsidRDefault="00FC42E1" w:rsidP="00FC42E1">
      <w:pPr>
        <w:tabs>
          <w:tab w:val="center" w:pos="4513"/>
        </w:tabs>
        <w:suppressAutoHyphens/>
        <w:spacing w:line="240" w:lineRule="atLeast"/>
        <w:rPr>
          <w:rFonts w:ascii="Times" w:hAnsi="Times" w:cs="Times"/>
          <w:b/>
          <w:bCs/>
          <w:spacing w:val="-3"/>
          <w:lang w:val="en-GB"/>
        </w:rPr>
      </w:pPr>
      <w:r w:rsidRPr="00FC42E1">
        <w:rPr>
          <w:rFonts w:ascii="Times" w:hAnsi="Times" w:cs="Times"/>
          <w:spacing w:val="-3"/>
          <w:lang w:val="en-GB"/>
        </w:rPr>
        <w:t>Trinity Chapel: one of the miracles at Becket’s tomb</w:t>
      </w:r>
      <w:r w:rsidRPr="00FC42E1">
        <w:rPr>
          <w:rFonts w:ascii="Times" w:hAnsi="Times" w:cs="Times"/>
          <w:spacing w:val="-3"/>
          <w:lang w:val="en-GB"/>
        </w:rPr>
        <w:br w:type="page"/>
      </w:r>
      <w:r w:rsidRPr="00FC42E1">
        <w:rPr>
          <w:rFonts w:ascii="Times" w:hAnsi="Times" w:cs="Times"/>
          <w:b/>
          <w:bCs/>
          <w:spacing w:val="-3"/>
          <w:lang w:val="en-GB"/>
        </w:rPr>
        <w:lastRenderedPageBreak/>
        <w:tab/>
      </w:r>
    </w:p>
    <w:p w:rsidR="00FC42E1" w:rsidRPr="00FC42E1" w:rsidRDefault="00FC42E1" w:rsidP="00FC42E1">
      <w:pPr>
        <w:tabs>
          <w:tab w:val="center" w:pos="4513"/>
        </w:tabs>
        <w:suppressAutoHyphens/>
        <w:spacing w:line="240" w:lineRule="atLeast"/>
        <w:jc w:val="both"/>
        <w:rPr>
          <w:rFonts w:ascii="Times" w:hAnsi="Times" w:cs="Times"/>
          <w:spacing w:val="-3"/>
          <w:lang w:val="en-GB"/>
        </w:rPr>
      </w:pPr>
      <w:bookmarkStart w:id="0" w:name="_GoBack"/>
      <w:bookmarkEnd w:id="0"/>
      <w:r w:rsidRPr="00FC42E1">
        <w:rPr>
          <w:rFonts w:ascii="Times" w:hAnsi="Times" w:cs="Times"/>
          <w:b/>
          <w:bCs/>
          <w:spacing w:val="-3"/>
          <w:lang w:val="en-GB"/>
        </w:rPr>
        <w:t>Becket, theatre and film: Anouilh’s ‘Becket’</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spacing w:val="-3"/>
          <w:lang w:val="en-GB"/>
        </w:rPr>
        <w:t xml:space="preserve">The French playwright Jean Anouilh wrote his play </w:t>
      </w:r>
      <w:r w:rsidRPr="00FC42E1">
        <w:rPr>
          <w:rFonts w:ascii="Times" w:hAnsi="Times" w:cs="Times"/>
          <w:i/>
          <w:iCs/>
          <w:spacing w:val="-3"/>
          <w:lang w:val="en-GB"/>
        </w:rPr>
        <w:t xml:space="preserve">Becket, </w:t>
      </w:r>
      <w:proofErr w:type="spellStart"/>
      <w:r w:rsidRPr="00FC42E1">
        <w:rPr>
          <w:rFonts w:ascii="Times" w:hAnsi="Times" w:cs="Times"/>
          <w:i/>
          <w:iCs/>
          <w:spacing w:val="-3"/>
          <w:lang w:val="en-GB"/>
        </w:rPr>
        <w:t>ou</w:t>
      </w:r>
      <w:proofErr w:type="spellEnd"/>
      <w:r w:rsidRPr="00FC42E1">
        <w:rPr>
          <w:rFonts w:ascii="Times" w:hAnsi="Times" w:cs="Times"/>
          <w:i/>
          <w:iCs/>
          <w:spacing w:val="-3"/>
          <w:lang w:val="en-GB"/>
        </w:rPr>
        <w:t xml:space="preserve"> </w:t>
      </w:r>
      <w:proofErr w:type="spellStart"/>
      <w:r w:rsidRPr="00FC42E1">
        <w:rPr>
          <w:rFonts w:ascii="Times" w:hAnsi="Times" w:cs="Times"/>
          <w:i/>
          <w:iCs/>
          <w:spacing w:val="-3"/>
          <w:lang w:val="en-GB"/>
        </w:rPr>
        <w:t>l’honneur</w:t>
      </w:r>
      <w:proofErr w:type="spellEnd"/>
      <w:r w:rsidRPr="00FC42E1">
        <w:rPr>
          <w:rFonts w:ascii="Times" w:hAnsi="Times" w:cs="Times"/>
          <w:i/>
          <w:iCs/>
          <w:spacing w:val="-3"/>
          <w:lang w:val="en-GB"/>
        </w:rPr>
        <w:t xml:space="preserve"> de </w:t>
      </w:r>
      <w:proofErr w:type="spellStart"/>
      <w:r w:rsidRPr="00FC42E1">
        <w:rPr>
          <w:rFonts w:ascii="Times" w:hAnsi="Times" w:cs="Times"/>
          <w:i/>
          <w:iCs/>
          <w:spacing w:val="-3"/>
          <w:lang w:val="en-GB"/>
        </w:rPr>
        <w:t>Dieu</w:t>
      </w:r>
      <w:proofErr w:type="spellEnd"/>
      <w:r w:rsidRPr="00FC42E1">
        <w:rPr>
          <w:rFonts w:ascii="Times" w:hAnsi="Times" w:cs="Times"/>
          <w:spacing w:val="-3"/>
          <w:lang w:val="en-GB"/>
        </w:rPr>
        <w:t xml:space="preserve"> </w:t>
      </w:r>
      <w:r w:rsidRPr="00FC42E1">
        <w:rPr>
          <w:rFonts w:ascii="Times" w:hAnsi="Times" w:cs="Times"/>
          <w:i/>
          <w:iCs/>
          <w:spacing w:val="-3"/>
          <w:lang w:val="en-GB"/>
        </w:rPr>
        <w:t>(Becket, or the honour of God)</w:t>
      </w:r>
      <w:r w:rsidRPr="00FC42E1">
        <w:rPr>
          <w:rFonts w:ascii="Times" w:hAnsi="Times" w:cs="Times"/>
          <w:spacing w:val="-3"/>
          <w:lang w:val="en-GB"/>
        </w:rPr>
        <w:t xml:space="preserve"> in 1959. It was translated into English and published in English translation by </w:t>
      </w:r>
      <w:smartTag w:uri="urn:schemas-microsoft-com:office:smarttags" w:element="City">
        <w:smartTag w:uri="urn:schemas-microsoft-com:office:smarttags" w:element="place">
          <w:r w:rsidRPr="00FC42E1">
            <w:rPr>
              <w:rFonts w:ascii="Times" w:hAnsi="Times" w:cs="Times"/>
              <w:spacing w:val="-3"/>
              <w:lang w:val="en-GB"/>
            </w:rPr>
            <w:t>Methuen</w:t>
          </w:r>
        </w:smartTag>
      </w:smartTag>
      <w:r w:rsidRPr="00FC42E1">
        <w:rPr>
          <w:rFonts w:ascii="Times" w:hAnsi="Times" w:cs="Times"/>
          <w:spacing w:val="-3"/>
          <w:lang w:val="en-GB"/>
        </w:rPr>
        <w:t>, 1961 (</w:t>
      </w:r>
      <w:proofErr w:type="spellStart"/>
      <w:r w:rsidRPr="00FC42E1">
        <w:rPr>
          <w:rFonts w:ascii="Times" w:hAnsi="Times" w:cs="Times"/>
          <w:spacing w:val="-3"/>
          <w:lang w:val="en-GB"/>
        </w:rPr>
        <w:t>repr</w:t>
      </w:r>
      <w:proofErr w:type="spellEnd"/>
      <w:r w:rsidRPr="00FC42E1">
        <w:rPr>
          <w:rFonts w:ascii="Times" w:hAnsi="Times" w:cs="Times"/>
          <w:spacing w:val="-3"/>
          <w:lang w:val="en-GB"/>
        </w:rPr>
        <w:t xml:space="preserve">. many times and still in print, ISBN 0 413 32060 X). Anouilh follows a historiographical tradition which emerged in </w:t>
      </w:r>
      <w:smartTag w:uri="urn:schemas-microsoft-com:office:smarttags" w:element="country-region">
        <w:smartTag w:uri="urn:schemas-microsoft-com:office:smarttags" w:element="place">
          <w:r w:rsidRPr="00FC42E1">
            <w:rPr>
              <w:rFonts w:ascii="Times" w:hAnsi="Times" w:cs="Times"/>
              <w:spacing w:val="-3"/>
              <w:lang w:val="en-GB"/>
            </w:rPr>
            <w:t>France</w:t>
          </w:r>
        </w:smartTag>
      </w:smartTag>
      <w:r w:rsidRPr="00FC42E1">
        <w:rPr>
          <w:rFonts w:ascii="Times" w:hAnsi="Times" w:cs="Times"/>
          <w:spacing w:val="-3"/>
          <w:lang w:val="en-GB"/>
        </w:rPr>
        <w:t xml:space="preserve"> in the 19th century, that of the Saxon origins of Becket. In 1964 Anouilh’s play was brought to the screen as the film </w:t>
      </w:r>
      <w:r w:rsidRPr="00FC42E1">
        <w:rPr>
          <w:rFonts w:ascii="Times" w:hAnsi="Times" w:cs="Times"/>
          <w:i/>
          <w:iCs/>
          <w:spacing w:val="-3"/>
          <w:lang w:val="en-GB"/>
        </w:rPr>
        <w:t>Becket</w:t>
      </w:r>
      <w:r w:rsidRPr="00FC42E1">
        <w:rPr>
          <w:rFonts w:ascii="Times" w:hAnsi="Times" w:cs="Times"/>
          <w:spacing w:val="-3"/>
          <w:lang w:val="en-GB"/>
        </w:rPr>
        <w:t xml:space="preserve">, directed by Peter Grenville and starring Richard Burton and Peter O’Toole. This is an entertaining film, and useful in demonstrating how Becket and the controversy that led to his death have been represented in popular culture. </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b/>
          <w:bCs/>
          <w:spacing w:val="-3"/>
          <w:lang w:val="en-GB"/>
        </w:rPr>
        <w:t>Reading Guide</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FC42E1" w:rsidRPr="00FC42E1" w:rsidRDefault="00FC42E1" w:rsidP="00FC42E1">
      <w:pPr>
        <w:tabs>
          <w:tab w:val="left" w:pos="-720"/>
        </w:tabs>
        <w:suppressAutoHyphens/>
        <w:spacing w:line="240" w:lineRule="atLeast"/>
        <w:jc w:val="both"/>
        <w:rPr>
          <w:rFonts w:ascii="Times" w:hAnsi="Times" w:cs="Times"/>
          <w:spacing w:val="-3"/>
          <w:lang w:val="en-GB"/>
        </w:rPr>
      </w:pPr>
      <w:r w:rsidRPr="00FC42E1">
        <w:rPr>
          <w:rFonts w:ascii="Times" w:hAnsi="Times" w:cs="Times"/>
          <w:spacing w:val="-3"/>
          <w:lang w:val="en-GB"/>
        </w:rPr>
        <w:t xml:space="preserve">As well as reading Anouilh’s play (in French or English) you might find it useful to consult Natalie </w:t>
      </w:r>
      <w:proofErr w:type="spellStart"/>
      <w:r w:rsidRPr="00FC42E1">
        <w:rPr>
          <w:rFonts w:ascii="Times" w:hAnsi="Times" w:cs="Times"/>
          <w:spacing w:val="-3"/>
          <w:lang w:val="en-GB"/>
        </w:rPr>
        <w:t>Zemon</w:t>
      </w:r>
      <w:proofErr w:type="spellEnd"/>
      <w:r w:rsidRPr="00FC42E1">
        <w:rPr>
          <w:rFonts w:ascii="Times" w:hAnsi="Times" w:cs="Times"/>
          <w:spacing w:val="-3"/>
          <w:lang w:val="en-GB"/>
        </w:rPr>
        <w:t xml:space="preserve"> Davies, ‘any resemblance to persons living or dead: film and the challenge of authenticity’, </w:t>
      </w:r>
      <w:r w:rsidRPr="00FC42E1">
        <w:rPr>
          <w:rFonts w:ascii="Times" w:hAnsi="Times" w:cs="Times"/>
          <w:i/>
          <w:iCs/>
          <w:spacing w:val="-3"/>
          <w:lang w:val="en-GB"/>
        </w:rPr>
        <w:t>Historical Journal of Film, Radio and Television</w:t>
      </w:r>
      <w:r w:rsidRPr="00FC42E1">
        <w:rPr>
          <w:rFonts w:ascii="Times" w:hAnsi="Times" w:cs="Times"/>
          <w:spacing w:val="-3"/>
          <w:lang w:val="en-GB"/>
        </w:rPr>
        <w:t xml:space="preserve"> 8 (1988), 269–83. </w:t>
      </w:r>
    </w:p>
    <w:p w:rsidR="00FC42E1" w:rsidRPr="00FC42E1" w:rsidRDefault="00FC42E1" w:rsidP="00FC42E1">
      <w:pPr>
        <w:tabs>
          <w:tab w:val="left" w:pos="-720"/>
        </w:tabs>
        <w:suppressAutoHyphens/>
        <w:spacing w:line="240" w:lineRule="atLeast"/>
        <w:jc w:val="both"/>
        <w:rPr>
          <w:rFonts w:ascii="Times" w:hAnsi="Times" w:cs="Times"/>
          <w:spacing w:val="-3"/>
          <w:lang w:val="en-GB"/>
        </w:rPr>
      </w:pPr>
    </w:p>
    <w:p w:rsidR="00676550" w:rsidRDefault="00FC42E1" w:rsidP="00FC42E1">
      <w:r w:rsidRPr="00FC42E1">
        <w:rPr>
          <w:rFonts w:ascii="Times" w:hAnsi="Times" w:cs="Times"/>
          <w:spacing w:val="-3"/>
          <w:lang w:val="en-GB"/>
        </w:rPr>
        <w:br w:type="page"/>
      </w:r>
    </w:p>
    <w:sectPr w:rsidR="00676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10FB"/>
    <w:rsid w:val="005514E4"/>
    <w:rsid w:val="00594161"/>
    <w:rsid w:val="00676550"/>
    <w:rsid w:val="00EA10FB"/>
    <w:rsid w:val="00FC4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4161"/>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42E1"/>
    <w:rPr>
      <w:rFonts w:ascii="Tahoma" w:hAnsi="Tahoma" w:cs="Tahoma"/>
      <w:sz w:val="16"/>
      <w:szCs w:val="16"/>
    </w:rPr>
  </w:style>
  <w:style w:type="character" w:customStyle="1" w:styleId="BalloonTextChar">
    <w:name w:val="Balloon Text Char"/>
    <w:basedOn w:val="DefaultParagraphFont"/>
    <w:link w:val="BalloonText"/>
    <w:uiPriority w:val="99"/>
    <w:semiHidden/>
    <w:rsid w:val="00FC42E1"/>
    <w:rPr>
      <w:rFonts w:ascii="Tahoma" w:eastAsia="Times New Roman" w:hAnsi="Tahoma" w:cs="Tahoma"/>
      <w:sz w:val="16"/>
      <w:szCs w:val="1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4161"/>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42E1"/>
    <w:rPr>
      <w:rFonts w:ascii="Tahoma" w:hAnsi="Tahoma" w:cs="Tahoma"/>
      <w:sz w:val="16"/>
      <w:szCs w:val="16"/>
    </w:rPr>
  </w:style>
  <w:style w:type="character" w:customStyle="1" w:styleId="BalloonTextChar">
    <w:name w:val="Balloon Text Char"/>
    <w:basedOn w:val="DefaultParagraphFont"/>
    <w:link w:val="BalloonText"/>
    <w:uiPriority w:val="99"/>
    <w:semiHidden/>
    <w:rsid w:val="00FC42E1"/>
    <w:rPr>
      <w:rFonts w:ascii="Tahoma" w:eastAsia="Times New Roman"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499</Words>
  <Characters>2848</Characters>
  <Application>Microsoft Office Word</Application>
  <DocSecurity>0</DocSecurity>
  <Lines>23</Lines>
  <Paragraphs>6</Paragraphs>
  <ScaleCrop>false</ScaleCrop>
  <Company/>
  <LinksUpToDate>false</LinksUpToDate>
  <CharactersWithSpaces>3341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Burton</dc:creator>
  <cp:lastModifiedBy>Janet Burton</cp:lastModifiedBy>
  <cp:revision>4</cp:revision>
  <dcterms:created xsi:type="dcterms:W3CDTF">2013-01-28T13:12:00Z</dcterms:created>
  <dcterms:modified xsi:type="dcterms:W3CDTF">2013-01-28T13:20:00Z</dcterms:modified>
</cp:coreProperties>
</file>