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both"/>
        <w:rPr>
          <w:b w:val="1"/>
          <w:bCs w:val="1"/>
        </w:rPr>
      </w:pPr>
      <w:r w:rsidDel="00000000" w:rsidR="00000000" w:rsidRPr="00000000">
        <w:rPr>
          <w:b w:val="1"/>
          <w:bCs w:val="1"/>
          <w:rtl w:val="0"/>
        </w:rPr>
        <w:t xml:space="preserve">(AC 1.1):</w:t>
      </w:r>
    </w:p>
    <w:p w:rsidR="00000000" w:rsidDel="00000000" w:rsidP="00000000" w:rsidRDefault="00000000" w:rsidRPr="00000000" w14:paraId="00000002">
      <w:pPr>
        <w:jc w:val="both"/>
        <w:rPr/>
      </w:pPr>
      <w:r w:rsidDel="00000000" w:rsidR="00000000" w:rsidRPr="00000000">
        <w:rPr>
          <w:rtl w:val="0"/>
        </w:rPr>
        <w:t xml:space="preserve">Kirsten’s ownership at Calmere House (CH) took on a flat, non-hierarchical structure. This adopts a minimal hierarchical structure where there is ‘limited complexity’ to its hierarchy </w:t>
      </w:r>
      <w:r w:rsidDel="00000000" w:rsidR="00000000" w:rsidRPr="00000000">
        <w:rPr>
          <w:rtl w:val="0"/>
        </w:rPr>
        <w:t xml:space="preserve">(Shahvaraninasab, 2025). </w:t>
      </w:r>
      <w:r w:rsidDel="00000000" w:rsidR="00000000" w:rsidRPr="00000000">
        <w:rPr>
          <w:rtl w:val="0"/>
        </w:rPr>
        <w:t xml:space="preserve">This was appropriate under Kirsten's ownership, as her business is small, family-owned and employees reported directly to her. CH was ‘centred around high quality care with a personal touch’, combined with the structure resulted in high employee retention and high-quality resident care. Because Kirsten valued her employees' input in management decisions and selection processes, there was strong engagement, commitment and communication. Kirsten's ability to maintain this structure created a committed, valued and positive culture which met her business goals. Disadvantages of the structure include the compliance of the business as all employees reporting to Kirsten could cause burn out. As no other member of management is present, the responsibility lies with Kirsten. Linking to this, as policies and procedures are already limited, they may not be compliant with new policies or legislation, as there is no direct team for this. Lastly, if employees' goals are to develop and climb the hierarchy within the organisation, then this structure would not be suitable for staff goals and development. </w:t>
      </w:r>
    </w:p>
    <w:p w:rsidR="00000000" w:rsidDel="00000000" w:rsidP="00000000" w:rsidRDefault="00000000" w:rsidRPr="00000000" w14:paraId="00000003">
      <w:pPr>
        <w:jc w:val="both"/>
        <w:rPr/>
      </w:pPr>
      <w:r w:rsidDel="00000000" w:rsidR="00000000" w:rsidRPr="00000000">
        <w:rPr>
          <w:rtl w:val="0"/>
        </w:rPr>
      </w:r>
    </w:p>
    <w:p w:rsidR="00000000" w:rsidDel="00000000" w:rsidP="00000000" w:rsidRDefault="00000000" w:rsidRPr="00000000" w14:paraId="00000004">
      <w:pPr>
        <w:jc w:val="both"/>
        <w:rPr/>
      </w:pPr>
      <w:r w:rsidDel="00000000" w:rsidR="00000000" w:rsidRPr="00000000">
        <w:rPr>
          <w:rtl w:val="0"/>
        </w:rPr>
        <w:t xml:space="preserve">Chaffinch</w:t>
      </w:r>
      <w:r w:rsidDel="00000000" w:rsidR="00000000" w:rsidRPr="00000000">
        <w:rPr>
          <w:rtl w:val="0"/>
        </w:rPr>
        <w:t xml:space="preserve"> Group (CG) adopted the hierarchical bureaucratic structure. Max </w:t>
      </w:r>
      <w:r w:rsidDel="00000000" w:rsidR="00000000" w:rsidRPr="00000000">
        <w:rPr>
          <w:rtl w:val="0"/>
        </w:rPr>
        <w:t xml:space="preserve">Webbers</w:t>
      </w:r>
      <w:r w:rsidDel="00000000" w:rsidR="00000000" w:rsidRPr="00000000">
        <w:rPr>
          <w:rtl w:val="0"/>
        </w:rPr>
        <w:t xml:space="preserve"> theory states that ‘Bureaucracy is an organisational form that implements rationalism’, meaning that it focuses on procedures, structure and instructions </w:t>
      </w:r>
      <w:r w:rsidDel="00000000" w:rsidR="00000000" w:rsidRPr="00000000">
        <w:rPr>
          <w:rtl w:val="0"/>
        </w:rPr>
        <w:t xml:space="preserve">(Daneshfard et al, 2016)</w:t>
      </w:r>
      <w:r w:rsidDel="00000000" w:rsidR="00000000" w:rsidRPr="00000000">
        <w:rPr>
          <w:rtl w:val="0"/>
        </w:rPr>
        <w:t xml:space="preserve">. The advantages of this structure is there is now a direct line of authority, providing stability within the workplace. There would also be better compliance procedures, minimising compliance risks as the policies would be up to date. However, while there are legal benefits, their management style does not agree with the previous employees, creating a negative environment. This change in an  employee valuing company has turned into a standardised, corporate company whose only goal is to gain capital return. Because of this change, employee turnover and overworked employees has increased. This had a knock-on effect as the standardised rooms affected residents' care. Therefore, while this structure may be beneficial in other organisations with similar business goals, for CG, the change hasn’t been as successful as expected.</w:t>
      </w:r>
    </w:p>
    <w:p w:rsidR="00000000" w:rsidDel="00000000" w:rsidP="00000000" w:rsidRDefault="00000000" w:rsidRPr="00000000" w14:paraId="00000005">
      <w:pPr>
        <w:jc w:val="both"/>
        <w:rPr/>
      </w:pPr>
      <w:r w:rsidDel="00000000" w:rsidR="00000000" w:rsidRPr="00000000">
        <w:rPr>
          <w:rtl w:val="0"/>
        </w:rPr>
        <w:t xml:space="preserve"> </w:t>
      </w:r>
    </w:p>
    <w:p w:rsidR="00000000" w:rsidDel="00000000" w:rsidP="00000000" w:rsidRDefault="00000000" w:rsidRPr="00000000" w14:paraId="00000006">
      <w:pPr>
        <w:jc w:val="both"/>
        <w:rPr>
          <w:b w:val="1"/>
          <w:bCs w:val="1"/>
        </w:rPr>
      </w:pPr>
      <w:r w:rsidDel="00000000" w:rsidR="00000000" w:rsidRPr="00000000">
        <w:rPr>
          <w:b w:val="1"/>
          <w:bCs w:val="1"/>
          <w:rtl w:val="0"/>
        </w:rPr>
        <w:t xml:space="preserve">(AC 1.2): </w:t>
      </w:r>
    </w:p>
    <w:p w:rsidR="00000000" w:rsidDel="00000000" w:rsidP="00000000" w:rsidRDefault="00000000" w:rsidRPr="00000000" w14:paraId="00000007">
      <w:pPr>
        <w:jc w:val="both"/>
        <w:rPr/>
      </w:pPr>
      <w:r w:rsidDel="00000000" w:rsidR="00000000" w:rsidRPr="00000000">
        <w:rPr>
          <w:rtl w:val="0"/>
        </w:rPr>
        <w:t xml:space="preserve">In terms of a rational approach to strategy formulation to ensure customer needs are met, CG could apply a SWOT analysis to better understand its strengths, weaknesses, opportunities and threats </w:t>
      </w:r>
      <w:r w:rsidDel="00000000" w:rsidR="00000000" w:rsidRPr="00000000">
        <w:rPr>
          <w:rtl w:val="0"/>
        </w:rPr>
        <w:t xml:space="preserve">(CIPD, 2021). </w:t>
      </w:r>
      <w:r w:rsidDel="00000000" w:rsidR="00000000" w:rsidRPr="00000000">
        <w:rPr>
          <w:rtl w:val="0"/>
        </w:rPr>
        <w:t xml:space="preserve">The organisation's customer base is their adult residents who live within the facility, and the service they provide is care for those adults who have additional care needs. While customer needs are at the forefront of the organisation, employee care also needs to be met. SWOT is a useful tool to analyse internal and external factors. This can be implemented to improve customer service and employee turnover.</w:t>
      </w:r>
    </w:p>
    <w:p w:rsidR="00000000" w:rsidDel="00000000" w:rsidP="00000000" w:rsidRDefault="00000000" w:rsidRPr="00000000" w14:paraId="00000008">
      <w:pPr>
        <w:jc w:val="both"/>
        <w:rPr/>
      </w:pPr>
      <w:r w:rsidDel="00000000" w:rsidR="00000000" w:rsidRPr="00000000">
        <w:rPr>
          <w:rtl w:val="0"/>
        </w:rPr>
      </w:r>
    </w:p>
    <w:p w:rsidR="00000000" w:rsidDel="00000000" w:rsidP="00000000" w:rsidRDefault="00000000" w:rsidRPr="00000000" w14:paraId="00000009">
      <w:pPr>
        <w:jc w:val="both"/>
        <w:rPr/>
      </w:pPr>
      <w:r w:rsidDel="00000000" w:rsidR="00000000" w:rsidRPr="00000000">
        <w:rPr>
          <w:rtl w:val="0"/>
        </w:rPr>
        <w:t xml:space="preserve">To understand SWOT, it can be broken down. To do this, they can gather reliable data to analyse and create an approach to improve their service. For example, employee voice and feedback would help CG gather information on each area of SWOT, as the employees are who provide resident care. They may find weaknesses such as increased workloads and undervalued employees, which can cause a potential threat. This may be that they find another organisation with better standards of care for all parties </w:t>
      </w:r>
      <w:r w:rsidDel="00000000" w:rsidR="00000000" w:rsidRPr="00000000">
        <w:rPr>
          <w:rtl w:val="0"/>
        </w:rPr>
        <w:t xml:space="preserve">(Obiekwe et al, 2019)</w:t>
      </w:r>
      <w:r w:rsidDel="00000000" w:rsidR="00000000" w:rsidRPr="00000000">
        <w:rPr>
          <w:rtl w:val="0"/>
        </w:rPr>
        <w:t xml:space="preserve">. By applying SWOT, they can then apply a strategy to improve these, such as reintroducing 1:1s, regular employee feedback, to continue improvement and better working conditions. This would have an immediate positive effect on meeting customer needs as there would be less employee turnover and less agency staff. Therefore, a SWOT analysis can prove to be beneficial for an organisation, as gathering data such as employee feedback can produce opportunities. However, a limitation of SWOT on the organisation could be that the analysis may lack depth, as it can list weaknesses and threats but may not provide factual evidence or details of potential improvements </w:t>
      </w:r>
      <w:r w:rsidDel="00000000" w:rsidR="00000000" w:rsidRPr="00000000">
        <w:rPr>
          <w:rtl w:val="0"/>
        </w:rPr>
        <w:t xml:space="preserve">(BusinessGuide360, 2024)</w:t>
      </w:r>
      <w:r w:rsidDel="00000000" w:rsidR="00000000" w:rsidRPr="00000000">
        <w:rPr>
          <w:rtl w:val="0"/>
        </w:rPr>
        <w:t xml:space="preserve">. Other types of strategies may be more beneficial as they go into more detail around external factors that can affect customer care.</w:t>
      </w:r>
    </w:p>
    <w:p w:rsidR="00000000" w:rsidDel="00000000" w:rsidP="00000000" w:rsidRDefault="00000000" w:rsidRPr="00000000" w14:paraId="0000000A">
      <w:pPr>
        <w:jc w:val="both"/>
        <w:rPr/>
      </w:pPr>
      <w:r w:rsidDel="00000000" w:rsidR="00000000" w:rsidRPr="00000000">
        <w:rPr>
          <w:rtl w:val="0"/>
        </w:rPr>
      </w:r>
    </w:p>
    <w:p w:rsidR="00000000" w:rsidDel="00000000" w:rsidP="00000000" w:rsidRDefault="00000000" w:rsidRPr="00000000" w14:paraId="0000000B">
      <w:pPr>
        <w:jc w:val="both"/>
        <w:rPr/>
      </w:pPr>
      <w:r w:rsidDel="00000000" w:rsidR="00000000" w:rsidRPr="00000000">
        <w:rPr>
          <w:rtl w:val="0"/>
        </w:rPr>
      </w:r>
    </w:p>
    <w:p w:rsidR="00000000" w:rsidDel="00000000" w:rsidP="00000000" w:rsidRDefault="00000000" w:rsidRPr="00000000" w14:paraId="0000000C">
      <w:pPr>
        <w:jc w:val="both"/>
        <w:rPr>
          <w:b w:val="1"/>
          <w:bCs w:val="1"/>
        </w:rPr>
      </w:pPr>
      <w:r w:rsidDel="00000000" w:rsidR="00000000" w:rsidRPr="00000000">
        <w:rPr>
          <w:b w:val="1"/>
          <w:bCs w:val="1"/>
          <w:rtl w:val="0"/>
        </w:rPr>
        <w:t xml:space="preserve">(AC 1.3): </w:t>
      </w:r>
    </w:p>
    <w:p w:rsidR="00000000" w:rsidDel="00000000" w:rsidP="00000000" w:rsidRDefault="00000000" w:rsidRPr="00000000" w14:paraId="0000000D">
      <w:pPr>
        <w:jc w:val="both"/>
        <w:rPr/>
      </w:pPr>
      <w:r w:rsidDel="00000000" w:rsidR="00000000" w:rsidRPr="00000000">
        <w:rPr>
          <w:rtl w:val="0"/>
        </w:rPr>
        <w:t xml:space="preserve">To analyse external factors, organisations within the residential care industry can apply a PESTLE analysis. This looks into political, economic, social, technological, legal and environmental factors which can have either positive or negative effects. This analysis is beneficial as it allows a business to understand its position in the market as well as assess risks specific to the care industry </w:t>
      </w:r>
      <w:r w:rsidDel="00000000" w:rsidR="00000000" w:rsidRPr="00000000">
        <w:rPr>
          <w:rtl w:val="0"/>
        </w:rPr>
        <w:t xml:space="preserve">(Siddiqui, 2021).</w:t>
      </w:r>
    </w:p>
    <w:p w:rsidR="00000000" w:rsidDel="00000000" w:rsidP="00000000" w:rsidRDefault="00000000" w:rsidRPr="00000000" w14:paraId="0000000E">
      <w:pPr>
        <w:jc w:val="both"/>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3524250</wp:posOffset>
            </wp:positionH>
            <wp:positionV relativeFrom="paragraph">
              <wp:posOffset>257175</wp:posOffset>
            </wp:positionV>
            <wp:extent cx="3252788" cy="2356186"/>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252788" cy="2356186"/>
                    </a:xfrm>
                    <a:prstGeom prst="rect"/>
                    <a:ln/>
                  </pic:spPr>
                </pic:pic>
              </a:graphicData>
            </a:graphic>
          </wp:anchor>
        </w:drawing>
      </w:r>
    </w:p>
    <w:p w:rsidR="00000000" w:rsidDel="00000000" w:rsidP="00000000" w:rsidRDefault="00000000" w:rsidRPr="00000000" w14:paraId="0000000F">
      <w:pPr>
        <w:jc w:val="both"/>
        <w:rPr/>
      </w:pPr>
      <w:r w:rsidDel="00000000" w:rsidR="00000000" w:rsidRPr="00000000">
        <w:rPr>
          <w:rtl w:val="0"/>
        </w:rPr>
        <w:t xml:space="preserve">One external factor that is currently having a negative impact on the residential care industry is the political factor. Being compliant with policies within the care industry is crucial for the success of an organisation. Policies such as ‘The Care Act 2014’ and ‘The Data Protection Act’ all must be applied according to The Social Care Institute for Excellence </w:t>
      </w:r>
      <w:r w:rsidDel="00000000" w:rsidR="00000000" w:rsidRPr="00000000">
        <w:rPr>
          <w:rtl w:val="0"/>
        </w:rPr>
        <w:t xml:space="preserve">(SCIE, 2025). </w:t>
      </w:r>
      <w:r w:rsidDel="00000000" w:rsidR="00000000" w:rsidRPr="00000000">
        <w:rPr>
          <w:rtl w:val="0"/>
        </w:rPr>
        <w:t xml:space="preserve">While these policies are beneficial, the constant change of these by the government can cause issues for care homes. The change in leadership within the government has caused issues for organisations. BREXIT, the government stance on VISAS, and views on immigration have a negative effect on the industry. According to the Government's current statistics, due to the change in VISAS and Immigration Rules, the number of immigrants applying for VISAS and working within health care has dropped significantly </w:t>
      </w:r>
      <w:r w:rsidDel="00000000" w:rsidR="00000000" w:rsidRPr="00000000">
        <w:rPr>
          <w:rtl w:val="0"/>
        </w:rPr>
        <w:t xml:space="preserve">(Office, 2025)</w:t>
      </w:r>
      <w:r w:rsidDel="00000000" w:rsidR="00000000" w:rsidRPr="00000000">
        <w:rPr>
          <w:rtl w:val="0"/>
        </w:rPr>
        <w:t xml:space="preserve">. This has a knock-on effect as Migrant workers make up a large proportion of caregivers as over 230,000 people joined the care workforce in 2023 </w:t>
      </w:r>
      <w:r w:rsidDel="00000000" w:rsidR="00000000" w:rsidRPr="00000000">
        <w:rPr>
          <w:rtl w:val="0"/>
        </w:rPr>
        <w:t xml:space="preserve">(Skills For Care, 2025). </w:t>
      </w:r>
      <w:r w:rsidDel="00000000" w:rsidR="00000000" w:rsidRPr="00000000">
        <w:rPr>
          <w:rtl w:val="0"/>
        </w:rPr>
        <w:t xml:space="preserve">Therefore, government changes affect the industry negatively as they create situations where the industry is understaffed.</w:t>
      </w:r>
    </w:p>
    <w:p w:rsidR="00000000" w:rsidDel="00000000" w:rsidP="00000000" w:rsidRDefault="00000000" w:rsidRPr="00000000" w14:paraId="00000010">
      <w:pPr>
        <w:jc w:val="both"/>
        <w:rPr/>
      </w:pPr>
      <w:r w:rsidDel="00000000" w:rsidR="00000000" w:rsidRPr="00000000">
        <w:rPr>
          <w:rtl w:val="0"/>
        </w:rPr>
      </w:r>
    </w:p>
    <w:p w:rsidR="00000000" w:rsidDel="00000000" w:rsidP="00000000" w:rsidRDefault="00000000" w:rsidRPr="00000000" w14:paraId="00000011">
      <w:pPr>
        <w:jc w:val="both"/>
        <w:rPr/>
      </w:pPr>
      <w:r w:rsidDel="00000000" w:rsidR="00000000" w:rsidRPr="00000000">
        <w:rPr>
          <w:rtl w:val="0"/>
        </w:rPr>
        <w:t xml:space="preserve">One external factor that is currently having a positive impact on the residential care industry is the social factor, specifically demographics. As residents at CG would mainly be the older generation, according to the Office for National Statistics, adults aged 65 and over make up the majority of care homes. Therefore, an ageing population can be seen as a benefit to the industry as the increase in the population requiring care can open opportunities within the sector </w:t>
      </w:r>
      <w:r w:rsidDel="00000000" w:rsidR="00000000" w:rsidRPr="00000000">
        <w:rPr>
          <w:rtl w:val="0"/>
        </w:rPr>
        <w:t xml:space="preserve">(Office for National Statistics, 2023)</w:t>
      </w:r>
      <w:r w:rsidDel="00000000" w:rsidR="00000000" w:rsidRPr="00000000">
        <w:rPr>
          <w:rtl w:val="0"/>
        </w:rPr>
        <w:t xml:space="preserve">. A benefit for the industry is that increased need for care, increases the demand for jobs, which also benefits other areas of PESTLE, such as </w:t>
      </w:r>
      <w:r w:rsidDel="00000000" w:rsidR="00000000" w:rsidRPr="00000000">
        <w:rPr>
          <w:rtl w:val="0"/>
        </w:rPr>
        <w:t xml:space="preserve">Economic</w:t>
      </w:r>
      <w:r w:rsidDel="00000000" w:rsidR="00000000" w:rsidRPr="00000000">
        <w:rPr>
          <w:rtl w:val="0"/>
        </w:rPr>
        <w:t xml:space="preserve"> (Schulz et al, 2014). This provides opportunities for the younger generation to gain experience and education. Demographics also benefit the industry as the increase in long-term health conditions in adults, care homes are now more widely known to the younger generation. They have a better knowledge that these organisations are available to them for the kind of support they need. This allows organisations to profit and continue to provide much needed care (Bach-Mortensen et al, 2025). Lastly, as there will continue to be an ageing population and new social factors, there will be a long-term and continuous demand for the industry. </w:t>
      </w:r>
    </w:p>
    <w:p w:rsidR="00000000" w:rsidDel="00000000" w:rsidP="00000000" w:rsidRDefault="00000000" w:rsidRPr="00000000" w14:paraId="00000012">
      <w:pPr>
        <w:jc w:val="both"/>
        <w:rPr/>
      </w:pPr>
      <w:r w:rsidDel="00000000" w:rsidR="00000000" w:rsidRPr="00000000">
        <w:rPr>
          <w:rtl w:val="0"/>
        </w:rPr>
        <w:t xml:space="preserve"> </w:t>
      </w:r>
    </w:p>
    <w:p w:rsidR="00000000" w:rsidDel="00000000" w:rsidP="00000000" w:rsidRDefault="00000000" w:rsidRPr="00000000" w14:paraId="00000013">
      <w:pPr>
        <w:jc w:val="both"/>
        <w:rPr/>
      </w:pPr>
      <w:r w:rsidDel="00000000" w:rsidR="00000000" w:rsidRPr="00000000">
        <w:rPr>
          <w:rtl w:val="0"/>
        </w:rPr>
      </w:r>
    </w:p>
    <w:p w:rsidR="00000000" w:rsidDel="00000000" w:rsidP="00000000" w:rsidRDefault="00000000" w:rsidRPr="00000000" w14:paraId="00000014">
      <w:pPr>
        <w:jc w:val="both"/>
        <w:rPr>
          <w:b w:val="1"/>
          <w:bCs w:val="1"/>
        </w:rPr>
      </w:pPr>
      <w:r w:rsidDel="00000000" w:rsidR="00000000" w:rsidRPr="00000000">
        <w:rPr>
          <w:b w:val="1"/>
          <w:bCs w:val="1"/>
          <w:rtl w:val="0"/>
        </w:rPr>
        <w:t xml:space="preserve">(AC 1.4)</w:t>
      </w:r>
    </w:p>
    <w:p w:rsidR="00000000" w:rsidDel="00000000" w:rsidP="00000000" w:rsidRDefault="00000000" w:rsidRPr="00000000" w14:paraId="00000015">
      <w:pPr>
        <w:jc w:val="both"/>
        <w:rPr/>
      </w:pPr>
      <w:r w:rsidDel="00000000" w:rsidR="00000000" w:rsidRPr="00000000">
        <w:rPr>
          <w:rtl w:val="0"/>
        </w:rPr>
        <w:t xml:space="preserve">Technology and Artificial Intelligence are becoming the future of every organisation, However, in more manual sectors such as the care industry, it can be more challenging to implement this. Calmere House (CH) invested very little into the adoption of technology, whereas Chaffinch Group (CG), had the opportunity to invest in technology that could potentially improve patient care and employee experience. Using the technological factor from PESTLE can provide opportunities that CG can adopt.</w:t>
      </w:r>
    </w:p>
    <w:p w:rsidR="00000000" w:rsidDel="00000000" w:rsidP="00000000" w:rsidRDefault="00000000" w:rsidRPr="00000000" w14:paraId="00000016">
      <w:pPr>
        <w:jc w:val="both"/>
        <w:rPr/>
      </w:pPr>
      <w:r w:rsidDel="00000000" w:rsidR="00000000" w:rsidRPr="00000000">
        <w:rPr>
          <w:rtl w:val="0"/>
        </w:rPr>
      </w:r>
    </w:p>
    <w:p w:rsidR="00000000" w:rsidDel="00000000" w:rsidP="00000000" w:rsidRDefault="00000000" w:rsidRPr="00000000" w14:paraId="00000017">
      <w:pPr>
        <w:jc w:val="both"/>
        <w:rPr/>
      </w:pPr>
      <w:r w:rsidDel="00000000" w:rsidR="00000000" w:rsidRPr="00000000">
        <w:rPr>
          <w:rtl w:val="0"/>
        </w:rPr>
        <w:t xml:space="preserve">Transferring to digital management could be a great advantage for the organisation, as it comes with the benefits of using digital patient records as well as electronic patient charts to track and hold information. These are beneficial to patient care and employee experience as these systems would have the most recent health record of each patient, creating highly efficient care due to the decreased risk of errors on the system (Alomar et al, 2024). It would also mean that each member of staff has access so that nothing is missed in the patient's care plan due to a lack of communication. However, while going paperless and having the information available, there are disadvantages to using this system, these risks include software malfunctions, employee training and the cost of implementing this software. Malfunctions could cause critical issues for patient care, as if there were issues accessing information, there would be no paper backup available, compromising the care of the patients. Training and implementation would also be costly and time-consuming for CG, as this would take employees away from patients. However, this is not for employees to undertake in their spare time, as this would impact their employee experience (Giebel et al, 2023).</w:t>
      </w:r>
    </w:p>
    <w:p w:rsidR="00000000" w:rsidDel="00000000" w:rsidP="00000000" w:rsidRDefault="00000000" w:rsidRPr="00000000" w14:paraId="00000018">
      <w:pPr>
        <w:jc w:val="both"/>
        <w:rPr/>
      </w:pPr>
      <w:r w:rsidDel="00000000" w:rsidR="00000000" w:rsidRPr="00000000">
        <w:rPr>
          <w:rtl w:val="0"/>
        </w:rPr>
      </w:r>
    </w:p>
    <w:p w:rsidR="00000000" w:rsidDel="00000000" w:rsidP="00000000" w:rsidRDefault="00000000" w:rsidRPr="00000000" w14:paraId="00000019">
      <w:pPr>
        <w:jc w:val="both"/>
        <w:rPr/>
      </w:pPr>
      <w:r w:rsidDel="00000000" w:rsidR="00000000" w:rsidRPr="00000000">
        <w:rPr>
          <w:rtl w:val="0"/>
        </w:rPr>
        <w:t xml:space="preserve">Digital communication would also be highly beneficial for CG to implement as this can have a positive effect on patient care and employee experience. This includes areas such as a communication system and utilising email communication, which can be utilised for handovers; this benefits CG as they use agency staff (Yuen et al, 2023). This would avoid handover errors and would provide more efficiency and consistency in patient care. Digital communication could also be </w:t>
      </w:r>
      <w:r w:rsidDel="00000000" w:rsidR="00000000" w:rsidRPr="00000000">
        <w:rPr>
          <w:rtl w:val="0"/>
        </w:rPr>
        <w:t xml:space="preserve">utilised</w:t>
      </w:r>
      <w:r w:rsidDel="00000000" w:rsidR="00000000" w:rsidRPr="00000000">
        <w:rPr>
          <w:rtl w:val="0"/>
        </w:rPr>
        <w:t xml:space="preserve"> for patients to communicate with family members at home. iPads for patients to stay in contact with family would create a more personalised experience, improving patient care and employee satisfaction. There also are disadvantages as employees may feel that it dehumanises patient care, reducing employee experience, as there is a lack of direct employee communication. While this type of communication may already be used within the organisation, different types of communication platforms would also be costly to implement and may run the risk of data breaches (Zlatolas et al, 2024).</w:t>
      </w:r>
    </w:p>
    <w:p w:rsidR="00000000" w:rsidDel="00000000" w:rsidP="00000000" w:rsidRDefault="00000000" w:rsidRPr="00000000" w14:paraId="0000001A">
      <w:pPr>
        <w:jc w:val="both"/>
        <w:rPr/>
      </w:pPr>
      <w:r w:rsidDel="00000000" w:rsidR="00000000" w:rsidRPr="00000000">
        <w:rPr>
          <w:rtl w:val="0"/>
        </w:rPr>
      </w:r>
    </w:p>
    <w:p w:rsidR="00000000" w:rsidDel="00000000" w:rsidP="00000000" w:rsidRDefault="00000000" w:rsidRPr="00000000" w14:paraId="0000001B">
      <w:pPr>
        <w:jc w:val="both"/>
        <w:rPr/>
      </w:pPr>
      <w:r w:rsidDel="00000000" w:rsidR="00000000" w:rsidRPr="00000000">
        <w:rPr>
          <w:rtl w:val="0"/>
        </w:rPr>
      </w:r>
    </w:p>
    <w:p w:rsidR="00000000" w:rsidDel="00000000" w:rsidP="00000000" w:rsidRDefault="00000000" w:rsidRPr="00000000" w14:paraId="0000001C">
      <w:pPr>
        <w:jc w:val="both"/>
        <w:rPr>
          <w:b w:val="1"/>
          <w:bCs w:val="1"/>
        </w:rPr>
      </w:pPr>
      <w:r w:rsidDel="00000000" w:rsidR="00000000" w:rsidRPr="00000000">
        <w:rPr>
          <w:b w:val="1"/>
          <w:bCs w:val="1"/>
          <w:rtl w:val="0"/>
        </w:rPr>
        <w:t xml:space="preserve">(AC 2.1) </w:t>
      </w:r>
    </w:p>
    <w:p w:rsidR="00000000" w:rsidDel="00000000" w:rsidP="00000000" w:rsidRDefault="00000000" w:rsidRPr="00000000" w14:paraId="0000001D">
      <w:pPr>
        <w:jc w:val="both"/>
        <w:rPr/>
      </w:pPr>
      <w:r w:rsidDel="00000000" w:rsidR="00000000" w:rsidRPr="00000000">
        <w:rPr>
          <w:rtl w:val="0"/>
        </w:rPr>
        <w:t xml:space="preserve">Following the takeover of Calmere House (CH) by Chaffinch Group (CG), organisational and human behaviour have been negatively affected. To analyse why, we can utilise models such as Edgar Schein’s Culture Model to examine organisational behaviours, and David Rock’s SCARF model for human behaviour.  </w:t>
      </w:r>
    </w:p>
    <w:p w:rsidR="00000000" w:rsidDel="00000000" w:rsidP="00000000" w:rsidRDefault="00000000" w:rsidRPr="00000000" w14:paraId="0000001E">
      <w:pPr>
        <w:jc w:val="both"/>
        <w:rPr/>
      </w:pPr>
      <w:r w:rsidDel="00000000" w:rsidR="00000000" w:rsidRPr="00000000">
        <w:rPr>
          <w:rtl w:val="0"/>
        </w:rPr>
      </w:r>
    </w:p>
    <w:p w:rsidR="00000000" w:rsidDel="00000000" w:rsidP="00000000" w:rsidRDefault="00000000" w:rsidRPr="00000000" w14:paraId="0000001F">
      <w:pPr>
        <w:jc w:val="both"/>
        <w:rPr/>
      </w:pPr>
      <w:r w:rsidDel="00000000" w:rsidR="00000000" w:rsidRPr="00000000">
        <w:rPr>
          <w:rtl w:val="0"/>
        </w:rPr>
        <w:t xml:space="preserve">Edgar Shein's culture model identified 3 levels of organisational behaviours: these are artefacts, espoused values and underlying assumptions </w:t>
      </w:r>
      <w:r w:rsidDel="00000000" w:rsidR="00000000" w:rsidRPr="00000000">
        <w:rPr>
          <w:rtl w:val="0"/>
        </w:rPr>
        <w:t xml:space="preserve">(Hattangadi, 2020)</w:t>
      </w:r>
      <w:r w:rsidDel="00000000" w:rsidR="00000000" w:rsidRPr="00000000">
        <w:rPr>
          <w:rtl w:val="0"/>
        </w:rPr>
        <w:t xml:space="preserve">. When each level is understood, it creates a positive cultural environment and helps to see what motivates organisational behaviour </w:t>
      </w:r>
      <w:r w:rsidDel="00000000" w:rsidR="00000000" w:rsidRPr="00000000">
        <w:rPr>
          <w:rtl w:val="0"/>
        </w:rPr>
        <w:t xml:space="preserve">(Mutomorro, 2023)</w:t>
      </w:r>
      <w:r w:rsidDel="00000000" w:rsidR="00000000" w:rsidRPr="00000000">
        <w:rPr>
          <w:rtl w:val="0"/>
        </w:rPr>
        <w:t xml:space="preserve">. At the artefact level, problems arose due to the change in reporting lines at CG, as CH had a different hierarchy. CG has an autocratic style with direct orders and prioritised communication of changes through email rather than being direct. This created problems with employees, as they then felt they were not heard, valued and not able to give their opinions as they previously had. At the espoused value level, problems arose due to the organisation's change in values. CH prioritised efficient care for its residents, personalising their care and creating a family-style team of staff, whereas CG is a profit-focused, standardised organisation. Due to the culture change, turnover increased causing heavier workloads and longer working hours for others. Lastly, underlying assumptions are regarding people's unconscious beliefs, which can affect behaviour and feelings </w:t>
      </w:r>
      <w:r w:rsidDel="00000000" w:rsidR="00000000" w:rsidRPr="00000000">
        <w:rPr>
          <w:rtl w:val="0"/>
        </w:rPr>
        <w:t xml:space="preserve">(Schein E, 1985)</w:t>
      </w:r>
      <w:r w:rsidDel="00000000" w:rsidR="00000000" w:rsidRPr="00000000">
        <w:rPr>
          <w:rtl w:val="0"/>
        </w:rPr>
        <w:t xml:space="preserve">. This can be the hardest to change, as it is not tangible but shown unconsciously through behaviours which showed in CG’s management style. Kath's behaviour was disapproved as employees were not consulted on decisions and directed orders to ensure a return on investment.</w:t>
      </w:r>
    </w:p>
    <w:p w:rsidR="00000000" w:rsidDel="00000000" w:rsidP="00000000" w:rsidRDefault="00000000" w:rsidRPr="00000000" w14:paraId="00000020">
      <w:pPr>
        <w:jc w:val="both"/>
        <w:rPr/>
      </w:pPr>
      <w:r w:rsidDel="00000000" w:rsidR="00000000" w:rsidRPr="00000000">
        <w:rPr>
          <w:rtl w:val="0"/>
        </w:rPr>
      </w:r>
    </w:p>
    <w:p w:rsidR="00000000" w:rsidDel="00000000" w:rsidP="00000000" w:rsidRDefault="00000000" w:rsidRPr="00000000" w14:paraId="00000021">
      <w:pPr>
        <w:jc w:val="both"/>
        <w:rPr/>
      </w:pPr>
      <w:r w:rsidDel="00000000" w:rsidR="00000000" w:rsidRPr="00000000">
        <w:rPr>
          <w:rtl w:val="0"/>
        </w:rPr>
        <w:t xml:space="preserve">To analyse human behaviour, we can use David Rock's “SCARF’ model, made up of; Status, Certainty, Autonomy, Relatedness and Fairness. This model helps to anticipate emotional responses to change </w:t>
      </w:r>
      <w:r w:rsidDel="00000000" w:rsidR="00000000" w:rsidRPr="00000000">
        <w:rPr>
          <w:rtl w:val="0"/>
        </w:rPr>
        <w:t xml:space="preserve">(CIPD, 2017). Status links to values and respect and when applied, motivation and productivity increased. After the takeover, employees felt undervalued resulting in increased turnover, as the level of respect changed as job satisfaction shows to be better than monetary awards (Hamzah et al, 2023). The change in certainty increased turnover and created uncertainty for employees as to what their role is and how their workload will change. There is </w:t>
      </w:r>
      <w:r w:rsidDel="00000000" w:rsidR="00000000" w:rsidRPr="00000000">
        <w:rPr>
          <w:rtl w:val="0"/>
        </w:rPr>
        <w:t xml:space="preserve">uncertainty</w:t>
      </w:r>
      <w:r w:rsidDel="00000000" w:rsidR="00000000" w:rsidRPr="00000000">
        <w:rPr>
          <w:rtl w:val="0"/>
        </w:rPr>
        <w:t xml:space="preserve"> about any business plans due to the problem with communication. There also were high expectations of employees to keep residents' rooms full. Looking at autonomy, employees are now micromanaged compared to previously having management's trust to make decisions. Employees did not have time to adjust or provide feedback to this change (Vuorenmaa, 2024a). Looking at how their teams changed to agency staff links to relatedness. While productivity did not lack, the motivation did due to missing the support of coworkers who had left. Lastly, fairness, when each of the above are analysed, which in CG, they were not, there is unfairness across the board. CG expected the employees to adjust to new rules immediately, and this may be why problems have arisen, such as increased turnover.</w:t>
      </w:r>
      <w:r w:rsidDel="00000000" w:rsidR="00000000" w:rsidRPr="00000000">
        <w:rPr>
          <w:rtl w:val="0"/>
        </w:rPr>
      </w:r>
    </w:p>
    <w:p w:rsidR="00000000" w:rsidDel="00000000" w:rsidP="00000000" w:rsidRDefault="00000000" w:rsidRPr="00000000" w14:paraId="00000022">
      <w:pPr>
        <w:ind w:left="0" w:firstLine="0"/>
        <w:jc w:val="both"/>
        <w:rPr/>
      </w:pPr>
      <w:r w:rsidDel="00000000" w:rsidR="00000000" w:rsidRPr="00000000">
        <w:rPr>
          <w:rtl w:val="0"/>
        </w:rPr>
      </w:r>
    </w:p>
    <w:p w:rsidR="00000000" w:rsidDel="00000000" w:rsidP="00000000" w:rsidRDefault="00000000" w:rsidRPr="00000000" w14:paraId="00000023">
      <w:pPr>
        <w:ind w:left="640" w:hanging="320"/>
        <w:jc w:val="both"/>
        <w:rPr/>
      </w:pPr>
      <w:r w:rsidDel="00000000" w:rsidR="00000000" w:rsidRPr="00000000">
        <w:rPr>
          <w:rtl w:val="0"/>
        </w:rPr>
      </w:r>
    </w:p>
    <w:p w:rsidR="00000000" w:rsidDel="00000000" w:rsidP="00000000" w:rsidRDefault="00000000" w:rsidRPr="00000000" w14:paraId="00000024">
      <w:pPr>
        <w:jc w:val="both"/>
        <w:rPr>
          <w:b w:val="1"/>
          <w:bCs w:val="1"/>
        </w:rPr>
      </w:pPr>
      <w:r w:rsidDel="00000000" w:rsidR="00000000" w:rsidRPr="00000000">
        <w:rPr>
          <w:b w:val="1"/>
          <w:bCs w:val="1"/>
          <w:rtl w:val="0"/>
        </w:rPr>
        <w:t xml:space="preserve">(AC 2.2)</w:t>
      </w:r>
      <w:r w:rsidDel="00000000" w:rsidR="00000000" w:rsidRPr="00000000">
        <w:rPr>
          <w:rtl w:val="0"/>
        </w:rPr>
      </w:r>
    </w:p>
    <w:p w:rsidR="00000000" w:rsidDel="00000000" w:rsidP="00000000" w:rsidRDefault="00000000" w:rsidRPr="00000000" w14:paraId="00000025">
      <w:pPr>
        <w:jc w:val="both"/>
        <w:rPr/>
      </w:pPr>
      <w:r w:rsidDel="00000000" w:rsidR="00000000" w:rsidRPr="00000000">
        <w:rPr>
          <w:rtl w:val="0"/>
        </w:rPr>
        <w:t xml:space="preserve">Following the takeover of Calmere House by Chaffinch Group, there has been a change to the selection processes and employee voice, which has impacted both organisational behaviours and cultures. These impacts can be perceived as both positive and negative.</w:t>
      </w:r>
    </w:p>
    <w:p w:rsidR="00000000" w:rsidDel="00000000" w:rsidP="00000000" w:rsidRDefault="00000000" w:rsidRPr="00000000" w14:paraId="00000026">
      <w:pPr>
        <w:jc w:val="both"/>
        <w:rPr/>
      </w:pPr>
      <w:r w:rsidDel="00000000" w:rsidR="00000000" w:rsidRPr="00000000">
        <w:rPr>
          <w:rtl w:val="0"/>
        </w:rPr>
      </w:r>
    </w:p>
    <w:p w:rsidR="00000000" w:rsidDel="00000000" w:rsidP="00000000" w:rsidRDefault="00000000" w:rsidRPr="00000000" w14:paraId="00000027">
      <w:pPr>
        <w:jc w:val="both"/>
        <w:rPr/>
      </w:pPr>
      <w:r w:rsidDel="00000000" w:rsidR="00000000" w:rsidRPr="00000000">
        <w:rPr>
          <w:rtl w:val="0"/>
        </w:rPr>
        <w:t xml:space="preserve">There has been a significant change in how CG now conducts their selection process, which includes a more standardised and strict entry process. CG now has a recruitment advisor who deals with the recruitment process and has a different view on who they want to work for them; they look for qualifications over experience. The positives of this selection process are that the requirements would be standardised across the organisation, so the level of care provided is consistent, which benefits residents and organisational behaviour </w:t>
      </w:r>
      <w:r w:rsidDel="00000000" w:rsidR="00000000" w:rsidRPr="00000000">
        <w:rPr>
          <w:rtl w:val="0"/>
        </w:rPr>
        <w:t xml:space="preserve">(CIPD, 2024a)</w:t>
      </w:r>
      <w:r w:rsidDel="00000000" w:rsidR="00000000" w:rsidRPr="00000000">
        <w:rPr>
          <w:rtl w:val="0"/>
        </w:rPr>
        <w:t xml:space="preserve">. However, previously, the criteria would have focused more on a personal interview, where employees were involved in the selection process to observe behaviour rather than qualifications. This has had a huge impact on the culture at CG, as employees previously at CH are no longer involved in this process. This is a negative change as these employees no longer feel heard or valued, causing a behavioural change such as a lack of motivation and productivity. The lack of further assessment by CG would also affect the trust and involvement of senior leadership </w:t>
      </w:r>
      <w:r w:rsidDel="00000000" w:rsidR="00000000" w:rsidRPr="00000000">
        <w:rPr>
          <w:rtl w:val="0"/>
        </w:rPr>
        <w:t xml:space="preserve">(Vuorenmaa, 2024b)</w:t>
      </w:r>
      <w:r w:rsidDel="00000000" w:rsidR="00000000" w:rsidRPr="00000000">
        <w:rPr>
          <w:rtl w:val="0"/>
        </w:rPr>
        <w:t xml:space="preserve">, which shows a lack of care on their part. For employees to see how little the senior leadership team values those who work for them would affect behaviour and the dynamic of the culture.</w:t>
      </w:r>
    </w:p>
    <w:p w:rsidR="00000000" w:rsidDel="00000000" w:rsidP="00000000" w:rsidRDefault="00000000" w:rsidRPr="00000000" w14:paraId="00000028">
      <w:pPr>
        <w:jc w:val="both"/>
        <w:rPr/>
      </w:pPr>
      <w:r w:rsidDel="00000000" w:rsidR="00000000" w:rsidRPr="00000000">
        <w:rPr>
          <w:rtl w:val="0"/>
        </w:rPr>
      </w:r>
    </w:p>
    <w:p w:rsidR="00000000" w:rsidDel="00000000" w:rsidP="00000000" w:rsidRDefault="00000000" w:rsidRPr="00000000" w14:paraId="00000029">
      <w:pPr>
        <w:jc w:val="both"/>
        <w:rPr/>
      </w:pPr>
      <w:r w:rsidDel="00000000" w:rsidR="00000000" w:rsidRPr="00000000">
        <w:rPr>
          <w:rtl w:val="0"/>
        </w:rPr>
        <w:t xml:space="preserve">There has also been a significant change in CG’s approach to employee voice. Previously, CH had taken on a person-centred approach to employee voice and communication, where opinions and views were believed to be the best way to achieve their goals and open communication created trust. However, this style has now changed to a formal approach, and there is now a lack of employee opinion regarding their job. The change in employee voice does not benefit the organisation in any way, and there are no positive impacts, as this change is one of the main reasons why there is such an increased turnover of staff. The impact this has had on the culture and behaviour at CG is increased uncertainty, reduced morale, and it would affect the well-being of staff, as they now feel that they do not have a voice in their place of work. They may also not engage as much with newer employees, resulting in less productivity and motivation, which would increasingly affect the culture and behaviour at CG </w:t>
      </w:r>
      <w:r w:rsidDel="00000000" w:rsidR="00000000" w:rsidRPr="00000000">
        <w:rPr>
          <w:rtl w:val="0"/>
        </w:rPr>
        <w:t xml:space="preserve">(Morrison, 2014)</w:t>
      </w:r>
      <w:r w:rsidDel="00000000" w:rsidR="00000000" w:rsidRPr="00000000">
        <w:rPr>
          <w:rtl w:val="0"/>
        </w:rPr>
        <w:t xml:space="preserve">. A recommendation toward CG would be to gather feedback from employees on how they can ensure employee voice is at the centre of their goals and to implement this.</w:t>
      </w:r>
    </w:p>
    <w:p w:rsidR="00000000" w:rsidDel="00000000" w:rsidP="00000000" w:rsidRDefault="00000000" w:rsidRPr="00000000" w14:paraId="0000002A">
      <w:pPr>
        <w:ind w:left="640" w:hanging="320"/>
        <w:jc w:val="both"/>
        <w:rPr/>
      </w:pPr>
      <w:r w:rsidDel="00000000" w:rsidR="00000000" w:rsidRPr="00000000">
        <w:rPr>
          <w:rtl w:val="0"/>
        </w:rPr>
        <w:t xml:space="preserve"> </w:t>
      </w:r>
    </w:p>
    <w:p w:rsidR="00000000" w:rsidDel="00000000" w:rsidP="00000000" w:rsidRDefault="00000000" w:rsidRPr="00000000" w14:paraId="0000002B">
      <w:pPr>
        <w:jc w:val="both"/>
        <w:rPr>
          <w:b w:val="1"/>
          <w:bCs w:val="1"/>
        </w:rPr>
      </w:pPr>
      <w:r w:rsidDel="00000000" w:rsidR="00000000" w:rsidRPr="00000000">
        <w:rPr>
          <w:b w:val="1"/>
          <w:bCs w:val="1"/>
          <w:rtl w:val="0"/>
        </w:rPr>
        <w:t xml:space="preserve">(AC 2.3)</w:t>
      </w:r>
      <w:r w:rsidDel="00000000" w:rsidR="00000000" w:rsidRPr="00000000">
        <w:rPr>
          <w:rtl w:val="0"/>
        </w:rPr>
      </w:r>
    </w:p>
    <w:p w:rsidR="00000000" w:rsidDel="00000000" w:rsidP="00000000" w:rsidRDefault="00000000" w:rsidRPr="00000000" w14:paraId="0000002C">
      <w:pPr>
        <w:jc w:val="both"/>
        <w:rPr/>
      </w:pPr>
      <w:r w:rsidDel="00000000" w:rsidR="00000000" w:rsidRPr="00000000">
        <w:rPr>
          <w:rtl w:val="0"/>
        </w:rPr>
        <w:t xml:space="preserve">Chaffinch Group (CG) could have better managed the takeover, by using models to understand what went wrong and how it could be improved. Models which can be utilised are Kotters' 8 Step Change Model which looks at how change can be implemented across large organisations </w:t>
      </w:r>
      <w:r w:rsidDel="00000000" w:rsidR="00000000" w:rsidRPr="00000000">
        <w:rPr>
          <w:rtl w:val="0"/>
        </w:rPr>
        <w:t xml:space="preserve">(Kotter, 2025), and </w:t>
      </w:r>
      <w:r w:rsidDel="00000000" w:rsidR="00000000" w:rsidRPr="00000000">
        <w:rPr>
          <w:rtl w:val="0"/>
        </w:rPr>
        <w:t xml:space="preserve">creating a structured approach to doing this </w:t>
      </w:r>
      <w:r w:rsidDel="00000000" w:rsidR="00000000" w:rsidRPr="00000000">
        <w:rPr>
          <w:rtl w:val="0"/>
        </w:rPr>
        <w:t xml:space="preserve">(Carreno, 2024), and Jeff Hiats ADKAR model which looks at the emotional journey.</w:t>
      </w:r>
    </w:p>
    <w:p w:rsidR="00000000" w:rsidDel="00000000" w:rsidP="00000000" w:rsidRDefault="00000000" w:rsidRPr="00000000" w14:paraId="0000002D">
      <w:pPr>
        <w:jc w:val="both"/>
        <w:rPr/>
      </w:pPr>
      <w:r w:rsidDel="00000000" w:rsidR="00000000" w:rsidRPr="00000000">
        <w:rPr>
          <w:rtl w:val="0"/>
        </w:rPr>
      </w:r>
    </w:p>
    <w:p w:rsidR="00000000" w:rsidDel="00000000" w:rsidP="00000000" w:rsidRDefault="00000000" w:rsidRPr="00000000" w14:paraId="0000002E">
      <w:pPr>
        <w:jc w:val="both"/>
        <w:rPr/>
      </w:pPr>
      <w:r w:rsidDel="00000000" w:rsidR="00000000" w:rsidRPr="00000000">
        <w:rPr>
          <w:rtl w:val="0"/>
        </w:rPr>
        <w:t xml:space="preserve">Step 1 is vital, where CG needs to find the sense of urgency, explaining why the takeover was necessary. While Kirsten explained, employees could not comprehend the takeover, therefore making the transition more difficult and unexpected. Step 2 (Build) is where a change management team could be founded, including employees from CH and CG, to create a plan for the transition. Insight from CH employees could help previous employees adapt to the change. This would improve team building and trust as CG did not allow time to adjust to new employees and policies. Step 3 (Form) is where CG will create SMART goals and objectives with steps on how these can be reached. Rather than setting a goal to fill 100% of resident rooms within 6 months, a smaller goal of 50% of rooms may be best. Smaller goals would have better long-term effects. Step 4 (Enlist) is where feedback is essential to understand if the previous steps have had any effect. Examples for CG would be to hold in-person team meetings, one-on-ones and implement change champions; overall this could encourage trust </w:t>
      </w:r>
      <w:r w:rsidDel="00000000" w:rsidR="00000000" w:rsidRPr="00000000">
        <w:rPr>
          <w:rtl w:val="0"/>
        </w:rPr>
        <w:t xml:space="preserve">(Thakhathi, 2018)</w:t>
      </w:r>
      <w:r w:rsidDel="00000000" w:rsidR="00000000" w:rsidRPr="00000000">
        <w:rPr>
          <w:rtl w:val="0"/>
        </w:rPr>
        <w:t xml:space="preserve">. Step 5 (Enabling) is where CG will review the feedback and see what barriers there are to overcome. For CG, this would be improving communication, managerial styles and recruitment processes. Step 6 (Generate), CG, looks at what they are doing well during the transition period, and keep motivating their employees by showing them the current progress. Step 7 (Sustain) will continue to slowly keep introducing new positive changes to the organisation, taking advice from previous steps. Lastly, step 8 (Initiate), CG will continue to make positive changes permanent. The continuity helps encourage the organisation's behaviours and culture to remain positive.</w:t>
      </w:r>
    </w:p>
    <w:p w:rsidR="00000000" w:rsidDel="00000000" w:rsidP="00000000" w:rsidRDefault="00000000" w:rsidRPr="00000000" w14:paraId="0000002F">
      <w:pPr>
        <w:jc w:val="both"/>
        <w:rPr/>
      </w:pPr>
      <w:r w:rsidDel="00000000" w:rsidR="00000000" w:rsidRPr="00000000">
        <w:rPr>
          <w:rtl w:val="0"/>
        </w:rPr>
      </w:r>
    </w:p>
    <w:p w:rsidR="00000000" w:rsidDel="00000000" w:rsidP="00000000" w:rsidRDefault="00000000" w:rsidRPr="00000000" w14:paraId="00000030">
      <w:pPr>
        <w:jc w:val="both"/>
        <w:rPr/>
      </w:pPr>
      <w:r w:rsidDel="00000000" w:rsidR="00000000" w:rsidRPr="00000000">
        <w:rPr>
          <w:rtl w:val="0"/>
        </w:rPr>
        <w:t xml:space="preserve">Jeff Hiatt’s ADKAR model focuses on an individual's journey through change. Kotter's model does not take into account that each employee may emotionally handle the changes differently </w:t>
      </w:r>
      <w:r w:rsidDel="00000000" w:rsidR="00000000" w:rsidRPr="00000000">
        <w:rPr>
          <w:rtl w:val="0"/>
        </w:rPr>
        <w:t xml:space="preserve">(Hiatt, 2006)</w:t>
      </w:r>
      <w:r w:rsidDel="00000000" w:rsidR="00000000" w:rsidRPr="00000000">
        <w:rPr>
          <w:rtl w:val="0"/>
        </w:rPr>
        <w:t xml:space="preserve">. CG can implement ADKAR into Kotter's model. Jeff Hiatt explains that ‘awareness’ is a key factor in ensuring change is positive after a takeover. ‘Desire’ looks at what could motivate people to want change. Within Kotter's model, feedback can find what personal motivation may be, for example, communication, training or rewards. ‘Knowledge’ includes the change happening and where employees will be, this may require training and ensuring job roles are known. Each employee learns and adapts differently. ‘Ability’ within Kotters, is not to rush changes, these must be gradual, as a rushed transition period would create more risks. Gathering feedback around wellbeing would identify barriers and areas which may need more attention. Reinforcement would also come under enlist as understanding how the people are adapting is the key to change. Therefore, areas within ADKAR can be utilised within Kotter's model as they both bring different perspectives.</w:t>
      </w:r>
    </w:p>
    <w:p w:rsidR="00000000" w:rsidDel="00000000" w:rsidP="00000000" w:rsidRDefault="00000000" w:rsidRPr="00000000" w14:paraId="00000031">
      <w:pPr>
        <w:jc w:val="both"/>
        <w:rPr/>
      </w:pPr>
      <w:r w:rsidDel="00000000" w:rsidR="00000000" w:rsidRPr="00000000">
        <w:rPr>
          <w:rtl w:val="0"/>
        </w:rPr>
      </w:r>
    </w:p>
    <w:p w:rsidR="00000000" w:rsidDel="00000000" w:rsidP="00000000" w:rsidRDefault="00000000" w:rsidRPr="00000000" w14:paraId="00000032">
      <w:pPr>
        <w:ind w:left="0" w:firstLine="0"/>
        <w:jc w:val="both"/>
        <w:rPr/>
      </w:pPr>
      <w:r w:rsidDel="00000000" w:rsidR="00000000" w:rsidRPr="00000000">
        <w:rPr>
          <w:rtl w:val="0"/>
        </w:rPr>
      </w:r>
    </w:p>
    <w:p w:rsidR="00000000" w:rsidDel="00000000" w:rsidP="00000000" w:rsidRDefault="00000000" w:rsidRPr="00000000" w14:paraId="00000033">
      <w:pPr>
        <w:jc w:val="both"/>
        <w:rPr>
          <w:b w:val="1"/>
          <w:bCs w:val="1"/>
        </w:rPr>
      </w:pPr>
      <w:r w:rsidDel="00000000" w:rsidR="00000000" w:rsidRPr="00000000">
        <w:rPr>
          <w:b w:val="1"/>
          <w:bCs w:val="1"/>
          <w:rtl w:val="0"/>
        </w:rPr>
        <w:t xml:space="preserve">(AC 2.4) </w:t>
      </w:r>
    </w:p>
    <w:p w:rsidR="00000000" w:rsidDel="00000000" w:rsidP="00000000" w:rsidRDefault="00000000" w:rsidRPr="00000000" w14:paraId="00000034">
      <w:pPr>
        <w:jc w:val="both"/>
        <w:rPr/>
      </w:pPr>
      <w:r w:rsidDel="00000000" w:rsidR="00000000" w:rsidRPr="00000000">
        <w:rPr>
          <w:rtl w:val="0"/>
        </w:rPr>
        <w:t xml:space="preserve">Following the takeover of Calmere House (CH), it brought out an emotional response from the change in ownership. This can be reflected through the Kubler Ross’s Change Curve. This model shows 5 stages of how someone emotionally experiences change </w:t>
      </w:r>
      <w:r w:rsidDel="00000000" w:rsidR="00000000" w:rsidRPr="00000000">
        <w:rPr>
          <w:rtl w:val="0"/>
        </w:rPr>
        <w:t xml:space="preserve">(Lindblad, 2022). Employees may go through these stages at a different rate and accept the change quicker than others.</w:t>
      </w:r>
      <w:r w:rsidDel="00000000" w:rsidR="00000000" w:rsidRPr="00000000">
        <w:rPr>
          <w:rtl w:val="0"/>
        </w:rPr>
      </w:r>
    </w:p>
    <w:p w:rsidR="00000000" w:rsidDel="00000000" w:rsidP="00000000" w:rsidRDefault="00000000" w:rsidRPr="00000000" w14:paraId="00000035">
      <w:pPr>
        <w:jc w:val="both"/>
        <w:rPr/>
      </w:pPr>
      <w:r w:rsidDel="00000000" w:rsidR="00000000" w:rsidRPr="00000000">
        <w:rPr>
          <w:rtl w:val="0"/>
        </w:rPr>
      </w:r>
    </w:p>
    <w:p w:rsidR="00000000" w:rsidDel="00000000" w:rsidP="00000000" w:rsidRDefault="00000000" w:rsidRPr="00000000" w14:paraId="00000036">
      <w:pPr>
        <w:jc w:val="both"/>
        <w:rPr/>
      </w:pPr>
      <w:r w:rsidDel="00000000" w:rsidR="00000000" w:rsidRPr="00000000">
        <w:rPr>
          <w:rtl w:val="0"/>
        </w:rPr>
        <w:t xml:space="preserve">Stage 1 is shock, where the employees experience the initial shock of finding out that Kirsten is selling CH when explained why it was necessary, it caused uncertainty for many employees, creating negative feelings toward the change. Stage 2, denial, presents itself as the employees do not believe much change will occur and that their day-to-day routine will remain the same. In CH’s case, major changes happened in a short time span, such as teams, management and communication. Denial can be seen as a defence mechanism, and if prolonged, it could cause less productivity and efficiency in the workplace </w:t>
      </w:r>
      <w:r w:rsidDel="00000000" w:rsidR="00000000" w:rsidRPr="00000000">
        <w:rPr>
          <w:rtl w:val="0"/>
        </w:rPr>
        <w:t xml:space="preserve">(Chavan et al, 2022)</w:t>
      </w:r>
      <w:r w:rsidDel="00000000" w:rsidR="00000000" w:rsidRPr="00000000">
        <w:rPr>
          <w:rtl w:val="0"/>
        </w:rPr>
        <w:t xml:space="preserve">. Stage 3 looks at frustration. CH’s newly implemented changes which include changes to the culture, teams, managers and communication cause employees to feel frustrated due to its knock-on effect. This frustration can lead to resistance within the workplace </w:t>
      </w:r>
      <w:r w:rsidDel="00000000" w:rsidR="00000000" w:rsidRPr="00000000">
        <w:rPr>
          <w:rtl w:val="0"/>
        </w:rPr>
        <w:t xml:space="preserve">(Tarnoff et al, 2021). Stage 4, depression, is introduced. Employees realise that new changes are permanent. Understanding this leads to low moods, depression and lack of productivity. In CG’s case, the employees felt hopeless and dissatisfied due to the effect of the changes such as heavier workloads and reduced team support (Malone, 2018). </w:t>
      </w:r>
      <w:r w:rsidDel="00000000" w:rsidR="00000000" w:rsidRPr="00000000">
        <w:rPr>
          <w:rtl w:val="0"/>
        </w:rPr>
        <w:t xml:space="preserve">Stage 5, experiment, is where employees start to engage with the new changes. They do not accept them yet, but are seeing how they may feel slowly. For CG, the employees are engaging but not by choice; therefore, this is where many employees are stuck until positive change occurs. Stage 6, decision, is where the employees are learning how they can fit into the new environment. This may take longer than others, but it is ultimately a positive step. For CG, many employees were unable to reach this step and had left the organisation. Lastly, stage 7 is integration. Employees accept the new changes that have happened. However, in CG’s case, most employees from CH did not reach this stage, as the lack of support and communication throughout the changes did not allow them to successfully move fully through the change curve. This model is highly important as it allows organisations to reflect on employees' emotional experience when handling changes.</w:t>
      </w:r>
    </w:p>
    <w:p w:rsidR="00000000" w:rsidDel="00000000" w:rsidP="00000000" w:rsidRDefault="00000000" w:rsidRPr="00000000" w14:paraId="00000037">
      <w:pPr>
        <w:jc w:val="both"/>
        <w:rPr/>
      </w:pPr>
      <w:r w:rsidDel="00000000" w:rsidR="00000000" w:rsidRPr="00000000">
        <w:rPr>
          <w:rtl w:val="0"/>
        </w:rPr>
      </w:r>
    </w:p>
    <w:p w:rsidR="00000000" w:rsidDel="00000000" w:rsidP="00000000" w:rsidRDefault="00000000" w:rsidRPr="00000000" w14:paraId="00000038">
      <w:pPr>
        <w:jc w:val="both"/>
        <w:rPr/>
      </w:pPr>
      <w:r w:rsidDel="00000000" w:rsidR="00000000" w:rsidRPr="00000000">
        <w:rPr>
          <w:rtl w:val="0"/>
        </w:rPr>
      </w:r>
    </w:p>
    <w:p w:rsidR="00000000" w:rsidDel="00000000" w:rsidP="00000000" w:rsidRDefault="00000000" w:rsidRPr="00000000" w14:paraId="00000039">
      <w:pPr>
        <w:jc w:val="both"/>
        <w:rPr>
          <w:b w:val="1"/>
          <w:bCs w:val="1"/>
        </w:rPr>
      </w:pPr>
      <w:r w:rsidDel="00000000" w:rsidR="00000000" w:rsidRPr="00000000">
        <w:rPr>
          <w:b w:val="1"/>
          <w:bCs w:val="1"/>
          <w:rtl w:val="0"/>
        </w:rPr>
        <w:t xml:space="preserve">(AC 2.5) </w:t>
      </w:r>
    </w:p>
    <w:p w:rsidR="00000000" w:rsidDel="00000000" w:rsidP="00000000" w:rsidRDefault="00000000" w:rsidRPr="00000000" w14:paraId="0000003A">
      <w:pPr>
        <w:jc w:val="both"/>
        <w:rPr/>
      </w:pPr>
      <w:r w:rsidDel="00000000" w:rsidR="00000000" w:rsidRPr="00000000">
        <w:rPr>
          <w:rtl w:val="0"/>
        </w:rPr>
        <w:t xml:space="preserve">Many factors can impact employee well-being at Calmere House, and it is crucial to address these as they can have knock-on effects for both the employee and the employer. The World Health Organisation defines well-being as a positive state experienced by individuals and societies </w:t>
      </w:r>
      <w:r w:rsidDel="00000000" w:rsidR="00000000" w:rsidRPr="00000000">
        <w:rPr>
          <w:rtl w:val="0"/>
        </w:rPr>
        <w:t xml:space="preserve">(WOH, 2025)</w:t>
      </w:r>
      <w:r w:rsidDel="00000000" w:rsidR="00000000" w:rsidRPr="00000000">
        <w:rPr>
          <w:rtl w:val="0"/>
        </w:rPr>
        <w:t xml:space="preserve">. </w:t>
      </w:r>
    </w:p>
    <w:p w:rsidR="00000000" w:rsidDel="00000000" w:rsidP="00000000" w:rsidRDefault="00000000" w:rsidRPr="00000000" w14:paraId="0000003B">
      <w:pPr>
        <w:jc w:val="both"/>
        <w:rPr/>
      </w:pPr>
      <w:r w:rsidDel="00000000" w:rsidR="00000000" w:rsidRPr="00000000">
        <w:rPr>
          <w:rtl w:val="0"/>
        </w:rPr>
      </w:r>
    </w:p>
    <w:p w:rsidR="00000000" w:rsidDel="00000000" w:rsidP="00000000" w:rsidRDefault="00000000" w:rsidRPr="00000000" w14:paraId="0000003C">
      <w:pPr>
        <w:jc w:val="both"/>
        <w:rPr/>
      </w:pPr>
      <w:r w:rsidDel="00000000" w:rsidR="00000000" w:rsidRPr="00000000">
        <w:rPr>
          <w:rtl w:val="0"/>
        </w:rPr>
        <w:t xml:space="preserve">One factor which impacts employee well-being and must be addressed is job satisfaction. Recent studies show that salary is less important than job satisfaction </w:t>
      </w:r>
      <w:r w:rsidDel="00000000" w:rsidR="00000000" w:rsidRPr="00000000">
        <w:rPr>
          <w:rtl w:val="0"/>
        </w:rPr>
        <w:t xml:space="preserve">(Mayne, 2025)</w:t>
      </w:r>
      <w:r w:rsidDel="00000000" w:rsidR="00000000" w:rsidRPr="00000000">
        <w:rPr>
          <w:rtl w:val="0"/>
        </w:rPr>
        <w:t xml:space="preserve">. Areas which have an impact are working environments, workplace relationships, career growth opportunities and work-life balance. If an employee is dissatisfied in any of these areas, it can cause job dissatisfaction. While CH had low employee turnover, career development can be seen to be nonexistent due to its flat organisational structure, meaning that there were no opportunities for career growth. It is crucial to address this concern as a lack of job satisfaction may lead to low morale and decreased motivation, affecting wellbeing causing stress, anxiety and lowered confidence. These would also affect an employer, as the quality and productivity of work is reduced, as the employee does not feel that they have a goal to reach, they may find opportunities elsewhere </w:t>
      </w:r>
      <w:r w:rsidDel="00000000" w:rsidR="00000000" w:rsidRPr="00000000">
        <w:rPr>
          <w:rtl w:val="0"/>
        </w:rPr>
        <w:t xml:space="preserve">(Japor, 2021).</w:t>
      </w:r>
      <w:r w:rsidDel="00000000" w:rsidR="00000000" w:rsidRPr="00000000">
        <w:rPr>
          <w:rtl w:val="0"/>
        </w:rPr>
        <w:t xml:space="preserve"> Therefore, it is important to address concerns around job satisfaction as this is crucial to maintaining employee well-being.</w:t>
      </w:r>
    </w:p>
    <w:p w:rsidR="00000000" w:rsidDel="00000000" w:rsidP="00000000" w:rsidRDefault="00000000" w:rsidRPr="00000000" w14:paraId="0000003D">
      <w:pPr>
        <w:jc w:val="both"/>
        <w:rPr/>
      </w:pPr>
      <w:r w:rsidDel="00000000" w:rsidR="00000000" w:rsidRPr="00000000">
        <w:rPr>
          <w:rtl w:val="0"/>
        </w:rPr>
      </w:r>
    </w:p>
    <w:p w:rsidR="00000000" w:rsidDel="00000000" w:rsidP="00000000" w:rsidRDefault="00000000" w:rsidRPr="00000000" w14:paraId="0000003E">
      <w:pPr>
        <w:jc w:val="both"/>
        <w:rPr/>
      </w:pPr>
      <w:r w:rsidDel="00000000" w:rsidR="00000000" w:rsidRPr="00000000">
        <w:rPr>
          <w:rtl w:val="0"/>
        </w:rPr>
        <w:t xml:space="preserve">The second factor which impacts employee well-being is workload. It is important that this is regularly addressed as studies reveal that employees who experience increased workloads result in having ‘psychological and physical fatigue’ </w:t>
      </w:r>
      <w:r w:rsidDel="00000000" w:rsidR="00000000" w:rsidRPr="00000000">
        <w:rPr>
          <w:rtl w:val="0"/>
        </w:rPr>
        <w:t xml:space="preserve">(Cropley 2020)</w:t>
      </w:r>
      <w:r w:rsidDel="00000000" w:rsidR="00000000" w:rsidRPr="00000000">
        <w:rPr>
          <w:rtl w:val="0"/>
        </w:rPr>
        <w:t xml:space="preserve">. For CH, their workload was manageable as Kirsten ensured this. However, following the takeover, CG did not address the importance that workloads had on employee well-being, as many employees had to cover absences. Workloads must be addressed, as it can lead to physical/mentall health problems such as burnout and low morale. From an employer's perspective, increased workloads can cause reduced productivity and efficient work due to fatigue. Therefore, looking at both perspectives, if we do not address employee well-being while assigning workloads, it can have catastrophic consequences.</w:t>
      </w:r>
    </w:p>
    <w:p w:rsidR="00000000" w:rsidDel="00000000" w:rsidP="00000000" w:rsidRDefault="00000000" w:rsidRPr="00000000" w14:paraId="0000003F">
      <w:pPr>
        <w:jc w:val="both"/>
        <w:rPr/>
      </w:pPr>
      <w:r w:rsidDel="00000000" w:rsidR="00000000" w:rsidRPr="00000000">
        <w:rPr>
          <w:rtl w:val="0"/>
        </w:rPr>
      </w:r>
    </w:p>
    <w:p w:rsidR="00000000" w:rsidDel="00000000" w:rsidP="00000000" w:rsidRDefault="00000000" w:rsidRPr="00000000" w14:paraId="00000040">
      <w:pPr>
        <w:jc w:val="both"/>
        <w:rPr>
          <w:b w:val="1"/>
          <w:bCs w:val="1"/>
        </w:rPr>
      </w:pPr>
      <w:r w:rsidDel="00000000" w:rsidR="00000000" w:rsidRPr="00000000">
        <w:rPr>
          <w:b w:val="1"/>
          <w:bCs w:val="1"/>
          <w:rtl w:val="0"/>
        </w:rPr>
        <w:t xml:space="preserve">(AC 3.1)</w:t>
      </w:r>
    </w:p>
    <w:p w:rsidR="00000000" w:rsidDel="00000000" w:rsidP="00000000" w:rsidRDefault="00000000" w:rsidRPr="00000000" w14:paraId="00000041">
      <w:pPr>
        <w:jc w:val="both"/>
        <w:rPr/>
      </w:pPr>
      <w:r w:rsidDel="00000000" w:rsidR="00000000" w:rsidRPr="00000000">
        <w:rPr>
          <w:rtl w:val="0"/>
        </w:rPr>
        <w:t xml:space="preserve">In the employee lifecycle, retention is a crucial stage which often needs support to ensure that retention is high. Push factors are internal factors which can influence employees to leave such as poor management/relationships and a lack of opportunities. Pull factors are the external factors such as better pay/</w:t>
      </w:r>
      <w:r w:rsidDel="00000000" w:rsidR="00000000" w:rsidRPr="00000000">
        <w:rPr>
          <w:rtl w:val="0"/>
        </w:rPr>
        <w:t xml:space="preserve">benefits, work-life</w:t>
      </w:r>
      <w:r w:rsidDel="00000000" w:rsidR="00000000" w:rsidRPr="00000000">
        <w:rPr>
          <w:rtl w:val="0"/>
        </w:rPr>
        <w:t xml:space="preserve"> balance and career growth. Many factors are both push and pull and contribute to retention. To support retention the people manager, recruitment advisor, and the employment relations case advisor can work together.</w:t>
      </w:r>
    </w:p>
    <w:p w:rsidR="00000000" w:rsidDel="00000000" w:rsidP="00000000" w:rsidRDefault="00000000" w:rsidRPr="00000000" w14:paraId="00000042">
      <w:pPr>
        <w:jc w:val="both"/>
        <w:rPr/>
      </w:pPr>
      <w:r w:rsidDel="00000000" w:rsidR="00000000" w:rsidRPr="00000000">
        <w:rPr>
          <w:rtl w:val="0"/>
        </w:rPr>
      </w:r>
    </w:p>
    <w:p w:rsidR="00000000" w:rsidDel="00000000" w:rsidP="00000000" w:rsidRDefault="00000000" w:rsidRPr="00000000" w14:paraId="00000043">
      <w:pPr>
        <w:jc w:val="both"/>
        <w:rPr/>
      </w:pPr>
      <w:r w:rsidDel="00000000" w:rsidR="00000000" w:rsidRPr="00000000">
        <w:rPr>
          <w:rtl w:val="0"/>
        </w:rPr>
        <w:t xml:space="preserve">The people manager is important in retention, as they provide ongoing support for employees </w:t>
      </w:r>
      <w:r w:rsidDel="00000000" w:rsidR="00000000" w:rsidRPr="00000000">
        <w:rPr>
          <w:rtl w:val="0"/>
        </w:rPr>
        <w:t xml:space="preserve">(Rasdi et al, 2018)</w:t>
      </w:r>
      <w:r w:rsidDel="00000000" w:rsidR="00000000" w:rsidRPr="00000000">
        <w:rPr>
          <w:rtl w:val="0"/>
        </w:rPr>
        <w:t xml:space="preserve">. People managers are often those who encourage motivation and a positive culture. Kirsten's management style was key in retention, as it encouraged wellbeing and support. However, CG’s approach was opposite and lacked trust and productivity. They could better support employees by aiming to regain their trust by focusing on employee voice and ensuring that previous employees still feel valued </w:t>
      </w:r>
      <w:r w:rsidDel="00000000" w:rsidR="00000000" w:rsidRPr="00000000">
        <w:rPr>
          <w:rtl w:val="0"/>
        </w:rPr>
        <w:t xml:space="preserve">(Ta’amneh et al, 2024)</w:t>
      </w:r>
      <w:r w:rsidDel="00000000" w:rsidR="00000000" w:rsidRPr="00000000">
        <w:rPr>
          <w:rtl w:val="0"/>
        </w:rPr>
        <w:t xml:space="preserve">. They can also ensure that workloads are being correctly managed, as this caused a strain on employees and was a key driver of employee attrition </w:t>
      </w:r>
      <w:r w:rsidDel="00000000" w:rsidR="00000000" w:rsidRPr="00000000">
        <w:rPr>
          <w:rtl w:val="0"/>
        </w:rPr>
        <w:t xml:space="preserve">(Setiawan et al, 2022)</w:t>
      </w:r>
      <w:r w:rsidDel="00000000" w:rsidR="00000000" w:rsidRPr="00000000">
        <w:rPr>
          <w:rtl w:val="0"/>
        </w:rPr>
        <w:t xml:space="preserve">.</w:t>
      </w:r>
    </w:p>
    <w:p w:rsidR="00000000" w:rsidDel="00000000" w:rsidP="00000000" w:rsidRDefault="00000000" w:rsidRPr="00000000" w14:paraId="00000044">
      <w:pPr>
        <w:jc w:val="both"/>
        <w:rPr/>
      </w:pPr>
      <w:r w:rsidDel="00000000" w:rsidR="00000000" w:rsidRPr="00000000">
        <w:rPr>
          <w:rtl w:val="0"/>
        </w:rPr>
      </w:r>
    </w:p>
    <w:p w:rsidR="00000000" w:rsidDel="00000000" w:rsidP="00000000" w:rsidRDefault="00000000" w:rsidRPr="00000000" w14:paraId="00000045">
      <w:pPr>
        <w:jc w:val="both"/>
        <w:rPr/>
      </w:pPr>
      <w:r w:rsidDel="00000000" w:rsidR="00000000" w:rsidRPr="00000000">
        <w:rPr>
          <w:rtl w:val="0"/>
        </w:rPr>
        <w:t xml:space="preserve">The recruitment advisor is important as the efficiency in recruitment and onboarding can be a key factor for retention. CH valued the person, whereas CG valued qualifications. The importance of this stage is that if the applicant does not share the same values and view on culture as the organisation, they will be less likely to stay. If retention is high, recruitment is often rushed, which could impact the quality of employees, causing constant recruitment campaigns. The recruitment advisor could better support retention by viewing feedback from exit interviews to understand why employees leave. This can show what may need improvement such as how the induction from onboarding is carried out, this may affect reputation and then retention. Open communication on what is available, such as benefits and opportunities, would be beneficial at this stage </w:t>
      </w:r>
      <w:r w:rsidDel="00000000" w:rsidR="00000000" w:rsidRPr="00000000">
        <w:rPr>
          <w:rtl w:val="0"/>
        </w:rPr>
        <w:t xml:space="preserve">(CIPD, 2024)</w:t>
      </w:r>
      <w:r w:rsidDel="00000000" w:rsidR="00000000" w:rsidRPr="00000000">
        <w:rPr>
          <w:rtl w:val="0"/>
        </w:rPr>
        <w:t xml:space="preserve">. </w:t>
      </w:r>
    </w:p>
    <w:p w:rsidR="00000000" w:rsidDel="00000000" w:rsidP="00000000" w:rsidRDefault="00000000" w:rsidRPr="00000000" w14:paraId="00000046">
      <w:pPr>
        <w:ind w:left="0" w:firstLine="0"/>
        <w:jc w:val="both"/>
        <w:rPr/>
      </w:pPr>
      <w:r w:rsidDel="00000000" w:rsidR="00000000" w:rsidRPr="00000000">
        <w:rPr>
          <w:rtl w:val="0"/>
        </w:rPr>
      </w:r>
    </w:p>
    <w:p w:rsidR="00000000" w:rsidDel="00000000" w:rsidP="00000000" w:rsidRDefault="00000000" w:rsidRPr="00000000" w14:paraId="00000047">
      <w:pPr>
        <w:jc w:val="both"/>
        <w:rPr/>
      </w:pPr>
      <w:r w:rsidDel="00000000" w:rsidR="00000000" w:rsidRPr="00000000">
        <w:rPr>
          <w:rtl w:val="0"/>
        </w:rPr>
        <w:t xml:space="preserve">Lastly, an employment relations case advisor can play a role, particularly in how issues such as disciplinary actions, grievances or organisational changes are handled. Policies and procedures and employee voice was not communicated efficiently across the organisation. This can cause uncertainty and can affect wellbeing amongst employees; so require more support in CG. To better support the retention stage, the ERAs can communicate changes to reduce anxiety and focus on wider development and support by following up with both the employer and employees to understand what areas can be improved. Lastly, a key area of success in retention is strategic alignment. All teams must be aware and regularly communicate regarding strategies to ensure that these are followed correctly </w:t>
      </w:r>
      <w:r w:rsidDel="00000000" w:rsidR="00000000" w:rsidRPr="00000000">
        <w:rPr>
          <w:rtl w:val="0"/>
        </w:rPr>
        <w:t xml:space="preserve">(Catalino et al, 2022)</w:t>
      </w:r>
      <w:r w:rsidDel="00000000" w:rsidR="00000000" w:rsidRPr="00000000">
        <w:rPr>
          <w:rtl w:val="0"/>
        </w:rPr>
        <w:t xml:space="preserve">.</w:t>
      </w:r>
    </w:p>
    <w:p w:rsidR="00000000" w:rsidDel="00000000" w:rsidP="00000000" w:rsidRDefault="00000000" w:rsidRPr="00000000" w14:paraId="00000048">
      <w:pPr>
        <w:jc w:val="both"/>
        <w:rPr/>
      </w:pPr>
      <w:r w:rsidDel="00000000" w:rsidR="00000000" w:rsidRPr="00000000">
        <w:rPr>
          <w:rtl w:val="0"/>
        </w:rPr>
      </w:r>
    </w:p>
    <w:p w:rsidR="00000000" w:rsidDel="00000000" w:rsidP="00000000" w:rsidRDefault="00000000" w:rsidRPr="00000000" w14:paraId="00000049">
      <w:pPr>
        <w:jc w:val="both"/>
        <w:rPr/>
      </w:pPr>
      <w:r w:rsidDel="00000000" w:rsidR="00000000" w:rsidRPr="00000000">
        <w:rPr>
          <w:rtl w:val="0"/>
        </w:rPr>
      </w:r>
    </w:p>
    <w:p w:rsidR="00000000" w:rsidDel="00000000" w:rsidP="00000000" w:rsidRDefault="00000000" w:rsidRPr="00000000" w14:paraId="0000004A">
      <w:pPr>
        <w:jc w:val="both"/>
        <w:rPr>
          <w:b w:val="1"/>
          <w:bCs w:val="1"/>
        </w:rPr>
      </w:pPr>
      <w:r w:rsidDel="00000000" w:rsidR="00000000" w:rsidRPr="00000000">
        <w:rPr>
          <w:b w:val="1"/>
          <w:bCs w:val="1"/>
          <w:rtl w:val="0"/>
        </w:rPr>
        <w:t xml:space="preserve">(AC 3.2)</w:t>
      </w:r>
    </w:p>
    <w:p w:rsidR="00000000" w:rsidDel="00000000" w:rsidP="00000000" w:rsidRDefault="00000000" w:rsidRPr="00000000" w14:paraId="0000004B">
      <w:pPr>
        <w:jc w:val="both"/>
        <w:rPr/>
      </w:pPr>
      <w:r w:rsidDel="00000000" w:rsidR="00000000" w:rsidRPr="00000000">
        <w:rPr>
          <w:rtl w:val="0"/>
        </w:rPr>
        <w:t xml:space="preserve">When looking at how people's practices could </w:t>
      </w:r>
      <w:r w:rsidDel="00000000" w:rsidR="00000000" w:rsidRPr="00000000">
        <w:rPr>
          <w:rtl w:val="0"/>
        </w:rPr>
        <w:t xml:space="preserve">help Chaffinch</w:t>
      </w:r>
      <w:r w:rsidDel="00000000" w:rsidR="00000000" w:rsidRPr="00000000">
        <w:rPr>
          <w:rtl w:val="0"/>
        </w:rPr>
        <w:t xml:space="preserve"> Group fill 100% of residents' rooms within six months, we can look at vertical and horizontal integration. Vertical integration looks at how the organisation's business goals aligns with their people management strategies. Horizontal integration is where the organisation's policies and practices align with each other.</w:t>
      </w:r>
    </w:p>
    <w:p w:rsidR="00000000" w:rsidDel="00000000" w:rsidP="00000000" w:rsidRDefault="00000000" w:rsidRPr="00000000" w14:paraId="0000004C">
      <w:pPr>
        <w:jc w:val="both"/>
        <w:rPr/>
      </w:pPr>
      <w:r w:rsidDel="00000000" w:rsidR="00000000" w:rsidRPr="00000000">
        <w:rPr>
          <w:rtl w:val="0"/>
        </w:rPr>
      </w:r>
    </w:p>
    <w:p w:rsidR="00000000" w:rsidDel="00000000" w:rsidP="00000000" w:rsidRDefault="00000000" w:rsidRPr="00000000" w14:paraId="0000004D">
      <w:pPr>
        <w:jc w:val="both"/>
        <w:rPr/>
      </w:pPr>
      <w:r w:rsidDel="00000000" w:rsidR="00000000" w:rsidRPr="00000000">
        <w:rPr>
          <w:rtl w:val="0"/>
        </w:rPr>
        <w:t xml:space="preserve">Vertical integration for CG is understanding what strategies can be put in place to align with its business goal. A main area to focus on is recruitment strategies and to assess their current strategy, as this has knock-on effects on the residents. Recruitment will need to focus on value-based recruitment, as this will help CG recruit the right fit for their company. Being clear, concise and communicating with employees during recruitment would provide confidence and lead to a good reputation, therefore, encouraging families to feel confident recommending CG, slowly increasing the fill of residents' rooms, aligning with their goal </w:t>
      </w:r>
      <w:r w:rsidDel="00000000" w:rsidR="00000000" w:rsidRPr="00000000">
        <w:rPr>
          <w:rtl w:val="0"/>
        </w:rPr>
        <w:t xml:space="preserve">(Gajdosikova, 2021)</w:t>
      </w:r>
      <w:r w:rsidDel="00000000" w:rsidR="00000000" w:rsidRPr="00000000">
        <w:rPr>
          <w:rtl w:val="0"/>
        </w:rPr>
        <w:t xml:space="preserve">. Within vertical integration, we can look at the training and development strategies, ensuring that employees feel confident enough in their role to provide high-standard care, again, allowing employees to feel valued and creating a better reputation. Management can vertically integrate these strategies by promoting effective recruitment campaigns and training programmes which align with their goal. Management must agree with their strategies in recruitment, training and communication; otherwise, these strategies will not meet 100% of their goal. Strategic alignment is key.</w:t>
      </w:r>
      <w:r w:rsidDel="00000000" w:rsidR="00000000" w:rsidRPr="00000000">
        <w:rPr>
          <w:rtl w:val="0"/>
        </w:rPr>
      </w:r>
    </w:p>
    <w:p w:rsidR="00000000" w:rsidDel="00000000" w:rsidP="00000000" w:rsidRDefault="00000000" w:rsidRPr="00000000" w14:paraId="0000004E">
      <w:pPr>
        <w:jc w:val="both"/>
        <w:rPr/>
      </w:pPr>
      <w:r w:rsidDel="00000000" w:rsidR="00000000" w:rsidRPr="00000000">
        <w:rPr>
          <w:rtl w:val="0"/>
        </w:rPr>
      </w:r>
    </w:p>
    <w:p w:rsidR="00000000" w:rsidDel="00000000" w:rsidP="00000000" w:rsidRDefault="00000000" w:rsidRPr="00000000" w14:paraId="0000004F">
      <w:pPr>
        <w:jc w:val="both"/>
        <w:rPr/>
      </w:pPr>
      <w:r w:rsidDel="00000000" w:rsidR="00000000" w:rsidRPr="00000000">
        <w:rPr>
          <w:rtl w:val="0"/>
        </w:rPr>
        <w:t xml:space="preserve">Horizontal integration is how these policies and practices align with each other to meet business goals. While in vertical integration, they focus on providing confidence and a good reputation in their recruitment, horizontal integration makes sure that processes are in place for these to happen. To do this, CG needs to ensure that the processes and policies are implemented into their onboarding and induction process, making it clear of the expectations of employees and linking these to company values. CG could also focus on employee wellbeing by implementing reward and learning and development processes such as mandatory and optional training, benefits linked to performance and ensuring these are communicated efficiently across all employees </w:t>
      </w:r>
      <w:r w:rsidDel="00000000" w:rsidR="00000000" w:rsidRPr="00000000">
        <w:rPr>
          <w:rtl w:val="0"/>
        </w:rPr>
        <w:t xml:space="preserve">(Carbone et al, 2025)</w:t>
      </w:r>
      <w:r w:rsidDel="00000000" w:rsidR="00000000" w:rsidRPr="00000000">
        <w:rPr>
          <w:rtl w:val="0"/>
        </w:rPr>
        <w:t xml:space="preserve">. Linking to employee wellbeing, CG needs to focus on better people management procedures to better manage workloads as, in the current state, workloads are increased due to a lack of successful recruitment. Applying and aligning processes, such as with recruitment and L+D would benefit CG in many ways which would improve their brand reputation, convincing customers to stay and sign up, therefore potentially meeting their business goal of filling 100% of residents rooms.</w:t>
      </w:r>
    </w:p>
    <w:p w:rsidR="00000000" w:rsidDel="00000000" w:rsidP="00000000" w:rsidRDefault="00000000" w:rsidRPr="00000000" w14:paraId="00000050">
      <w:pPr>
        <w:jc w:val="both"/>
        <w:rPr/>
      </w:pPr>
      <w:r w:rsidDel="00000000" w:rsidR="00000000" w:rsidRPr="00000000">
        <w:rPr>
          <w:rtl w:val="0"/>
        </w:rPr>
      </w:r>
    </w:p>
    <w:p w:rsidR="00000000" w:rsidDel="00000000" w:rsidP="00000000" w:rsidRDefault="00000000" w:rsidRPr="00000000" w14:paraId="00000051">
      <w:pPr>
        <w:jc w:val="both"/>
        <w:rPr/>
      </w:pPr>
      <w:r w:rsidDel="00000000" w:rsidR="00000000" w:rsidRPr="00000000">
        <w:rPr>
          <w:rtl w:val="0"/>
        </w:rPr>
      </w:r>
    </w:p>
    <w:p w:rsidR="00000000" w:rsidDel="00000000" w:rsidP="00000000" w:rsidRDefault="00000000" w:rsidRPr="00000000" w14:paraId="00000052">
      <w:pPr>
        <w:jc w:val="both"/>
        <w:rPr/>
      </w:pPr>
      <w:r w:rsidDel="00000000" w:rsidR="00000000" w:rsidRPr="00000000">
        <w:rPr>
          <w:rtl w:val="0"/>
        </w:rPr>
      </w:r>
    </w:p>
    <w:p w:rsidR="00000000" w:rsidDel="00000000" w:rsidP="00000000" w:rsidRDefault="00000000" w:rsidRPr="00000000" w14:paraId="00000053">
      <w:pPr>
        <w:jc w:val="both"/>
        <w:rPr>
          <w:b w:val="1"/>
          <w:bCs w:val="1"/>
        </w:rPr>
      </w:pPr>
      <w:r w:rsidDel="00000000" w:rsidR="00000000" w:rsidRPr="00000000">
        <w:rPr>
          <w:b w:val="1"/>
          <w:bCs w:val="1"/>
          <w:rtl w:val="0"/>
        </w:rPr>
        <w:t xml:space="preserve">(AC 3.3)</w:t>
      </w:r>
    </w:p>
    <w:p w:rsidR="00000000" w:rsidDel="00000000" w:rsidP="00000000" w:rsidRDefault="00000000" w:rsidRPr="00000000" w14:paraId="00000054">
      <w:pPr>
        <w:jc w:val="both"/>
        <w:rPr/>
      </w:pPr>
      <w:r w:rsidDel="00000000" w:rsidR="00000000" w:rsidRPr="00000000">
        <w:rPr>
          <w:rtl w:val="0"/>
        </w:rPr>
        <w:t xml:space="preserve">To understand why employee turnover increased at Calmere House, Kath could consult and engage with employees using two methods. One-to-One meetings are an opportunity for employees to privately address concerns or feedback to their employer. Kath could use this to understand why they feel that turnover has increased and can strategically plan on how to overcome this </w:t>
      </w:r>
      <w:r w:rsidDel="00000000" w:rsidR="00000000" w:rsidRPr="00000000">
        <w:rPr>
          <w:rtl w:val="0"/>
        </w:rPr>
        <w:t xml:space="preserve">(Kravets, 2025)</w:t>
      </w:r>
      <w:r w:rsidDel="00000000" w:rsidR="00000000" w:rsidRPr="00000000">
        <w:rPr>
          <w:rtl w:val="0"/>
        </w:rPr>
        <w:t xml:space="preserve">. The benefits of this consultation is that this was used under Kirsten's management and engaged employees. Reimplementing this will allow Kath to understand employee feelings caused by the increased workloads and sickness absence. This would also provide a safe space for employees to address their concerns around the lack of employee voice and increase trust </w:t>
      </w:r>
      <w:r w:rsidDel="00000000" w:rsidR="00000000" w:rsidRPr="00000000">
        <w:rPr>
          <w:rtl w:val="0"/>
        </w:rPr>
        <w:t xml:space="preserve">(Kato et al, 2025)</w:t>
      </w:r>
      <w:r w:rsidDel="00000000" w:rsidR="00000000" w:rsidRPr="00000000">
        <w:rPr>
          <w:rtl w:val="0"/>
        </w:rPr>
        <w:t xml:space="preserve">. Using this for exit interviews would also be beneficial as this would create an honest discussion to understand directly from the employee why they are leaving. There is one main disadvantage of this approach and this is that some employees may feel that they cannot be honest without repercussions and this would not be an effective way of engaging with employees.</w:t>
      </w:r>
    </w:p>
    <w:p w:rsidR="00000000" w:rsidDel="00000000" w:rsidP="00000000" w:rsidRDefault="00000000" w:rsidRPr="00000000" w14:paraId="00000055">
      <w:pPr>
        <w:jc w:val="both"/>
        <w:rPr/>
      </w:pPr>
      <w:r w:rsidDel="00000000" w:rsidR="00000000" w:rsidRPr="00000000">
        <w:rPr>
          <w:rtl w:val="0"/>
        </w:rPr>
      </w:r>
    </w:p>
    <w:p w:rsidR="00000000" w:rsidDel="00000000" w:rsidP="00000000" w:rsidRDefault="00000000" w:rsidRPr="00000000" w14:paraId="00000056">
      <w:pPr>
        <w:jc w:val="both"/>
        <w:rPr/>
      </w:pPr>
      <w:r w:rsidDel="00000000" w:rsidR="00000000" w:rsidRPr="00000000">
        <w:rPr>
          <w:rtl w:val="0"/>
        </w:rPr>
        <w:t xml:space="preserve">Employee surveys are also a consultative way to engage employees on increased turnover. This is an anonymous method which is used to improve employee experience and engagement </w:t>
      </w:r>
      <w:r w:rsidDel="00000000" w:rsidR="00000000" w:rsidRPr="00000000">
        <w:rPr>
          <w:rtl w:val="0"/>
        </w:rPr>
        <w:t xml:space="preserve">(Frampton et al, 2017)</w:t>
      </w:r>
      <w:r w:rsidDel="00000000" w:rsidR="00000000" w:rsidRPr="00000000">
        <w:rPr>
          <w:rtl w:val="0"/>
        </w:rPr>
        <w:t xml:space="preserve">. The benefits of Kath using this method is that it allows employees to engage anonymously, providing a more personalised and private experience and is a qualitative method which can gather data across the entire organisation </w:t>
      </w:r>
      <w:r w:rsidDel="00000000" w:rsidR="00000000" w:rsidRPr="00000000">
        <w:rPr>
          <w:rtl w:val="0"/>
        </w:rPr>
        <w:t xml:space="preserve">(CIPD, 2025)</w:t>
      </w:r>
      <w:r w:rsidDel="00000000" w:rsidR="00000000" w:rsidRPr="00000000">
        <w:rPr>
          <w:rtl w:val="0"/>
        </w:rPr>
        <w:t xml:space="preserve">. It can help identify issues such as morale, lack of communication and overall job dissatisfaction without the employee having to talk to a manager directly if they do not want to. However, a disadvantage of this method is that employees may not engage as they may feel that feedback will not be acted upon. There are also fears from employees that the surveys are not 100% anonymous </w:t>
      </w:r>
      <w:r w:rsidDel="00000000" w:rsidR="00000000" w:rsidRPr="00000000">
        <w:rPr>
          <w:rtl w:val="0"/>
        </w:rPr>
        <w:t xml:space="preserve">(De Waal, 2014)</w:t>
      </w:r>
      <w:r w:rsidDel="00000000" w:rsidR="00000000" w:rsidRPr="00000000">
        <w:rPr>
          <w:rtl w:val="0"/>
        </w:rPr>
        <w:t xml:space="preserve">. These disadvantages may decrease employee engagement.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spacing w:after="240" w:line="360" w:lineRule="auto"/>
        <w:jc w:val="both"/>
        <w:rPr>
          <w:i w:val="1"/>
          <w:iCs w:val="1"/>
          <w:sz w:val="24"/>
          <w:szCs w:val="24"/>
        </w:rPr>
      </w:pPr>
      <w:r w:rsidDel="00000000" w:rsidR="00000000" w:rsidRPr="00000000">
        <w:rPr>
          <w:i w:val="1"/>
          <w:iCs w:val="1"/>
          <w:sz w:val="24"/>
          <w:szCs w:val="24"/>
          <w:rtl w:val="0"/>
        </w:rPr>
        <w:t xml:space="preserve">Reference List:</w:t>
      </w:r>
    </w:p>
    <w:p w:rsidR="00000000" w:rsidDel="00000000" w:rsidP="00000000" w:rsidRDefault="00000000" w:rsidRPr="00000000" w14:paraId="0000006B">
      <w:pPr>
        <w:numPr>
          <w:ilvl w:val="0"/>
          <w:numId w:val="1"/>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Alomar, D., Almashmoum, M., Eleftheriou, I., Whelan, P. and Anisworth, J. (2024). The Influence of Patient Access to Electronic Health Records on Health Care Engagement: A Systematic Review. </w:t>
      </w:r>
      <w:r w:rsidDel="00000000" w:rsidR="00000000" w:rsidRPr="00000000">
        <w:rPr>
          <w:rFonts w:ascii="Times New Roman" w:cs="Times New Roman" w:eastAsia="Times New Roman" w:hAnsi="Times New Roman"/>
          <w:i w:val="1"/>
          <w:iCs w:val="1"/>
          <w:sz w:val="24"/>
          <w:szCs w:val="24"/>
          <w:rtl w:val="0"/>
        </w:rPr>
        <w:t xml:space="preserve">Journal of Medical Internet Research</w:t>
      </w:r>
      <w:r w:rsidDel="00000000" w:rsidR="00000000" w:rsidRPr="00000000">
        <w:rPr>
          <w:rFonts w:ascii="Times New Roman" w:cs="Times New Roman" w:eastAsia="Times New Roman" w:hAnsi="Times New Roman"/>
          <w:sz w:val="24"/>
          <w:szCs w:val="24"/>
          <w:rtl w:val="0"/>
        </w:rPr>
        <w:t xml:space="preserve">, 26.</w:t>
      </w:r>
    </w:p>
    <w:p w:rsidR="00000000" w:rsidDel="00000000" w:rsidP="00000000" w:rsidRDefault="00000000" w:rsidRPr="00000000" w14:paraId="0000006C">
      <w:pPr>
        <w:numPr>
          <w:ilvl w:val="0"/>
          <w:numId w:val="1"/>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Anders Bach-Mortensen, Goodair, B., Esposti, M.D. and Walker, C.C. (2025). ‘Resident funding and care home quality: A retrospective observational analysis of the impact of the two-tier care system in England’. Available at: </w:t>
      </w:r>
      <w:hyperlink r:id="rId7">
        <w:r w:rsidDel="00000000" w:rsidR="00000000" w:rsidRPr="00000000">
          <w:rPr>
            <w:rFonts w:ascii="Times New Roman" w:cs="Times New Roman" w:eastAsia="Times New Roman" w:hAnsi="Times New Roman"/>
            <w:color w:val="1155cc"/>
            <w:sz w:val="24"/>
            <w:szCs w:val="24"/>
            <w:u w:val="single"/>
            <w:rtl w:val="0"/>
          </w:rPr>
          <w:t xml:space="preserve">https://doi.org/10.1093/ageing/afaf100</w:t>
        </w:r>
      </w:hyperlink>
      <w:r w:rsidDel="00000000" w:rsidR="00000000" w:rsidRPr="00000000">
        <w:rPr>
          <w:rtl w:val="0"/>
        </w:rPr>
      </w:r>
    </w:p>
    <w:p w:rsidR="00000000" w:rsidDel="00000000" w:rsidP="00000000" w:rsidRDefault="00000000" w:rsidRPr="00000000" w14:paraId="0000006D">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Ariestyadi, R., and Taufik, T.A. (2021). Change Management Strategy With ADKAR Model in E-Catalogue System Implementation. ResearchGate. Available at: https://www.researchgate.net/publication/359657168_CHANGE_MANAGEMENT_STRATEGY_WITH_ADKAR_MODEL_IN_E-CATALOGUE_SYSTEM_IMPLEMENTATION (Accesed 25 November 2025)</w:t>
      </w:r>
    </w:p>
    <w:p w:rsidR="00000000" w:rsidDel="00000000" w:rsidP="00000000" w:rsidRDefault="00000000" w:rsidRPr="00000000" w14:paraId="0000006E">
      <w:pPr>
        <w:numPr>
          <w:ilvl w:val="0"/>
          <w:numId w:val="1"/>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BusinessGuide360 (2024). </w:t>
      </w:r>
      <w:r w:rsidDel="00000000" w:rsidR="00000000" w:rsidRPr="00000000">
        <w:rPr>
          <w:rFonts w:ascii="Times New Roman" w:cs="Times New Roman" w:eastAsia="Times New Roman" w:hAnsi="Times New Roman"/>
          <w:i w:val="1"/>
          <w:iCs w:val="1"/>
          <w:sz w:val="24"/>
          <w:szCs w:val="24"/>
          <w:rtl w:val="0"/>
        </w:rPr>
        <w:t xml:space="preserve">What Is A Potential Downfall When Using A SWOT Analysis? -</w:t>
      </w:r>
      <w:r w:rsidDel="00000000" w:rsidR="00000000" w:rsidRPr="00000000">
        <w:rPr>
          <w:rFonts w:ascii="Times New Roman" w:cs="Times New Roman" w:eastAsia="Times New Roman" w:hAnsi="Times New Roman"/>
          <w:sz w:val="24"/>
          <w:szCs w:val="24"/>
          <w:rtl w:val="0"/>
        </w:rPr>
        <w:t xml:space="preserve">YouTube Available at: https://www.youtube.com/watch?v=ScHroNLev20 [Accessed 17 Nov. 2025].</w:t>
      </w:r>
    </w:p>
    <w:p w:rsidR="00000000" w:rsidDel="00000000" w:rsidP="00000000" w:rsidRDefault="00000000" w:rsidRPr="00000000" w14:paraId="0000006F">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Carbone, G. and Quaglia, G. (2025). Proceedings of I4SDG Workshop 2025 - IFToMM for Sustainable Development Goals. Springer Nature. Available at: </w:t>
      </w:r>
      <w:hyperlink r:id="rId8">
        <w:r w:rsidDel="00000000" w:rsidR="00000000" w:rsidRPr="00000000">
          <w:rPr>
            <w:rFonts w:ascii="Times New Roman" w:cs="Times New Roman" w:eastAsia="Times New Roman" w:hAnsi="Times New Roman"/>
            <w:color w:val="1155cc"/>
            <w:sz w:val="24"/>
            <w:szCs w:val="24"/>
            <w:highlight w:val="white"/>
            <w:u w:val="single"/>
            <w:rtl w:val="0"/>
          </w:rPr>
          <w:t xml:space="preserve">https://doi.org/10.1007/978-3-031-91151-4</w:t>
        </w:r>
      </w:hyperlink>
      <w:r w:rsidDel="00000000" w:rsidR="00000000" w:rsidRPr="00000000">
        <w:rPr>
          <w:rtl w:val="0"/>
        </w:rPr>
      </w:r>
    </w:p>
    <w:p w:rsidR="00000000" w:rsidDel="00000000" w:rsidP="00000000" w:rsidRDefault="00000000" w:rsidRPr="00000000" w14:paraId="00000070">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Carreno, A.M. (2024). </w:t>
      </w:r>
      <w:r w:rsidDel="00000000" w:rsidR="00000000" w:rsidRPr="00000000">
        <w:rPr>
          <w:rFonts w:ascii="Times New Roman" w:cs="Times New Roman" w:eastAsia="Times New Roman" w:hAnsi="Times New Roman"/>
          <w:i w:val="1"/>
          <w:iCs w:val="1"/>
          <w:sz w:val="24"/>
          <w:szCs w:val="24"/>
          <w:rtl w:val="0"/>
        </w:rPr>
        <w:t xml:space="preserve">An Analytical Review of John Kotter’s Change Leadership Framework: A Modern Approach to Sustainability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ResearchGate. Available at: https://www.researchgate.net/publication/384065104_An_Analytical_Review_of_John_Kotter (Accessed: 25 November 2025)</w:t>
      </w:r>
    </w:p>
    <w:p w:rsidR="00000000" w:rsidDel="00000000" w:rsidP="00000000" w:rsidRDefault="00000000" w:rsidRPr="00000000" w14:paraId="00000071">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Catalino, N., Gardner, N., Goldstein, D. and Wong, J. (2022). </w:t>
      </w:r>
      <w:r w:rsidDel="00000000" w:rsidR="00000000" w:rsidRPr="00000000">
        <w:rPr>
          <w:rFonts w:ascii="Times New Roman" w:cs="Times New Roman" w:eastAsia="Times New Roman" w:hAnsi="Times New Roman"/>
          <w:i w:val="1"/>
          <w:iCs w:val="1"/>
          <w:sz w:val="24"/>
          <w:szCs w:val="24"/>
          <w:rtl w:val="0"/>
        </w:rPr>
        <w:t xml:space="preserve">People &amp; Organisational Performance Practice</w:t>
      </w:r>
      <w:r w:rsidDel="00000000" w:rsidR="00000000" w:rsidRPr="00000000">
        <w:rPr>
          <w:rFonts w:ascii="Times New Roman" w:cs="Times New Roman" w:eastAsia="Times New Roman" w:hAnsi="Times New Roman"/>
          <w:sz w:val="24"/>
          <w:szCs w:val="24"/>
          <w:rtl w:val="0"/>
        </w:rPr>
        <w:t xml:space="preserve">. Available at: https://cecp.co/wp-content/uploads/2023/07/McKinsey-Effective-ERGs-Are-Key-To-Inclusion.pdf (Accessed: 29 November  2025)</w:t>
      </w:r>
    </w:p>
    <w:p w:rsidR="00000000" w:rsidDel="00000000" w:rsidP="00000000" w:rsidRDefault="00000000" w:rsidRPr="00000000" w14:paraId="00000072">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Chavan, S. and Shubhasheesh (2022). </w:t>
      </w:r>
      <w:r w:rsidDel="00000000" w:rsidR="00000000" w:rsidRPr="00000000">
        <w:rPr>
          <w:rFonts w:ascii="Times New Roman" w:cs="Times New Roman" w:eastAsia="Times New Roman" w:hAnsi="Times New Roman"/>
          <w:i w:val="1"/>
          <w:iCs w:val="1"/>
          <w:sz w:val="24"/>
          <w:szCs w:val="24"/>
          <w:rtl w:val="0"/>
        </w:rPr>
        <w:t xml:space="preserve">Study of employees’ behaviour during organisational change: Effects of business theatre on Kübler-Ross model. ProQuest</w:t>
      </w:r>
      <w:r w:rsidDel="00000000" w:rsidR="00000000" w:rsidRPr="00000000">
        <w:rPr>
          <w:rFonts w:ascii="Times New Roman" w:cs="Times New Roman" w:eastAsia="Times New Roman" w:hAnsi="Times New Roman"/>
          <w:sz w:val="24"/>
          <w:szCs w:val="24"/>
          <w:rtl w:val="0"/>
        </w:rPr>
        <w:t xml:space="preserve">. Available at: https://www.proquest.com/openview/54b1811bd97f9903cbb2824f26ee8bc9/1?pq-origsite=gscholar&amp;cbl=2045095 (Accessed: 26 November 2025)</w:t>
      </w:r>
    </w:p>
    <w:p w:rsidR="00000000" w:rsidDel="00000000" w:rsidP="00000000" w:rsidRDefault="00000000" w:rsidRPr="00000000" w14:paraId="00000073">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CIPD, (2017).</w:t>
      </w:r>
      <w:r w:rsidDel="00000000" w:rsidR="00000000" w:rsidRPr="00000000">
        <w:rPr>
          <w:rFonts w:ascii="Times New Roman" w:cs="Times New Roman" w:eastAsia="Times New Roman" w:hAnsi="Times New Roman"/>
          <w:i w:val="1"/>
          <w:iCs w:val="1"/>
          <w:sz w:val="24"/>
          <w:szCs w:val="24"/>
          <w:rtl w:val="0"/>
        </w:rPr>
        <w:t xml:space="preserve"> The neuroscience of change</w:t>
      </w:r>
      <w:r w:rsidDel="00000000" w:rsidR="00000000" w:rsidRPr="00000000">
        <w:rPr>
          <w:rFonts w:ascii="Times New Roman" w:cs="Times New Roman" w:eastAsia="Times New Roman" w:hAnsi="Times New Roman"/>
          <w:sz w:val="24"/>
          <w:szCs w:val="24"/>
          <w:rtl w:val="0"/>
        </w:rPr>
        <w:t xml:space="preserve">. CIPD. Available at: https://www.cipd.org/ae/views-and-insights/thought-leadership/people-profession/neuroscience-change/ (Accessed: 22 November 2025)</w:t>
      </w:r>
    </w:p>
    <w:p w:rsidR="00000000" w:rsidDel="00000000" w:rsidP="00000000" w:rsidRDefault="00000000" w:rsidRPr="00000000" w14:paraId="00000074">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CIPD, (2024). </w:t>
      </w:r>
      <w:r w:rsidDel="00000000" w:rsidR="00000000" w:rsidRPr="00000000">
        <w:rPr>
          <w:rFonts w:ascii="Times New Roman" w:cs="Times New Roman" w:eastAsia="Times New Roman" w:hAnsi="Times New Roman"/>
          <w:i w:val="1"/>
          <w:iCs w:val="1"/>
          <w:sz w:val="24"/>
          <w:szCs w:val="24"/>
          <w:rtl w:val="0"/>
        </w:rPr>
        <w:t xml:space="preserve">A Guide to Inclusive Recruitment for Employers</w:t>
      </w:r>
      <w:r w:rsidDel="00000000" w:rsidR="00000000" w:rsidRPr="00000000">
        <w:rPr>
          <w:rFonts w:ascii="Times New Roman" w:cs="Times New Roman" w:eastAsia="Times New Roman" w:hAnsi="Times New Roman"/>
          <w:sz w:val="24"/>
          <w:szCs w:val="24"/>
          <w:rtl w:val="0"/>
        </w:rPr>
        <w:t xml:space="preserve">. CIPD. Available at: https://www.cipd.org/uk/knowledge/guides/inclusive-employers/ (Accessed: 30 November 2025)</w:t>
      </w:r>
    </w:p>
    <w:p w:rsidR="00000000" w:rsidDel="00000000" w:rsidP="00000000" w:rsidRDefault="00000000" w:rsidRPr="00000000" w14:paraId="00000075">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CIPD, (2024). </w:t>
      </w:r>
      <w:r w:rsidDel="00000000" w:rsidR="00000000" w:rsidRPr="00000000">
        <w:rPr>
          <w:rFonts w:ascii="Times New Roman" w:cs="Times New Roman" w:eastAsia="Times New Roman" w:hAnsi="Times New Roman"/>
          <w:i w:val="1"/>
          <w:iCs w:val="1"/>
          <w:sz w:val="24"/>
          <w:szCs w:val="24"/>
          <w:rtl w:val="0"/>
        </w:rPr>
        <w:t xml:space="preserve">Recruitment Process Overview Factsheets</w:t>
      </w:r>
      <w:r w:rsidDel="00000000" w:rsidR="00000000" w:rsidRPr="00000000">
        <w:rPr>
          <w:rFonts w:ascii="Times New Roman" w:cs="Times New Roman" w:eastAsia="Times New Roman" w:hAnsi="Times New Roman"/>
          <w:sz w:val="24"/>
          <w:szCs w:val="24"/>
          <w:rtl w:val="0"/>
        </w:rPr>
        <w:t xml:space="preserve">. CIPD. Available at: https://www.cipd.org/uk/knowledge/factsheets/recruitment-factsheet/ (Accessed: 28 November 2025)</w:t>
      </w:r>
    </w:p>
    <w:p w:rsidR="00000000" w:rsidDel="00000000" w:rsidP="00000000" w:rsidRDefault="00000000" w:rsidRPr="00000000" w14:paraId="00000076">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CIPD, (2025)</w:t>
      </w:r>
      <w:r w:rsidDel="00000000" w:rsidR="00000000" w:rsidRPr="00000000">
        <w:rPr>
          <w:rFonts w:ascii="Times New Roman" w:cs="Times New Roman" w:eastAsia="Times New Roman" w:hAnsi="Times New Roman"/>
          <w:i w:val="1"/>
          <w:iCs w:val="1"/>
          <w:sz w:val="24"/>
          <w:szCs w:val="24"/>
          <w:rtl w:val="0"/>
        </w:rPr>
        <w:t xml:space="preserve"> Employee Engagement &amp; Motivation Factsheets</w:t>
      </w:r>
      <w:r w:rsidDel="00000000" w:rsidR="00000000" w:rsidRPr="00000000">
        <w:rPr>
          <w:rFonts w:ascii="Times New Roman" w:cs="Times New Roman" w:eastAsia="Times New Roman" w:hAnsi="Times New Roman"/>
          <w:sz w:val="24"/>
          <w:szCs w:val="24"/>
          <w:rtl w:val="0"/>
        </w:rPr>
        <w:t xml:space="preserve">. CIPD. Available at: https://www.cipd.org/uk/knowledge/factsheets/engagement-factsheet/ (Accessed: 30 November 2025)</w:t>
      </w:r>
    </w:p>
    <w:p w:rsidR="00000000" w:rsidDel="00000000" w:rsidP="00000000" w:rsidRDefault="00000000" w:rsidRPr="00000000" w14:paraId="00000077">
      <w:pPr>
        <w:keepNext w:val="1"/>
        <w:numPr>
          <w:ilvl w:val="0"/>
          <w:numId w:val="1"/>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CIPD (2021) CIPD | SWOT analysis | factsheets. Available at: </w:t>
      </w:r>
      <w:hyperlink r:id="rId9">
        <w:r w:rsidDel="00000000" w:rsidR="00000000" w:rsidRPr="00000000">
          <w:rPr>
            <w:rFonts w:ascii="Times New Roman" w:cs="Times New Roman" w:eastAsia="Times New Roman" w:hAnsi="Times New Roman"/>
            <w:color w:val="1155cc"/>
            <w:sz w:val="24"/>
            <w:szCs w:val="24"/>
            <w:u w:val="single"/>
            <w:rtl w:val="0"/>
          </w:rPr>
          <w:t xml:space="preserve">https://www.cipd.org/uk/knowledge/factsheets/swot-analysis-factsheet/#the-swot-framework</w:t>
        </w:r>
      </w:hyperlink>
      <w:r w:rsidDel="00000000" w:rsidR="00000000" w:rsidRPr="00000000">
        <w:rPr>
          <w:rFonts w:ascii="Times New Roman" w:cs="Times New Roman" w:eastAsia="Times New Roman" w:hAnsi="Times New Roman"/>
          <w:sz w:val="24"/>
          <w:szCs w:val="24"/>
          <w:rtl w:val="0"/>
        </w:rPr>
        <w:t xml:space="preserve">. (Accessed: 17 November 2025)</w:t>
      </w:r>
    </w:p>
    <w:p w:rsidR="00000000" w:rsidDel="00000000" w:rsidP="00000000" w:rsidRDefault="00000000" w:rsidRPr="00000000" w14:paraId="00000078">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Cropley, M., Rydstedt, L.W. and Andersen, D. (2020a). Recovery from work: Testing the effects of chronic internal and external workload on health and well-being. </w:t>
      </w:r>
      <w:r w:rsidDel="00000000" w:rsidR="00000000" w:rsidRPr="00000000">
        <w:rPr>
          <w:rFonts w:ascii="Times New Roman" w:cs="Times New Roman" w:eastAsia="Times New Roman" w:hAnsi="Times New Roman"/>
          <w:i w:val="1"/>
          <w:iCs w:val="1"/>
          <w:sz w:val="24"/>
          <w:szCs w:val="24"/>
          <w:rtl w:val="0"/>
        </w:rPr>
        <w:t xml:space="preserve">Journal of Epidemiology and Community Health</w:t>
      </w:r>
      <w:r w:rsidDel="00000000" w:rsidR="00000000" w:rsidRPr="00000000">
        <w:rPr>
          <w:rFonts w:ascii="Times New Roman" w:cs="Times New Roman" w:eastAsia="Times New Roman" w:hAnsi="Times New Roman"/>
          <w:sz w:val="24"/>
          <w:szCs w:val="24"/>
          <w:rtl w:val="0"/>
        </w:rPr>
        <w:t xml:space="preserve">. Available at: </w:t>
      </w:r>
      <w:r w:rsidDel="00000000" w:rsidR="00000000" w:rsidRPr="00000000">
        <w:rPr>
          <w:rFonts w:ascii="Times New Roman" w:cs="Times New Roman" w:eastAsia="Times New Roman" w:hAnsi="Times New Roman"/>
          <w:sz w:val="24"/>
          <w:szCs w:val="24"/>
          <w:rtl w:val="0"/>
        </w:rPr>
        <w:t xml:space="preserve">doi:</w:t>
      </w:r>
      <w:hyperlink r:id="rId10">
        <w:r w:rsidDel="00000000" w:rsidR="00000000" w:rsidRPr="00000000">
          <w:rPr>
            <w:rFonts w:ascii="Times New Roman" w:cs="Times New Roman" w:eastAsia="Times New Roman" w:hAnsi="Times New Roman"/>
            <w:color w:val="1155cc"/>
            <w:sz w:val="24"/>
            <w:szCs w:val="24"/>
            <w:u w:val="single"/>
            <w:rtl w:val="0"/>
          </w:rPr>
          <w:t xml:space="preserve">https://doi.org/10.1136/jech-2019-213367</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9">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Cropley, M., Rydstedt, L.W. and Andersen, D. (2020b). Recovery from work: testing the effects of chronic internal and external workload on health and well-being. </w:t>
      </w:r>
      <w:r w:rsidDel="00000000" w:rsidR="00000000" w:rsidRPr="00000000">
        <w:rPr>
          <w:rFonts w:ascii="Times New Roman" w:cs="Times New Roman" w:eastAsia="Times New Roman" w:hAnsi="Times New Roman"/>
          <w:i w:val="1"/>
          <w:iCs w:val="1"/>
          <w:sz w:val="24"/>
          <w:szCs w:val="24"/>
          <w:rtl w:val="0"/>
        </w:rPr>
        <w:t xml:space="preserve">Journal of Epidemiology and Community Health</w:t>
      </w:r>
      <w:r w:rsidDel="00000000" w:rsidR="00000000" w:rsidRPr="00000000">
        <w:rPr>
          <w:rFonts w:ascii="Times New Roman" w:cs="Times New Roman" w:eastAsia="Times New Roman" w:hAnsi="Times New Roman"/>
          <w:sz w:val="24"/>
          <w:szCs w:val="24"/>
          <w:rtl w:val="0"/>
        </w:rPr>
        <w:t xml:space="preserve">. Available at:</w:t>
      </w:r>
      <w:r w:rsidDel="00000000" w:rsidR="00000000" w:rsidRPr="00000000">
        <w:rPr>
          <w:rFonts w:ascii="Times New Roman" w:cs="Times New Roman" w:eastAsia="Times New Roman" w:hAnsi="Times New Roman"/>
          <w:sz w:val="24"/>
          <w:szCs w:val="24"/>
          <w:rtl w:val="0"/>
        </w:rPr>
        <w:t xml:space="preserve"> doi:</w:t>
      </w:r>
      <w:hyperlink r:id="rId11">
        <w:r w:rsidDel="00000000" w:rsidR="00000000" w:rsidRPr="00000000">
          <w:rPr>
            <w:rFonts w:ascii="Times New Roman" w:cs="Times New Roman" w:eastAsia="Times New Roman" w:hAnsi="Times New Roman"/>
            <w:color w:val="1155cc"/>
            <w:sz w:val="24"/>
            <w:szCs w:val="24"/>
            <w:u w:val="single"/>
            <w:rtl w:val="0"/>
          </w:rPr>
          <w:t xml:space="preserve">https://doi.org/10.1136/jech-2019-213367</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A">
      <w:pPr>
        <w:keepNext w:val="1"/>
        <w:numPr>
          <w:ilvl w:val="0"/>
          <w:numId w:val="1"/>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Daneshfard, K, Aboalmaali and Sadat F. (2016). </w:t>
      </w:r>
      <w:r w:rsidDel="00000000" w:rsidR="00000000" w:rsidRPr="00000000">
        <w:rPr>
          <w:rFonts w:ascii="Times New Roman" w:cs="Times New Roman" w:eastAsia="Times New Roman" w:hAnsi="Times New Roman"/>
          <w:i w:val="1"/>
          <w:iCs w:val="1"/>
          <w:sz w:val="24"/>
          <w:szCs w:val="24"/>
          <w:rtl w:val="0"/>
        </w:rPr>
        <w:t xml:space="preserve">(PDF) ‘Max Weber’s Philosophy of Bureaucracy and Its Criticism’</w:t>
      </w:r>
      <w:r w:rsidDel="00000000" w:rsidR="00000000" w:rsidRPr="00000000">
        <w:rPr>
          <w:rFonts w:ascii="Times New Roman" w:cs="Times New Roman" w:eastAsia="Times New Roman" w:hAnsi="Times New Roman"/>
          <w:sz w:val="24"/>
          <w:szCs w:val="24"/>
          <w:rtl w:val="0"/>
        </w:rPr>
        <w:t xml:space="preserve">. ResearchGate. Available at: </w:t>
      </w:r>
      <w:hyperlink r:id="rId12">
        <w:r w:rsidDel="00000000" w:rsidR="00000000" w:rsidRPr="00000000">
          <w:rPr>
            <w:rFonts w:ascii="Times New Roman" w:cs="Times New Roman" w:eastAsia="Times New Roman" w:hAnsi="Times New Roman"/>
            <w:color w:val="1155cc"/>
            <w:sz w:val="24"/>
            <w:szCs w:val="24"/>
            <w:u w:val="single"/>
            <w:rtl w:val="0"/>
          </w:rPr>
          <w:t xml:space="preserve">https://www.researchgate.net/publication/333390204_Max_Weber</w:t>
        </w:r>
      </w:hyperlink>
      <w:r w:rsidDel="00000000" w:rsidR="00000000" w:rsidRPr="00000000">
        <w:rPr>
          <w:rFonts w:ascii="Times New Roman" w:cs="Times New Roman" w:eastAsia="Times New Roman" w:hAnsi="Times New Roman"/>
          <w:sz w:val="24"/>
          <w:szCs w:val="24"/>
          <w:rtl w:val="0"/>
        </w:rPr>
        <w:t xml:space="preserve"> (Accessed 5 October 2025)</w:t>
      </w:r>
    </w:p>
    <w:p w:rsidR="00000000" w:rsidDel="00000000" w:rsidP="00000000" w:rsidRDefault="00000000" w:rsidRPr="00000000" w14:paraId="0000007B">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 Waal, A. (2014). </w:t>
      </w:r>
      <w:r w:rsidDel="00000000" w:rsidR="00000000" w:rsidRPr="00000000">
        <w:rPr>
          <w:rFonts w:ascii="Times New Roman" w:cs="Times New Roman" w:eastAsia="Times New Roman" w:hAnsi="Times New Roman"/>
          <w:i w:val="1"/>
          <w:iCs w:val="1"/>
          <w:sz w:val="24"/>
          <w:szCs w:val="24"/>
          <w:rtl w:val="0"/>
        </w:rPr>
        <w:t xml:space="preserve">The Employee Survey: Benefits, Problems in Practice, and the Relation with the High Performance Organisation</w:t>
      </w:r>
      <w:r w:rsidDel="00000000" w:rsidR="00000000" w:rsidRPr="00000000">
        <w:rPr>
          <w:rFonts w:ascii="Times New Roman" w:cs="Times New Roman" w:eastAsia="Times New Roman" w:hAnsi="Times New Roman"/>
          <w:sz w:val="24"/>
          <w:szCs w:val="24"/>
          <w:rtl w:val="0"/>
        </w:rPr>
        <w:t xml:space="preserve">. ResearchGate. Available at: 10.1108/SHR-07-2014-0041</w:t>
      </w:r>
    </w:p>
    <w:p w:rsidR="00000000" w:rsidDel="00000000" w:rsidP="00000000" w:rsidRDefault="00000000" w:rsidRPr="00000000" w14:paraId="0000007C">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Frampton, A., Fox, F., Hollowood, A., Northstone, K., Margelyte, R., Smith-Clarke, S. and Redwood, S. (2017). Using real-time, anonymous staff feedback to improve staff experience and engagement. </w:t>
      </w:r>
      <w:r w:rsidDel="00000000" w:rsidR="00000000" w:rsidRPr="00000000">
        <w:rPr>
          <w:rFonts w:ascii="Times New Roman" w:cs="Times New Roman" w:eastAsia="Times New Roman" w:hAnsi="Times New Roman"/>
          <w:i w:val="1"/>
          <w:iCs w:val="1"/>
          <w:sz w:val="24"/>
          <w:szCs w:val="24"/>
          <w:rtl w:val="0"/>
        </w:rPr>
        <w:t xml:space="preserve">BMJ Quality Improvement Reports</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tl w:val="0"/>
        </w:rPr>
        <w:t xml:space="preserve"> 6(1). Available at: </w:t>
      </w:r>
      <w:hyperlink r:id="rId13">
        <w:r w:rsidDel="00000000" w:rsidR="00000000" w:rsidRPr="00000000">
          <w:rPr>
            <w:rFonts w:ascii="Times New Roman" w:cs="Times New Roman" w:eastAsia="Times New Roman" w:hAnsi="Times New Roman"/>
            <w:color w:val="1155cc"/>
            <w:sz w:val="24"/>
            <w:szCs w:val="24"/>
            <w:u w:val="single"/>
            <w:rtl w:val="0"/>
          </w:rPr>
          <w:t xml:space="preserve">https://doi.org/10.1136/bmjquality.u220946.w7041</w:t>
        </w:r>
      </w:hyperlink>
      <w:r w:rsidDel="00000000" w:rsidR="00000000" w:rsidRPr="00000000">
        <w:rPr>
          <w:rtl w:val="0"/>
        </w:rPr>
      </w:r>
    </w:p>
    <w:p w:rsidR="00000000" w:rsidDel="00000000" w:rsidP="00000000" w:rsidRDefault="00000000" w:rsidRPr="00000000" w14:paraId="0000007D">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Gajdosikova, D. (2021). The importance of communication during the hiring process as a part of global recruitment strategy. </w:t>
      </w:r>
      <w:r w:rsidDel="00000000" w:rsidR="00000000" w:rsidRPr="00000000">
        <w:rPr>
          <w:rFonts w:ascii="Times New Roman" w:cs="Times New Roman" w:eastAsia="Times New Roman" w:hAnsi="Times New Roman"/>
          <w:i w:val="1"/>
          <w:iCs w:val="1"/>
          <w:sz w:val="24"/>
          <w:szCs w:val="24"/>
          <w:rtl w:val="0"/>
        </w:rPr>
        <w:t xml:space="preserve">SHS Web of Conferences</w:t>
      </w:r>
      <w:r w:rsidDel="00000000" w:rsidR="00000000" w:rsidRPr="00000000">
        <w:rPr>
          <w:rFonts w:ascii="Times New Roman" w:cs="Times New Roman" w:eastAsia="Times New Roman" w:hAnsi="Times New Roman"/>
          <w:sz w:val="24"/>
          <w:szCs w:val="24"/>
          <w:rtl w:val="0"/>
        </w:rPr>
        <w:t xml:space="preserve">, 129(1). Available at: </w:t>
      </w:r>
      <w:hyperlink r:id="rId14">
        <w:r w:rsidDel="00000000" w:rsidR="00000000" w:rsidRPr="00000000">
          <w:rPr>
            <w:rFonts w:ascii="Times New Roman" w:cs="Times New Roman" w:eastAsia="Times New Roman" w:hAnsi="Times New Roman"/>
            <w:color w:val="1155cc"/>
            <w:sz w:val="24"/>
            <w:szCs w:val="24"/>
            <w:u w:val="single"/>
            <w:rtl w:val="0"/>
          </w:rPr>
          <w:t xml:space="preserve">https://doi.org/10.1051/shsconf/202112902005</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E">
      <w:pPr>
        <w:numPr>
          <w:ilvl w:val="0"/>
          <w:numId w:val="1"/>
        </w:numPr>
        <w:spacing w:after="0" w:afterAutospacing="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Giebel, G.D., Speckemeier, C, Abels, C., Plescher, F., Börchers, K., Wasem, J., Blase, N. and Neusser, S. (2023). ‘Problems and Barriers Related to the Use of Digital Health Applications: Scoping Review’. </w:t>
      </w:r>
      <w:r w:rsidDel="00000000" w:rsidR="00000000" w:rsidRPr="00000000">
        <w:rPr>
          <w:rFonts w:ascii="Times New Roman" w:cs="Times New Roman" w:eastAsia="Times New Roman" w:hAnsi="Times New Roman"/>
          <w:i w:val="1"/>
          <w:iCs w:val="1"/>
          <w:sz w:val="24"/>
          <w:szCs w:val="24"/>
          <w:rtl w:val="0"/>
        </w:rPr>
        <w:t xml:space="preserve">Journal of Medical Internet Research</w:t>
      </w:r>
      <w:r w:rsidDel="00000000" w:rsidR="00000000" w:rsidRPr="00000000">
        <w:rPr>
          <w:rFonts w:ascii="Times New Roman" w:cs="Times New Roman" w:eastAsia="Times New Roman" w:hAnsi="Times New Roman"/>
          <w:sz w:val="24"/>
          <w:szCs w:val="24"/>
          <w:rtl w:val="0"/>
        </w:rPr>
        <w:t xml:space="preserve">, 25(1).</w:t>
      </w:r>
    </w:p>
    <w:p w:rsidR="00000000" w:rsidDel="00000000" w:rsidP="00000000" w:rsidRDefault="00000000" w:rsidRPr="00000000" w14:paraId="0000007F">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Hamzah, N.M. and Matkhairuddin, S. (2023). Impact of Non-Financial Rewards on Employees’ Job Satisfaction. </w:t>
      </w:r>
      <w:r w:rsidDel="00000000" w:rsidR="00000000" w:rsidRPr="00000000">
        <w:rPr>
          <w:rFonts w:ascii="Times New Roman" w:cs="Times New Roman" w:eastAsia="Times New Roman" w:hAnsi="Times New Roman"/>
          <w:i w:val="1"/>
          <w:iCs w:val="1"/>
          <w:sz w:val="24"/>
          <w:szCs w:val="24"/>
          <w:rtl w:val="0"/>
        </w:rPr>
        <w:t xml:space="preserve">e-Academia Journal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12(2), pp.119–132. Available at: https://www.researchgate.net/publication/377979148_Impact_of_Non-Financial_Rewards_on_Employees (Accessed: 22 November 2025)</w:t>
      </w:r>
    </w:p>
    <w:p w:rsidR="00000000" w:rsidDel="00000000" w:rsidP="00000000" w:rsidRDefault="00000000" w:rsidRPr="00000000" w14:paraId="00000080">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Hattangadi, V. (2020). Edgar Schein’s three levels of Organizational Culture. </w:t>
      </w:r>
      <w:r w:rsidDel="00000000" w:rsidR="00000000" w:rsidRPr="00000000">
        <w:rPr>
          <w:rFonts w:ascii="Times New Roman" w:cs="Times New Roman" w:eastAsia="Times New Roman" w:hAnsi="Times New Roman"/>
          <w:i w:val="1"/>
          <w:iCs w:val="1"/>
          <w:sz w:val="24"/>
          <w:szCs w:val="24"/>
          <w:rtl w:val="0"/>
        </w:rPr>
        <w:t xml:space="preserve">Juni Khyat Journal</w:t>
      </w:r>
      <w:r w:rsidDel="00000000" w:rsidR="00000000" w:rsidRPr="00000000">
        <w:rPr>
          <w:rFonts w:ascii="Times New Roman" w:cs="Times New Roman" w:eastAsia="Times New Roman" w:hAnsi="Times New Roman"/>
          <w:sz w:val="24"/>
          <w:szCs w:val="24"/>
          <w:rtl w:val="0"/>
        </w:rPr>
        <w:t xml:space="preserve">, 10(6), pp.112–118. Available at: https://www.researchgate.net/publication/392206304_Edgar_Schein (Accessed: 21 November 2025)</w:t>
      </w:r>
    </w:p>
    <w:p w:rsidR="00000000" w:rsidDel="00000000" w:rsidP="00000000" w:rsidRDefault="00000000" w:rsidRPr="00000000" w14:paraId="00000081">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Hiatt, J. (2006). </w:t>
      </w:r>
      <w:r w:rsidDel="00000000" w:rsidR="00000000" w:rsidRPr="00000000">
        <w:rPr>
          <w:rFonts w:ascii="Times New Roman" w:cs="Times New Roman" w:eastAsia="Times New Roman" w:hAnsi="Times New Roman"/>
          <w:i w:val="1"/>
          <w:iCs w:val="1"/>
          <w:sz w:val="24"/>
          <w:szCs w:val="24"/>
          <w:rtl w:val="0"/>
        </w:rPr>
        <w:t xml:space="preserve">ADKAR: A Model for Change in Business, Government and Our Community</w:t>
      </w:r>
      <w:r w:rsidDel="00000000" w:rsidR="00000000" w:rsidRPr="00000000">
        <w:rPr>
          <w:rFonts w:ascii="Times New Roman" w:cs="Times New Roman" w:eastAsia="Times New Roman" w:hAnsi="Times New Roman"/>
          <w:sz w:val="24"/>
          <w:szCs w:val="24"/>
          <w:rtl w:val="0"/>
        </w:rPr>
        <w:t xml:space="preserve">. ResearchGate. Available at: https://www.researchgate.net/publication/237035168_ADKAR_A_Model_for_Change_in_Business_Government_and_Our_Community (Accessed: 25 November 2025)</w:t>
      </w:r>
    </w:p>
    <w:p w:rsidR="00000000" w:rsidDel="00000000" w:rsidP="00000000" w:rsidRDefault="00000000" w:rsidRPr="00000000" w14:paraId="00000082">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Japor, J.E. (2021). </w:t>
      </w:r>
      <w:r w:rsidDel="00000000" w:rsidR="00000000" w:rsidRPr="00000000">
        <w:rPr>
          <w:rFonts w:ascii="Times New Roman" w:cs="Times New Roman" w:eastAsia="Times New Roman" w:hAnsi="Times New Roman"/>
          <w:i w:val="1"/>
          <w:iCs w:val="1"/>
          <w:sz w:val="24"/>
          <w:szCs w:val="24"/>
          <w:rtl w:val="0"/>
        </w:rPr>
        <w:t xml:space="preserve">Organisational Career Growth: Literature Review and Future Agenda</w:t>
      </w:r>
      <w:r w:rsidDel="00000000" w:rsidR="00000000" w:rsidRPr="00000000">
        <w:rPr>
          <w:rFonts w:ascii="Times New Roman" w:cs="Times New Roman" w:eastAsia="Times New Roman" w:hAnsi="Times New Roman"/>
          <w:sz w:val="24"/>
          <w:szCs w:val="24"/>
          <w:rtl w:val="0"/>
        </w:rPr>
        <w:t xml:space="preserve">. Social Science Research Network. Available at: https://papers.ssrn.com/sol3/papers.cfm?abstract_id=3798345 (Accessed: 27 November 2025).</w:t>
      </w:r>
    </w:p>
    <w:p w:rsidR="00000000" w:rsidDel="00000000" w:rsidP="00000000" w:rsidRDefault="00000000" w:rsidRPr="00000000" w14:paraId="00000083">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Kato, T., Akashika, A., Yun, S., Kasahara, T., Ikeda, R. and Yamada, E. (2025). Effect of a script for managers in charge of 1-on-1 meetings on employee satisfaction. </w:t>
      </w:r>
      <w:r w:rsidDel="00000000" w:rsidR="00000000" w:rsidRPr="00000000">
        <w:rPr>
          <w:rFonts w:ascii="Times New Roman" w:cs="Times New Roman" w:eastAsia="Times New Roman" w:hAnsi="Times New Roman"/>
          <w:i w:val="1"/>
          <w:iCs w:val="1"/>
          <w:sz w:val="24"/>
          <w:szCs w:val="24"/>
          <w:rtl w:val="0"/>
        </w:rPr>
        <w:t xml:space="preserve">Strategic HR Review</w:t>
      </w:r>
      <w:r w:rsidDel="00000000" w:rsidR="00000000" w:rsidRPr="00000000">
        <w:rPr>
          <w:rFonts w:ascii="Times New Roman" w:cs="Times New Roman" w:eastAsia="Times New Roman" w:hAnsi="Times New Roman"/>
          <w:sz w:val="24"/>
          <w:szCs w:val="24"/>
          <w:rtl w:val="0"/>
        </w:rPr>
        <w:t xml:space="preserve">, pp.1–7. Available at: </w:t>
      </w:r>
      <w:hyperlink r:id="rId15">
        <w:r w:rsidDel="00000000" w:rsidR="00000000" w:rsidRPr="00000000">
          <w:rPr>
            <w:rFonts w:ascii="Times New Roman" w:cs="Times New Roman" w:eastAsia="Times New Roman" w:hAnsi="Times New Roman"/>
            <w:color w:val="1155cc"/>
            <w:sz w:val="24"/>
            <w:szCs w:val="24"/>
            <w:u w:val="single"/>
            <w:rtl w:val="0"/>
          </w:rPr>
          <w:t xml:space="preserve">https://doi.org/10.1108/shr-09-2025-0098</w:t>
        </w:r>
      </w:hyperlink>
      <w:r w:rsidDel="00000000" w:rsidR="00000000" w:rsidRPr="00000000">
        <w:rPr>
          <w:rtl w:val="0"/>
        </w:rPr>
      </w:r>
    </w:p>
    <w:p w:rsidR="00000000" w:rsidDel="00000000" w:rsidP="00000000" w:rsidRDefault="00000000" w:rsidRPr="00000000" w14:paraId="00000084">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Kotter, J. (2025). </w:t>
      </w:r>
      <w:r w:rsidDel="00000000" w:rsidR="00000000" w:rsidRPr="00000000">
        <w:rPr>
          <w:rFonts w:ascii="Times New Roman" w:cs="Times New Roman" w:eastAsia="Times New Roman" w:hAnsi="Times New Roman"/>
          <w:i w:val="1"/>
          <w:iCs w:val="1"/>
          <w:sz w:val="24"/>
          <w:szCs w:val="24"/>
          <w:rtl w:val="0"/>
        </w:rPr>
        <w:t xml:space="preserve">The 8 Steps for Leading Change</w:t>
      </w:r>
      <w:r w:rsidDel="00000000" w:rsidR="00000000" w:rsidRPr="00000000">
        <w:rPr>
          <w:rFonts w:ascii="Times New Roman" w:cs="Times New Roman" w:eastAsia="Times New Roman" w:hAnsi="Times New Roman"/>
          <w:sz w:val="24"/>
          <w:szCs w:val="24"/>
          <w:rtl w:val="0"/>
        </w:rPr>
        <w:t xml:space="preserve">. Kotter. Available at: https://www.kotterinc.com/methodology/8-steps/ (Accessed: 25 Novemeber 2025).</w:t>
      </w:r>
    </w:p>
    <w:p w:rsidR="00000000" w:rsidDel="00000000" w:rsidP="00000000" w:rsidRDefault="00000000" w:rsidRPr="00000000" w14:paraId="00000085">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Kravets, M. (2025). Analysis of the Impact of one-to-one meetings on employee retention and motivation in distributed teams. </w:t>
      </w:r>
      <w:r w:rsidDel="00000000" w:rsidR="00000000" w:rsidRPr="00000000">
        <w:rPr>
          <w:rFonts w:ascii="Times New Roman" w:cs="Times New Roman" w:eastAsia="Times New Roman" w:hAnsi="Times New Roman"/>
          <w:i w:val="1"/>
          <w:iCs w:val="1"/>
          <w:sz w:val="24"/>
          <w:szCs w:val="24"/>
          <w:rtl w:val="0"/>
        </w:rPr>
        <w:t xml:space="preserve">ResearchGate</w:t>
      </w:r>
      <w:r w:rsidDel="00000000" w:rsidR="00000000" w:rsidRPr="00000000">
        <w:rPr>
          <w:rFonts w:ascii="Times New Roman" w:cs="Times New Roman" w:eastAsia="Times New Roman" w:hAnsi="Times New Roman"/>
          <w:sz w:val="24"/>
          <w:szCs w:val="24"/>
          <w:rtl w:val="0"/>
        </w:rPr>
        <w:t xml:space="preserve">. Available at: </w:t>
      </w:r>
      <w:hyperlink r:id="rId16">
        <w:r w:rsidDel="00000000" w:rsidR="00000000" w:rsidRPr="00000000">
          <w:rPr>
            <w:rFonts w:ascii="Times New Roman" w:cs="Times New Roman" w:eastAsia="Times New Roman" w:hAnsi="Times New Roman"/>
            <w:color w:val="1155cc"/>
            <w:sz w:val="24"/>
            <w:szCs w:val="24"/>
            <w:u w:val="single"/>
            <w:rtl w:val="0"/>
          </w:rPr>
          <w:t xml:space="preserve">https://doi.org/10.5281/zenodo.14649798</w:t>
        </w:r>
      </w:hyperlink>
      <w:r w:rsidDel="00000000" w:rsidR="00000000" w:rsidRPr="00000000">
        <w:rPr>
          <w:rtl w:val="0"/>
        </w:rPr>
      </w:r>
    </w:p>
    <w:p w:rsidR="00000000" w:rsidDel="00000000" w:rsidP="00000000" w:rsidRDefault="00000000" w:rsidRPr="00000000" w14:paraId="00000086">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Lindblad, L. (2022). </w:t>
      </w:r>
      <w:r w:rsidDel="00000000" w:rsidR="00000000" w:rsidRPr="00000000">
        <w:rPr>
          <w:rFonts w:ascii="Times New Roman" w:cs="Times New Roman" w:eastAsia="Times New Roman" w:hAnsi="Times New Roman"/>
          <w:i w:val="1"/>
          <w:iCs w:val="1"/>
          <w:sz w:val="24"/>
          <w:szCs w:val="24"/>
          <w:rtl w:val="0"/>
        </w:rPr>
        <w:t xml:space="preserve">A Map for Tackling the Change Curve in a Complex Organisation</w:t>
      </w:r>
      <w:r w:rsidDel="00000000" w:rsidR="00000000" w:rsidRPr="00000000">
        <w:rPr>
          <w:rFonts w:ascii="Times New Roman" w:cs="Times New Roman" w:eastAsia="Times New Roman" w:hAnsi="Times New Roman"/>
          <w:sz w:val="24"/>
          <w:szCs w:val="24"/>
          <w:rtl w:val="0"/>
        </w:rPr>
        <w:t xml:space="preserve">. Available at: https://www.theseus.fi/bitstream/handle/10024/781033/Lindblad_Lilli.pdf?sequence=2&amp;isAllowed=y (Accessed: 26 November 2025)</w:t>
      </w:r>
    </w:p>
    <w:p w:rsidR="00000000" w:rsidDel="00000000" w:rsidP="00000000" w:rsidRDefault="00000000" w:rsidRPr="00000000" w14:paraId="00000087">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Malone, E. (2018). The Kubler-Ross change curve and the flipped classroom: Moving students past the pit of despair. </w:t>
      </w:r>
      <w:r w:rsidDel="00000000" w:rsidR="00000000" w:rsidRPr="00000000">
        <w:rPr>
          <w:rFonts w:ascii="Times New Roman" w:cs="Times New Roman" w:eastAsia="Times New Roman" w:hAnsi="Times New Roman"/>
          <w:i w:val="1"/>
          <w:iCs w:val="1"/>
          <w:sz w:val="24"/>
          <w:szCs w:val="24"/>
          <w:rtl w:val="0"/>
        </w:rPr>
        <w:t xml:space="preserve">Education in the Health Professions</w:t>
      </w:r>
      <w:r w:rsidDel="00000000" w:rsidR="00000000" w:rsidRPr="00000000">
        <w:rPr>
          <w:rFonts w:ascii="Times New Roman" w:cs="Times New Roman" w:eastAsia="Times New Roman" w:hAnsi="Times New Roman"/>
          <w:sz w:val="24"/>
          <w:szCs w:val="24"/>
          <w:rtl w:val="0"/>
        </w:rPr>
        <w:t xml:space="preserve">, 1(2), pp.36–40. Available at: </w:t>
      </w:r>
      <w:hyperlink r:id="rId17">
        <w:r w:rsidDel="00000000" w:rsidR="00000000" w:rsidRPr="00000000">
          <w:rPr>
            <w:rFonts w:ascii="Times New Roman" w:cs="Times New Roman" w:eastAsia="Times New Roman" w:hAnsi="Times New Roman"/>
            <w:color w:val="1155cc"/>
            <w:sz w:val="24"/>
            <w:szCs w:val="24"/>
            <w:u w:val="single"/>
            <w:rtl w:val="0"/>
          </w:rPr>
          <w:t xml:space="preserve">https://doi.org/10.4103/ehp.ehp_26_18</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88">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Mayne, M. (2025). </w:t>
      </w:r>
      <w:r w:rsidDel="00000000" w:rsidR="00000000" w:rsidRPr="00000000">
        <w:rPr>
          <w:rFonts w:ascii="Times New Roman" w:cs="Times New Roman" w:eastAsia="Times New Roman" w:hAnsi="Times New Roman"/>
          <w:i w:val="1"/>
          <w:iCs w:val="1"/>
          <w:sz w:val="24"/>
          <w:szCs w:val="24"/>
          <w:rtl w:val="0"/>
        </w:rPr>
        <w:t xml:space="preserve">Young people prioritising purpose and wellbeing in careers, survey finds – so how can businesses support them?</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Peoplemanagement.co.uk. Available at: https://www.peoplemanagement.co.uk/article/1909835/young-people-prioritising-purpose-wellbeing-careers-survey-finds-%E2%80%93-so-businesses-support-them (Accessed: 27 November 2025)</w:t>
      </w:r>
    </w:p>
    <w:p w:rsidR="00000000" w:rsidDel="00000000" w:rsidP="00000000" w:rsidRDefault="00000000" w:rsidRPr="00000000" w14:paraId="00000089">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Morrison, E.W. (2014). </w:t>
      </w:r>
      <w:r w:rsidDel="00000000" w:rsidR="00000000" w:rsidRPr="00000000">
        <w:rPr>
          <w:rFonts w:ascii="Times New Roman" w:cs="Times New Roman" w:eastAsia="Times New Roman" w:hAnsi="Times New Roman"/>
          <w:i w:val="1"/>
          <w:iCs w:val="1"/>
          <w:sz w:val="24"/>
          <w:szCs w:val="24"/>
          <w:rtl w:val="0"/>
        </w:rPr>
        <w:t xml:space="preserve">Employee Voice and Silence</w:t>
      </w:r>
      <w:r w:rsidDel="00000000" w:rsidR="00000000" w:rsidRPr="00000000">
        <w:rPr>
          <w:rFonts w:ascii="Times New Roman" w:cs="Times New Roman" w:eastAsia="Times New Roman" w:hAnsi="Times New Roman"/>
          <w:sz w:val="24"/>
          <w:szCs w:val="24"/>
          <w:rtl w:val="0"/>
        </w:rPr>
        <w:t xml:space="preserve">. ResearchGate. Available at: </w:t>
      </w:r>
      <w:hyperlink r:id="rId18">
        <w:r w:rsidDel="00000000" w:rsidR="00000000" w:rsidRPr="00000000">
          <w:rPr>
            <w:rFonts w:ascii="Times New Roman" w:cs="Times New Roman" w:eastAsia="Times New Roman" w:hAnsi="Times New Roman"/>
            <w:color w:val="1155cc"/>
            <w:sz w:val="24"/>
            <w:szCs w:val="24"/>
            <w:u w:val="single"/>
            <w:rtl w:val="0"/>
          </w:rPr>
          <w:t xml:space="preserve">https://www.researchgate.net/publication/275508087_Employee_Voice_and_Silence</w:t>
        </w:r>
      </w:hyperlink>
      <w:r w:rsidDel="00000000" w:rsidR="00000000" w:rsidRPr="00000000">
        <w:rPr>
          <w:rFonts w:ascii="Times New Roman" w:cs="Times New Roman" w:eastAsia="Times New Roman" w:hAnsi="Times New Roman"/>
          <w:sz w:val="24"/>
          <w:szCs w:val="24"/>
          <w:rtl w:val="0"/>
        </w:rPr>
        <w:t xml:space="preserve"> (Accessed: 30 November 2025).</w:t>
      </w:r>
    </w:p>
    <w:p w:rsidR="00000000" w:rsidDel="00000000" w:rsidP="00000000" w:rsidRDefault="00000000" w:rsidRPr="00000000" w14:paraId="0000008A">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Mutomorro (2023). </w:t>
      </w:r>
      <w:r w:rsidDel="00000000" w:rsidR="00000000" w:rsidRPr="00000000">
        <w:rPr>
          <w:rFonts w:ascii="Times New Roman" w:cs="Times New Roman" w:eastAsia="Times New Roman" w:hAnsi="Times New Roman"/>
          <w:i w:val="1"/>
          <w:iCs w:val="1"/>
          <w:sz w:val="24"/>
          <w:szCs w:val="24"/>
          <w:rtl w:val="0"/>
        </w:rPr>
        <w:t xml:space="preserve">Edgar Schein’s Culture Model - Mutomorro</w:t>
      </w:r>
      <w:r w:rsidDel="00000000" w:rsidR="00000000" w:rsidRPr="00000000">
        <w:rPr>
          <w:rFonts w:ascii="Times New Roman" w:cs="Times New Roman" w:eastAsia="Times New Roman" w:hAnsi="Times New Roman"/>
          <w:sz w:val="24"/>
          <w:szCs w:val="24"/>
          <w:rtl w:val="0"/>
        </w:rPr>
        <w:t xml:space="preserve">. Mutomorro. Available at: https://mutomorro.com/tools/edgar-scheins-culture-model/ (Accessed: 21 November 2025)</w:t>
      </w:r>
    </w:p>
    <w:p w:rsidR="00000000" w:rsidDel="00000000" w:rsidP="00000000" w:rsidRDefault="00000000" w:rsidRPr="00000000" w14:paraId="0000008B">
      <w:pPr>
        <w:numPr>
          <w:ilvl w:val="0"/>
          <w:numId w:val="1"/>
        </w:numPr>
        <w:spacing w:after="0" w:afterAutospacing="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Obiekwe, O, Zeb-Obipi I and Ejo-Orusa, H. (2019). ‘</w:t>
      </w:r>
      <w:r w:rsidDel="00000000" w:rsidR="00000000" w:rsidRPr="00000000">
        <w:rPr>
          <w:rFonts w:ascii="Times New Roman" w:cs="Times New Roman" w:eastAsia="Times New Roman" w:hAnsi="Times New Roman"/>
          <w:sz w:val="24"/>
          <w:szCs w:val="24"/>
          <w:rtl w:val="0"/>
        </w:rPr>
        <w:t xml:space="preserve">Employee Involvement In Organizations: Benefits, Challenges And Implications’.</w:t>
      </w:r>
    </w:p>
    <w:p w:rsidR="00000000" w:rsidDel="00000000" w:rsidP="00000000" w:rsidRDefault="00000000" w:rsidRPr="00000000" w14:paraId="0000008C">
      <w:pPr>
        <w:numPr>
          <w:ilvl w:val="0"/>
          <w:numId w:val="1"/>
        </w:numPr>
        <w:spacing w:after="0" w:afterAutospacing="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Office, H. (2025). ‘Monthly entry clearance visa applications’. GOV.UK. Available at:</w:t>
      </w:r>
      <w:hyperlink r:id="rId19">
        <w:r w:rsidDel="00000000" w:rsidR="00000000" w:rsidRPr="00000000">
          <w:rPr>
            <w:rFonts w:ascii="Times New Roman" w:cs="Times New Roman" w:eastAsia="Times New Roman" w:hAnsi="Times New Roman"/>
            <w:color w:val="1155cc"/>
            <w:sz w:val="24"/>
            <w:szCs w:val="24"/>
            <w:u w:val="single"/>
            <w:rtl w:val="0"/>
          </w:rPr>
          <w:t xml:space="preserve">https://www.gov.uk/government/statistics/monthly-entry-clearance-visa-applications-october-2025/monthly-entry-clearance-visa-applications-october-2025</w:t>
        </w:r>
      </w:hyperlink>
      <w:r w:rsidDel="00000000" w:rsidR="00000000" w:rsidRPr="00000000">
        <w:rPr>
          <w:rFonts w:ascii="Times New Roman" w:cs="Times New Roman" w:eastAsia="Times New Roman" w:hAnsi="Times New Roman"/>
          <w:sz w:val="24"/>
          <w:szCs w:val="24"/>
          <w:rtl w:val="0"/>
        </w:rPr>
        <w:t xml:space="preserve"> (Accessed 18 November 2025).</w:t>
      </w:r>
    </w:p>
    <w:p w:rsidR="00000000" w:rsidDel="00000000" w:rsidP="00000000" w:rsidRDefault="00000000" w:rsidRPr="00000000" w14:paraId="0000008D">
      <w:pPr>
        <w:numPr>
          <w:ilvl w:val="0"/>
          <w:numId w:val="1"/>
        </w:numPr>
        <w:spacing w:after="0" w:afterAutospacing="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Office for National Statistics (2023). ‘</w:t>
      </w:r>
      <w:r w:rsidDel="00000000" w:rsidR="00000000" w:rsidRPr="00000000">
        <w:rPr>
          <w:rFonts w:ascii="Times New Roman" w:cs="Times New Roman" w:eastAsia="Times New Roman" w:hAnsi="Times New Roman"/>
          <w:i w:val="1"/>
          <w:iCs w:val="1"/>
          <w:sz w:val="24"/>
          <w:szCs w:val="24"/>
          <w:rtl w:val="0"/>
        </w:rPr>
        <w:t xml:space="preserve">Older People Living in Care Homes in 2021 and Changes since 2011’ Office for National Statistics</w:t>
      </w:r>
      <w:r w:rsidDel="00000000" w:rsidR="00000000" w:rsidRPr="00000000">
        <w:rPr>
          <w:rFonts w:ascii="Times New Roman" w:cs="Times New Roman" w:eastAsia="Times New Roman" w:hAnsi="Times New Roman"/>
          <w:sz w:val="24"/>
          <w:szCs w:val="24"/>
          <w:rtl w:val="0"/>
        </w:rPr>
        <w:t xml:space="preserve">. Available at: </w:t>
      </w:r>
      <w:hyperlink r:id="rId20">
        <w:r w:rsidDel="00000000" w:rsidR="00000000" w:rsidRPr="00000000">
          <w:rPr>
            <w:rFonts w:ascii="Times New Roman" w:cs="Times New Roman" w:eastAsia="Times New Roman" w:hAnsi="Times New Roman"/>
            <w:color w:val="1155cc"/>
            <w:sz w:val="24"/>
            <w:szCs w:val="24"/>
            <w:u w:val="single"/>
            <w:rtl w:val="0"/>
          </w:rPr>
          <w:t xml:space="preserve">https://www.ons.gov.uk/peoplepopulationandcommunity/birthsdeathsandmarriages/ageing/articles/olderpeoplelivingincarehomesin2021andchangessince2011/2023-10-09</w:t>
        </w:r>
      </w:hyperlink>
      <w:r w:rsidDel="00000000" w:rsidR="00000000" w:rsidRPr="00000000">
        <w:rPr>
          <w:rFonts w:ascii="Times New Roman" w:cs="Times New Roman" w:eastAsia="Times New Roman" w:hAnsi="Times New Roman"/>
          <w:sz w:val="24"/>
          <w:szCs w:val="24"/>
          <w:rtl w:val="0"/>
        </w:rPr>
        <w:t xml:space="preserve">. (Accessed: 19 November 2025).</w:t>
      </w:r>
    </w:p>
    <w:p w:rsidR="00000000" w:rsidDel="00000000" w:rsidP="00000000" w:rsidRDefault="00000000" w:rsidRPr="00000000" w14:paraId="0000008E">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Rasdi, R.M. and Chen, Y.S. (2018). People Management for Managing Employees’ Retention in the Organizations. </w:t>
      </w:r>
      <w:r w:rsidDel="00000000" w:rsidR="00000000" w:rsidRPr="00000000">
        <w:rPr>
          <w:rFonts w:ascii="Times New Roman" w:cs="Times New Roman" w:eastAsia="Times New Roman" w:hAnsi="Times New Roman"/>
          <w:i w:val="1"/>
          <w:iCs w:val="1"/>
          <w:sz w:val="24"/>
          <w:szCs w:val="24"/>
          <w:rtl w:val="0"/>
        </w:rPr>
        <w:t xml:space="preserve">International Journal of Academic Research in Business and Social Sciences</w:t>
      </w:r>
      <w:r w:rsidDel="00000000" w:rsidR="00000000" w:rsidRPr="00000000">
        <w:rPr>
          <w:rFonts w:ascii="Times New Roman" w:cs="Times New Roman" w:eastAsia="Times New Roman" w:hAnsi="Times New Roman"/>
          <w:sz w:val="24"/>
          <w:szCs w:val="24"/>
          <w:rtl w:val="0"/>
        </w:rPr>
        <w:t xml:space="preserve">, 8(12). Available at: </w:t>
      </w:r>
      <w:hyperlink r:id="rId21">
        <w:r w:rsidDel="00000000" w:rsidR="00000000" w:rsidRPr="00000000">
          <w:rPr>
            <w:rFonts w:ascii="Times New Roman" w:cs="Times New Roman" w:eastAsia="Times New Roman" w:hAnsi="Times New Roman"/>
            <w:color w:val="1155cc"/>
            <w:sz w:val="24"/>
            <w:szCs w:val="24"/>
            <w:u w:val="single"/>
            <w:rtl w:val="0"/>
          </w:rPr>
          <w:t xml:space="preserve">https://doi.org/10.6007/ijarbss/v8-i12/5048</w:t>
        </w:r>
      </w:hyperlink>
      <w:r w:rsidDel="00000000" w:rsidR="00000000" w:rsidRPr="00000000">
        <w:rPr>
          <w:rtl w:val="0"/>
        </w:rPr>
      </w:r>
    </w:p>
    <w:p w:rsidR="00000000" w:rsidDel="00000000" w:rsidP="00000000" w:rsidRDefault="00000000" w:rsidRPr="00000000" w14:paraId="0000008F">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Schein, E.H. (1985). </w:t>
      </w:r>
      <w:r w:rsidDel="00000000" w:rsidR="00000000" w:rsidRPr="00000000">
        <w:rPr>
          <w:rFonts w:ascii="Times New Roman" w:cs="Times New Roman" w:eastAsia="Times New Roman" w:hAnsi="Times New Roman"/>
          <w:i w:val="1"/>
          <w:iCs w:val="1"/>
          <w:sz w:val="24"/>
          <w:szCs w:val="24"/>
          <w:rtl w:val="0"/>
        </w:rPr>
        <w:t xml:space="preserve">Organizational Culture and Leadership</w:t>
      </w:r>
      <w:r w:rsidDel="00000000" w:rsidR="00000000" w:rsidRPr="00000000">
        <w:rPr>
          <w:rFonts w:ascii="Times New Roman" w:cs="Times New Roman" w:eastAsia="Times New Roman" w:hAnsi="Times New Roman"/>
          <w:sz w:val="24"/>
          <w:szCs w:val="24"/>
          <w:rtl w:val="0"/>
        </w:rPr>
        <w:t xml:space="preserve">. 1st edn. San Franciso: Jossey-Bass Publishers. Available at: https://www.researchgate.net/publication/303188862_Schein_Edgar_H_1985_Organizational_Culture_and_Leadership_San_Francisco_Jossey-Bass_Publishers (Accessed: 22 November 2025)</w:t>
      </w:r>
    </w:p>
    <w:p w:rsidR="00000000" w:rsidDel="00000000" w:rsidP="00000000" w:rsidRDefault="00000000" w:rsidRPr="00000000" w14:paraId="00000090">
      <w:pPr>
        <w:numPr>
          <w:ilvl w:val="0"/>
          <w:numId w:val="1"/>
        </w:numPr>
        <w:spacing w:after="0" w:afterAutospacing="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Schulz, E. and Radvansky, M. (2014). ‘Impact Of Ageing Populations On Silver Economy, Health And Long-Term Care Workforce’. </w:t>
      </w:r>
      <w:r w:rsidDel="00000000" w:rsidR="00000000" w:rsidRPr="00000000">
        <w:rPr>
          <w:rFonts w:ascii="Times New Roman" w:cs="Times New Roman" w:eastAsia="Times New Roman" w:hAnsi="Times New Roman"/>
          <w:i w:val="1"/>
          <w:iCs w:val="1"/>
          <w:sz w:val="24"/>
          <w:szCs w:val="24"/>
          <w:rtl w:val="0"/>
        </w:rPr>
        <w:t xml:space="preserve">Econstor. Available at: </w:t>
      </w:r>
      <w:hyperlink r:id="rId22">
        <w:r w:rsidDel="00000000" w:rsidR="00000000" w:rsidRPr="00000000">
          <w:rPr>
            <w:rFonts w:ascii="Times New Roman" w:cs="Times New Roman" w:eastAsia="Times New Roman" w:hAnsi="Times New Roman"/>
            <w:i w:val="1"/>
            <w:iCs w:val="1"/>
            <w:color w:val="1155cc"/>
            <w:sz w:val="24"/>
            <w:szCs w:val="24"/>
            <w:u w:val="single"/>
            <w:rtl w:val="0"/>
          </w:rPr>
          <w:t xml:space="preserve">https://www.econstor.eu/handle/10419/128604</w:t>
        </w:r>
      </w:hyperlink>
      <w:r w:rsidDel="00000000" w:rsidR="00000000" w:rsidRPr="00000000">
        <w:rPr>
          <w:rFonts w:ascii="Times New Roman" w:cs="Times New Roman" w:eastAsia="Times New Roman" w:hAnsi="Times New Roman"/>
          <w:i w:val="1"/>
          <w:iCs w:val="1"/>
          <w:sz w:val="24"/>
          <w:szCs w:val="24"/>
          <w:rtl w:val="0"/>
        </w:rPr>
        <w:t xml:space="preserve"> (Accessed: </w:t>
      </w:r>
      <w:r w:rsidDel="00000000" w:rsidR="00000000" w:rsidRPr="00000000">
        <w:rPr>
          <w:rFonts w:ascii="Times New Roman" w:cs="Times New Roman" w:eastAsia="Times New Roman" w:hAnsi="Times New Roman"/>
          <w:i w:val="1"/>
          <w:iCs w:val="1"/>
          <w:sz w:val="24"/>
          <w:szCs w:val="24"/>
          <w:rtl w:val="0"/>
        </w:rPr>
        <w:t xml:space="preserve">19 Novemeber</w:t>
      </w:r>
      <w:r w:rsidDel="00000000" w:rsidR="00000000" w:rsidRPr="00000000">
        <w:rPr>
          <w:rFonts w:ascii="Times New Roman" w:cs="Times New Roman" w:eastAsia="Times New Roman" w:hAnsi="Times New Roman"/>
          <w:i w:val="1"/>
          <w:iCs w:val="1"/>
          <w:sz w:val="24"/>
          <w:szCs w:val="24"/>
          <w:rtl w:val="0"/>
        </w:rPr>
        <w:t xml:space="preserve"> 2025).</w:t>
      </w:r>
      <w:r w:rsidDel="00000000" w:rsidR="00000000" w:rsidRPr="00000000">
        <w:rPr>
          <w:rtl w:val="0"/>
        </w:rPr>
      </w:r>
    </w:p>
    <w:p w:rsidR="00000000" w:rsidDel="00000000" w:rsidP="00000000" w:rsidRDefault="00000000" w:rsidRPr="00000000" w14:paraId="00000091">
      <w:pPr>
        <w:numPr>
          <w:ilvl w:val="0"/>
          <w:numId w:val="1"/>
        </w:numPr>
        <w:spacing w:after="0" w:afterAutospacing="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SCIE (2025). ‘</w:t>
      </w:r>
      <w:r w:rsidDel="00000000" w:rsidR="00000000" w:rsidRPr="00000000">
        <w:rPr>
          <w:rFonts w:ascii="Times New Roman" w:cs="Times New Roman" w:eastAsia="Times New Roman" w:hAnsi="Times New Roman"/>
          <w:i w:val="1"/>
          <w:iCs w:val="1"/>
          <w:sz w:val="24"/>
          <w:szCs w:val="24"/>
          <w:rtl w:val="0"/>
        </w:rPr>
        <w:t xml:space="preserve">Safety and safeguarding in the care home’</w:t>
      </w:r>
      <w:r w:rsidDel="00000000" w:rsidR="00000000" w:rsidRPr="00000000">
        <w:rPr>
          <w:rFonts w:ascii="Times New Roman" w:cs="Times New Roman" w:eastAsia="Times New Roman" w:hAnsi="Times New Roman"/>
          <w:sz w:val="24"/>
          <w:szCs w:val="24"/>
          <w:rtl w:val="0"/>
        </w:rPr>
        <w:t xml:space="preserve">. SCIE. Available at: </w:t>
      </w:r>
      <w:hyperlink r:id="rId23">
        <w:r w:rsidDel="00000000" w:rsidR="00000000" w:rsidRPr="00000000">
          <w:rPr>
            <w:rFonts w:ascii="Times New Roman" w:cs="Times New Roman" w:eastAsia="Times New Roman" w:hAnsi="Times New Roman"/>
            <w:color w:val="1155cc"/>
            <w:sz w:val="24"/>
            <w:szCs w:val="24"/>
            <w:u w:val="single"/>
            <w:rtl w:val="0"/>
          </w:rPr>
          <w:t xml:space="preserve">https://www.scie.org.uk/safeguarding/adults/safety-and-safeguarding-in-the-care-home/</w:t>
        </w:r>
      </w:hyperlink>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(Accessed: 19 November 2025).</w:t>
      </w:r>
      <w:r w:rsidDel="00000000" w:rsidR="00000000" w:rsidRPr="00000000">
        <w:rPr>
          <w:rtl w:val="0"/>
        </w:rPr>
      </w:r>
    </w:p>
    <w:p w:rsidR="00000000" w:rsidDel="00000000" w:rsidP="00000000" w:rsidRDefault="00000000" w:rsidRPr="00000000" w14:paraId="00000092">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Setiawan, I. and Hastuti, S. (2022). The Role of Employee Retention as Mediation on the Influence of Organizational Culture and Workload on Employee Engagement. </w:t>
      </w:r>
      <w:r w:rsidDel="00000000" w:rsidR="00000000" w:rsidRPr="00000000">
        <w:rPr>
          <w:rFonts w:ascii="Times New Roman" w:cs="Times New Roman" w:eastAsia="Times New Roman" w:hAnsi="Times New Roman"/>
          <w:i w:val="1"/>
          <w:iCs w:val="1"/>
          <w:sz w:val="24"/>
          <w:szCs w:val="24"/>
          <w:rtl w:val="0"/>
        </w:rPr>
        <w:t xml:space="preserve">Journal of Economics and Business Letters</w:t>
      </w:r>
      <w:r w:rsidDel="00000000" w:rsidR="00000000" w:rsidRPr="00000000">
        <w:rPr>
          <w:rFonts w:ascii="Times New Roman" w:cs="Times New Roman" w:eastAsia="Times New Roman" w:hAnsi="Times New Roman"/>
          <w:sz w:val="24"/>
          <w:szCs w:val="24"/>
          <w:rtl w:val="0"/>
        </w:rPr>
        <w:t xml:space="preserve">, 2(3). Available at: </w:t>
      </w:r>
      <w:hyperlink r:id="rId24">
        <w:r w:rsidDel="00000000" w:rsidR="00000000" w:rsidRPr="00000000">
          <w:rPr>
            <w:rFonts w:ascii="Times New Roman" w:cs="Times New Roman" w:eastAsia="Times New Roman" w:hAnsi="Times New Roman"/>
            <w:color w:val="1155cc"/>
            <w:sz w:val="24"/>
            <w:szCs w:val="24"/>
            <w:u w:val="single"/>
            <w:rtl w:val="0"/>
          </w:rPr>
          <w:t xml:space="preserve">https://doi.org/10.55942/jebl.v2i3.166</w:t>
        </w:r>
      </w:hyperlink>
      <w:r w:rsidDel="00000000" w:rsidR="00000000" w:rsidRPr="00000000">
        <w:rPr>
          <w:rtl w:val="0"/>
        </w:rPr>
      </w:r>
    </w:p>
    <w:p w:rsidR="00000000" w:rsidDel="00000000" w:rsidP="00000000" w:rsidRDefault="00000000" w:rsidRPr="00000000" w14:paraId="00000093">
      <w:pPr>
        <w:numPr>
          <w:ilvl w:val="0"/>
          <w:numId w:val="1"/>
        </w:numPr>
        <w:spacing w:after="0" w:afterAutospacing="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Shahvaraninasab, M. (2025). ‘A Comparative Study of Employees’ Work Motivation and Perception of Occupational Change in Hierarchical and Flat Organizations’. Available at: </w:t>
      </w:r>
      <w:r w:rsidDel="00000000" w:rsidR="00000000" w:rsidRPr="00000000">
        <w:rPr>
          <w:rFonts w:ascii="Times New Roman" w:cs="Times New Roman" w:eastAsia="Times New Roman" w:hAnsi="Times New Roman"/>
          <w:sz w:val="24"/>
          <w:szCs w:val="24"/>
          <w:rtl w:val="0"/>
        </w:rPr>
        <w:t xml:space="preserve">DOI:</w:t>
      </w:r>
      <w:hyperlink r:id="rId25">
        <w:r w:rsidDel="00000000" w:rsidR="00000000" w:rsidRPr="00000000">
          <w:rPr>
            <w:rFonts w:ascii="Times New Roman" w:cs="Times New Roman" w:eastAsia="Times New Roman" w:hAnsi="Times New Roman"/>
            <w:sz w:val="24"/>
            <w:szCs w:val="24"/>
            <w:rtl w:val="0"/>
          </w:rPr>
          <w:t xml:space="preserve">10.61838/ijbmc.v12i5.970</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4">
      <w:pPr>
        <w:numPr>
          <w:ilvl w:val="0"/>
          <w:numId w:val="1"/>
        </w:numPr>
        <w:spacing w:after="0" w:afterAutospacing="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Siddiqui, A. (2021). ‘SWOT Analysis (or SWOT Matrix) Tool as a Strategic Planning and Management Technique in the Health Care Industry and Its Advantages’. </w:t>
      </w:r>
      <w:r w:rsidDel="00000000" w:rsidR="00000000" w:rsidRPr="00000000">
        <w:rPr>
          <w:rFonts w:ascii="Times New Roman" w:cs="Times New Roman" w:eastAsia="Times New Roman" w:hAnsi="Times New Roman"/>
          <w:i w:val="1"/>
          <w:iCs w:val="1"/>
          <w:sz w:val="24"/>
          <w:szCs w:val="24"/>
          <w:rtl w:val="0"/>
        </w:rPr>
        <w:t xml:space="preserve">Biomedical Journal of Scientific &amp; Technical Research</w:t>
      </w:r>
      <w:r w:rsidDel="00000000" w:rsidR="00000000" w:rsidRPr="00000000">
        <w:rPr>
          <w:rFonts w:ascii="Times New Roman" w:cs="Times New Roman" w:eastAsia="Times New Roman" w:hAnsi="Times New Roman"/>
          <w:sz w:val="24"/>
          <w:szCs w:val="24"/>
          <w:rtl w:val="0"/>
        </w:rPr>
        <w:t xml:space="preserve">, 40(2). Available at:</w:t>
      </w:r>
      <w:r w:rsidDel="00000000" w:rsidR="00000000" w:rsidRPr="00000000">
        <w:rPr>
          <w:rFonts w:ascii="Times New Roman" w:cs="Times New Roman" w:eastAsia="Times New Roman" w:hAnsi="Times New Roman"/>
          <w:sz w:val="24"/>
          <w:szCs w:val="24"/>
          <w:rtl w:val="0"/>
        </w:rPr>
        <w:t xml:space="preserve">DOI:</w:t>
      </w:r>
      <w:hyperlink r:id="rId26">
        <w:r w:rsidDel="00000000" w:rsidR="00000000" w:rsidRPr="00000000">
          <w:rPr>
            <w:rFonts w:ascii="Times New Roman" w:cs="Times New Roman" w:eastAsia="Times New Roman" w:hAnsi="Times New Roman"/>
            <w:sz w:val="24"/>
            <w:szCs w:val="24"/>
            <w:u w:val="single"/>
            <w:rtl w:val="0"/>
          </w:rPr>
          <w:t xml:space="preserve">10.26717/BJSTR.2021.40.006419</w:t>
        </w:r>
      </w:hyperlink>
      <w:r w:rsidDel="00000000" w:rsidR="00000000" w:rsidRPr="00000000">
        <w:rPr>
          <w:rtl w:val="0"/>
        </w:rPr>
      </w:r>
    </w:p>
    <w:p w:rsidR="00000000" w:rsidDel="00000000" w:rsidP="00000000" w:rsidRDefault="00000000" w:rsidRPr="00000000" w14:paraId="00000095">
      <w:pPr>
        <w:numPr>
          <w:ilvl w:val="0"/>
          <w:numId w:val="1"/>
        </w:numPr>
        <w:spacing w:after="0" w:afterAutospacing="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Skills For Care (2025). ‘</w:t>
      </w:r>
      <w:r w:rsidDel="00000000" w:rsidR="00000000" w:rsidRPr="00000000">
        <w:rPr>
          <w:rFonts w:ascii="Times New Roman" w:cs="Times New Roman" w:eastAsia="Times New Roman" w:hAnsi="Times New Roman"/>
          <w:i w:val="1"/>
          <w:iCs w:val="1"/>
          <w:sz w:val="24"/>
          <w:szCs w:val="24"/>
          <w:rtl w:val="0"/>
        </w:rPr>
        <w:t xml:space="preserve">The size and structure of the adult social care sector and workforce in England - Workforce supply and demands trends 2024/25’</w:t>
      </w:r>
      <w:r w:rsidDel="00000000" w:rsidR="00000000" w:rsidRPr="00000000">
        <w:rPr>
          <w:rFonts w:ascii="Times New Roman" w:cs="Times New Roman" w:eastAsia="Times New Roman" w:hAnsi="Times New Roman"/>
          <w:sz w:val="24"/>
          <w:szCs w:val="24"/>
          <w:rtl w:val="0"/>
        </w:rPr>
        <w:t xml:space="preserve">. Available at: </w:t>
      </w:r>
      <w:hyperlink r:id="rId27">
        <w:r w:rsidDel="00000000" w:rsidR="00000000" w:rsidRPr="00000000">
          <w:rPr>
            <w:rFonts w:ascii="Times New Roman" w:cs="Times New Roman" w:eastAsia="Times New Roman" w:hAnsi="Times New Roman"/>
            <w:color w:val="1155cc"/>
            <w:sz w:val="24"/>
            <w:szCs w:val="24"/>
            <w:u w:val="single"/>
            <w:rtl w:val="0"/>
          </w:rPr>
          <w:t xml:space="preserve">https://www.skillsforcare.org.uk/Adult-Social-Care-Workforce-Data/workforceintelligence/resources/Reports/National/The-size-and-structure-of-the-adult-social-care-sector-and-workforce-in-England-2025.pdf</w:t>
        </w:r>
      </w:hyperlink>
      <w:r w:rsidDel="00000000" w:rsidR="00000000" w:rsidRPr="00000000">
        <w:rPr>
          <w:rFonts w:ascii="Times New Roman" w:cs="Times New Roman" w:eastAsia="Times New Roman" w:hAnsi="Times New Roman"/>
          <w:sz w:val="24"/>
          <w:szCs w:val="24"/>
          <w:rtl w:val="0"/>
        </w:rPr>
        <w:t xml:space="preserve"> (Accessed: 19 November 2025)</w:t>
      </w:r>
    </w:p>
    <w:p w:rsidR="00000000" w:rsidDel="00000000" w:rsidP="00000000" w:rsidRDefault="00000000" w:rsidRPr="00000000" w14:paraId="00000096">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Tarnoff, K.A., Bostwick, E.D. and Barnes, K.J. (2021). Assessment resistance: using Kubler-Ross to understand and respond. </w:t>
      </w:r>
      <w:r w:rsidDel="00000000" w:rsidR="00000000" w:rsidRPr="00000000">
        <w:rPr>
          <w:rFonts w:ascii="Times New Roman" w:cs="Times New Roman" w:eastAsia="Times New Roman" w:hAnsi="Times New Roman"/>
          <w:i w:val="1"/>
          <w:iCs w:val="1"/>
          <w:sz w:val="24"/>
          <w:szCs w:val="24"/>
          <w:rtl w:val="0"/>
        </w:rPr>
        <w:t xml:space="preserve">Organization Management Journal</w:t>
      </w:r>
      <w:r w:rsidDel="00000000" w:rsidR="00000000" w:rsidRPr="00000000">
        <w:rPr>
          <w:rFonts w:ascii="Times New Roman" w:cs="Times New Roman" w:eastAsia="Times New Roman" w:hAnsi="Times New Roman"/>
          <w:sz w:val="24"/>
          <w:szCs w:val="24"/>
          <w:rtl w:val="0"/>
        </w:rPr>
        <w:t xml:space="preserve">. Available at: </w:t>
      </w:r>
      <w:hyperlink r:id="rId28">
        <w:r w:rsidDel="00000000" w:rsidR="00000000" w:rsidRPr="00000000">
          <w:rPr>
            <w:rFonts w:ascii="Times New Roman" w:cs="Times New Roman" w:eastAsia="Times New Roman" w:hAnsi="Times New Roman"/>
            <w:color w:val="1155cc"/>
            <w:sz w:val="24"/>
            <w:szCs w:val="24"/>
            <w:u w:val="single"/>
            <w:rtl w:val="0"/>
          </w:rPr>
          <w:t xml:space="preserve">https://doi.org/10.1108/omj-03-2021-1177</w:t>
        </w:r>
      </w:hyperlink>
      <w:r w:rsidDel="00000000" w:rsidR="00000000" w:rsidRPr="00000000">
        <w:rPr>
          <w:rtl w:val="0"/>
        </w:rPr>
      </w:r>
    </w:p>
    <w:p w:rsidR="00000000" w:rsidDel="00000000" w:rsidP="00000000" w:rsidRDefault="00000000" w:rsidRPr="00000000" w14:paraId="00000097">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Ta’amneh, M., Ta’amneh, A., and Eid, A. (2024). Corporate Social Responsibility Programs and Employee Retention: The Mediating Effects of Employee Trust in Organization. </w:t>
      </w:r>
      <w:r w:rsidDel="00000000" w:rsidR="00000000" w:rsidRPr="00000000">
        <w:rPr>
          <w:rFonts w:ascii="Times New Roman" w:cs="Times New Roman" w:eastAsia="Times New Roman" w:hAnsi="Times New Roman"/>
          <w:i w:val="1"/>
          <w:iCs w:val="1"/>
          <w:sz w:val="24"/>
          <w:szCs w:val="24"/>
          <w:rtl w:val="0"/>
        </w:rPr>
        <w:t xml:space="preserve">Journal of Public Affairs</w:t>
      </w:r>
      <w:r w:rsidDel="00000000" w:rsidR="00000000" w:rsidRPr="00000000">
        <w:rPr>
          <w:rFonts w:ascii="Times New Roman" w:cs="Times New Roman" w:eastAsia="Times New Roman" w:hAnsi="Times New Roman"/>
          <w:sz w:val="24"/>
          <w:szCs w:val="24"/>
          <w:rtl w:val="0"/>
        </w:rPr>
        <w:t xml:space="preserve">, 24(4). Available at: </w:t>
      </w:r>
      <w:hyperlink r:id="rId29">
        <w:r w:rsidDel="00000000" w:rsidR="00000000" w:rsidRPr="00000000">
          <w:rPr>
            <w:rFonts w:ascii="Times New Roman" w:cs="Times New Roman" w:eastAsia="Times New Roman" w:hAnsi="Times New Roman"/>
            <w:color w:val="1155cc"/>
            <w:sz w:val="24"/>
            <w:szCs w:val="24"/>
            <w:u w:val="single"/>
            <w:rtl w:val="0"/>
          </w:rPr>
          <w:t xml:space="preserve">https://doi.org/10.1002/pa.2964</w:t>
        </w:r>
      </w:hyperlink>
      <w:r w:rsidDel="00000000" w:rsidR="00000000" w:rsidRPr="00000000">
        <w:rPr>
          <w:rtl w:val="0"/>
        </w:rPr>
      </w:r>
    </w:p>
    <w:p w:rsidR="00000000" w:rsidDel="00000000" w:rsidP="00000000" w:rsidRDefault="00000000" w:rsidRPr="00000000" w14:paraId="00000098">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Thakhathi, A. (2018). Champions of Change and Organizational Development: a Return to Schön and Typology for Future Research and Practice. </w:t>
      </w:r>
      <w:r w:rsidDel="00000000" w:rsidR="00000000" w:rsidRPr="00000000">
        <w:rPr>
          <w:rFonts w:ascii="Times New Roman" w:cs="Times New Roman" w:eastAsia="Times New Roman" w:hAnsi="Times New Roman"/>
          <w:i w:val="1"/>
          <w:iCs w:val="1"/>
          <w:sz w:val="24"/>
          <w:szCs w:val="24"/>
          <w:rtl w:val="0"/>
        </w:rPr>
        <w:t xml:space="preserve">Research in Organizational Change and Development</w:t>
      </w:r>
      <w:r w:rsidDel="00000000" w:rsidR="00000000" w:rsidRPr="00000000">
        <w:rPr>
          <w:rFonts w:ascii="Times New Roman" w:cs="Times New Roman" w:eastAsia="Times New Roman" w:hAnsi="Times New Roman"/>
          <w:sz w:val="24"/>
          <w:szCs w:val="24"/>
          <w:rtl w:val="0"/>
        </w:rPr>
        <w:t xml:space="preserve">, 26, pp.265–306. Available at: </w:t>
      </w:r>
      <w:hyperlink r:id="rId30">
        <w:r w:rsidDel="00000000" w:rsidR="00000000" w:rsidRPr="00000000">
          <w:rPr>
            <w:rFonts w:ascii="Times New Roman" w:cs="Times New Roman" w:eastAsia="Times New Roman" w:hAnsi="Times New Roman"/>
            <w:color w:val="1155cc"/>
            <w:sz w:val="24"/>
            <w:szCs w:val="24"/>
            <w:u w:val="single"/>
            <w:rtl w:val="0"/>
          </w:rPr>
          <w:t xml:space="preserve">https://doi.org/10.1108/s0897-301620180000026007</w:t>
        </w:r>
      </w:hyperlink>
      <w:r w:rsidDel="00000000" w:rsidR="00000000" w:rsidRPr="00000000">
        <w:rPr>
          <w:rtl w:val="0"/>
        </w:rPr>
      </w:r>
    </w:p>
    <w:p w:rsidR="00000000" w:rsidDel="00000000" w:rsidP="00000000" w:rsidRDefault="00000000" w:rsidRPr="00000000" w14:paraId="00000099">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Vidya Hattangadi (2020). Edgar Schein’s three levels of Organizational Culture. </w:t>
      </w:r>
      <w:r w:rsidDel="00000000" w:rsidR="00000000" w:rsidRPr="00000000">
        <w:rPr>
          <w:rFonts w:ascii="Times New Roman" w:cs="Times New Roman" w:eastAsia="Times New Roman" w:hAnsi="Times New Roman"/>
          <w:i w:val="1"/>
          <w:iCs w:val="1"/>
          <w:sz w:val="24"/>
          <w:szCs w:val="24"/>
          <w:rtl w:val="0"/>
        </w:rPr>
        <w:t xml:space="preserve">Juni Khyat Journal</w:t>
      </w:r>
      <w:r w:rsidDel="00000000" w:rsidR="00000000" w:rsidRPr="00000000">
        <w:rPr>
          <w:rFonts w:ascii="Times New Roman" w:cs="Times New Roman" w:eastAsia="Times New Roman" w:hAnsi="Times New Roman"/>
          <w:sz w:val="24"/>
          <w:szCs w:val="24"/>
          <w:rtl w:val="0"/>
        </w:rPr>
        <w:t xml:space="preserve">, 10(6), pp.112–118. Available at: https://www.researchgate.net/profile/Vidya-Hattangadi/publication/392206304_Edgar_Schein (Accessed: 22 November 2025)</w:t>
      </w:r>
    </w:p>
    <w:p w:rsidR="00000000" w:rsidDel="00000000" w:rsidP="00000000" w:rsidRDefault="00000000" w:rsidRPr="00000000" w14:paraId="0000009A">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Vuorenmaa, E. (2024). From distrust to trust: Balancing between forcing and fostering management control systems in a hostile cross-border post-acquisition integration. </w:t>
      </w:r>
      <w:r w:rsidDel="00000000" w:rsidR="00000000" w:rsidRPr="00000000">
        <w:rPr>
          <w:rFonts w:ascii="Times New Roman" w:cs="Times New Roman" w:eastAsia="Times New Roman" w:hAnsi="Times New Roman"/>
          <w:i w:val="1"/>
          <w:iCs w:val="1"/>
          <w:sz w:val="24"/>
          <w:szCs w:val="24"/>
          <w:rtl w:val="0"/>
        </w:rPr>
        <w:t xml:space="preserve">Management Accounting Research</w:t>
      </w:r>
      <w:r w:rsidDel="00000000" w:rsidR="00000000" w:rsidRPr="00000000">
        <w:rPr>
          <w:rFonts w:ascii="Times New Roman" w:cs="Times New Roman" w:eastAsia="Times New Roman" w:hAnsi="Times New Roman"/>
          <w:sz w:val="24"/>
          <w:szCs w:val="24"/>
          <w:rtl w:val="0"/>
        </w:rPr>
        <w:t xml:space="preserve">. Available at: </w:t>
      </w:r>
      <w:r w:rsidDel="00000000" w:rsidR="00000000" w:rsidRPr="00000000">
        <w:rPr>
          <w:rFonts w:ascii="Times New Roman" w:cs="Times New Roman" w:eastAsia="Times New Roman" w:hAnsi="Times New Roman"/>
          <w:sz w:val="24"/>
          <w:szCs w:val="24"/>
          <w:rtl w:val="0"/>
        </w:rPr>
        <w:t xml:space="preserve">doi:</w:t>
      </w:r>
      <w:hyperlink r:id="rId31">
        <w:r w:rsidDel="00000000" w:rsidR="00000000" w:rsidRPr="00000000">
          <w:rPr>
            <w:rFonts w:ascii="Times New Roman" w:cs="Times New Roman" w:eastAsia="Times New Roman" w:hAnsi="Times New Roman"/>
            <w:color w:val="1155cc"/>
            <w:sz w:val="24"/>
            <w:szCs w:val="24"/>
            <w:u w:val="single"/>
            <w:rtl w:val="0"/>
          </w:rPr>
          <w:t xml:space="preserve">https://doi.org/10.1016/j.mar.2024.100889</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9B">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World Health Organization (2025). </w:t>
      </w:r>
      <w:r w:rsidDel="00000000" w:rsidR="00000000" w:rsidRPr="00000000">
        <w:rPr>
          <w:rFonts w:ascii="Times New Roman" w:cs="Times New Roman" w:eastAsia="Times New Roman" w:hAnsi="Times New Roman"/>
          <w:i w:val="1"/>
          <w:iCs w:val="1"/>
          <w:sz w:val="24"/>
          <w:szCs w:val="24"/>
          <w:rtl w:val="0"/>
        </w:rPr>
        <w:t xml:space="preserve">Promoting well-being</w:t>
      </w:r>
      <w:r w:rsidDel="00000000" w:rsidR="00000000" w:rsidRPr="00000000">
        <w:rPr>
          <w:rFonts w:ascii="Times New Roman" w:cs="Times New Roman" w:eastAsia="Times New Roman" w:hAnsi="Times New Roman"/>
          <w:sz w:val="24"/>
          <w:szCs w:val="24"/>
          <w:rtl w:val="0"/>
        </w:rPr>
        <w:t xml:space="preserve">. World Health Organization. Available at: </w:t>
      </w:r>
      <w:hyperlink r:id="rId32">
        <w:r w:rsidDel="00000000" w:rsidR="00000000" w:rsidRPr="00000000">
          <w:rPr>
            <w:rFonts w:ascii="Times New Roman" w:cs="Times New Roman" w:eastAsia="Times New Roman" w:hAnsi="Times New Roman"/>
            <w:color w:val="1155cc"/>
            <w:sz w:val="24"/>
            <w:szCs w:val="24"/>
            <w:u w:val="single"/>
            <w:rtl w:val="0"/>
          </w:rPr>
          <w:t xml:space="preserve">https://www.who.int/activities/promoting-well-being</w:t>
        </w:r>
      </w:hyperlink>
      <w:r w:rsidDel="00000000" w:rsidR="00000000" w:rsidRPr="00000000">
        <w:rPr>
          <w:rFonts w:ascii="Times New Roman" w:cs="Times New Roman" w:eastAsia="Times New Roman" w:hAnsi="Times New Roman"/>
          <w:sz w:val="24"/>
          <w:szCs w:val="24"/>
          <w:rtl w:val="0"/>
        </w:rPr>
        <w:t xml:space="preserve">. (Accessed: 20 November 2025)</w:t>
      </w:r>
    </w:p>
    <w:p w:rsidR="00000000" w:rsidDel="00000000" w:rsidP="00000000" w:rsidRDefault="00000000" w:rsidRPr="00000000" w14:paraId="0000009C">
      <w:pPr>
        <w:numPr>
          <w:ilvl w:val="0"/>
          <w:numId w:val="1"/>
        </w:numPr>
        <w:spacing w:after="0" w:afterAutospacing="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Yuen, E., Street, M, Abdelrazek, M, Blencowe, P, Etienne, G., Raj Liskaser, Choudhary, N. and Considine, J. (2023). ‘Evaluating the efficacy of a digital App to enhance patient‐centred nursing handover: A simulation study’. </w:t>
      </w:r>
      <w:r w:rsidDel="00000000" w:rsidR="00000000" w:rsidRPr="00000000">
        <w:rPr>
          <w:rFonts w:ascii="Times New Roman" w:cs="Times New Roman" w:eastAsia="Times New Roman" w:hAnsi="Times New Roman"/>
          <w:i w:val="1"/>
          <w:iCs w:val="1"/>
          <w:sz w:val="24"/>
          <w:szCs w:val="24"/>
          <w:rtl w:val="0"/>
        </w:rPr>
        <w:t xml:space="preserve">Journal of Clinical Nursing</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9D">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Zlatolas, L.N., Welzer, T. and Lhotska, L. (2024). ‘Data breaches in healthcare: Security mechanisms for attack mitigation’. </w:t>
      </w:r>
      <w:r w:rsidDel="00000000" w:rsidR="00000000" w:rsidRPr="00000000">
        <w:rPr>
          <w:rFonts w:ascii="Times New Roman" w:cs="Times New Roman" w:eastAsia="Times New Roman" w:hAnsi="Times New Roman"/>
          <w:i w:val="1"/>
          <w:iCs w:val="1"/>
          <w:sz w:val="24"/>
          <w:szCs w:val="24"/>
          <w:rtl w:val="0"/>
        </w:rPr>
        <w:t xml:space="preserve">Cluster Computing</w:t>
      </w:r>
      <w:r w:rsidDel="00000000" w:rsidR="00000000" w:rsidRPr="00000000">
        <w:rPr>
          <w:rFonts w:ascii="Times New Roman" w:cs="Times New Roman" w:eastAsia="Times New Roman" w:hAnsi="Times New Roman"/>
          <w:sz w:val="24"/>
          <w:szCs w:val="24"/>
          <w:rtl w:val="0"/>
        </w:rPr>
        <w:t xml:space="preserve">. Available at: </w:t>
      </w:r>
      <w:hyperlink r:id="rId33">
        <w:r w:rsidDel="00000000" w:rsidR="00000000" w:rsidRPr="00000000">
          <w:rPr>
            <w:rFonts w:ascii="Times New Roman" w:cs="Times New Roman" w:eastAsia="Times New Roman" w:hAnsi="Times New Roman"/>
            <w:color w:val="1155cc"/>
            <w:sz w:val="24"/>
            <w:szCs w:val="24"/>
            <w:u w:val="single"/>
            <w:rtl w:val="0"/>
          </w:rPr>
          <w:t xml:space="preserve">https://link.springer.com/article/10.1007/s10586-024-04507-2</w:t>
        </w:r>
      </w:hyperlink>
      <w:r w:rsidDel="00000000" w:rsidR="00000000" w:rsidRPr="00000000">
        <w:rPr>
          <w:rFonts w:ascii="Times New Roman" w:cs="Times New Roman" w:eastAsia="Times New Roman" w:hAnsi="Times New Roman"/>
          <w:sz w:val="24"/>
          <w:szCs w:val="24"/>
          <w:rtl w:val="0"/>
        </w:rPr>
        <w:t xml:space="preserve">. (Accessed: 19 November 2025</w:t>
      </w:r>
      <w:r w:rsidDel="00000000" w:rsidR="00000000" w:rsidRPr="00000000">
        <w:rPr>
          <w:rtl w:val="0"/>
        </w:rPr>
      </w:r>
    </w:p>
    <w:p w:rsidR="00000000" w:rsidDel="00000000" w:rsidP="00000000" w:rsidRDefault="00000000" w:rsidRPr="00000000" w14:paraId="0000009E">
      <w:pPr>
        <w:keepNext w:val="1"/>
        <w:keepLines w:val="1"/>
        <w:widowControl w:val="1"/>
        <w:spacing w:line="240" w:lineRule="auto"/>
        <w:jc w:val="both"/>
        <w:rPr>
          <w:sz w:val="24"/>
          <w:szCs w:val="24"/>
        </w:rPr>
      </w:pPr>
      <w:r w:rsidDel="00000000" w:rsidR="00000000" w:rsidRPr="00000000">
        <w:rPr>
          <w:rtl w:val="0"/>
        </w:rPr>
      </w:r>
    </w:p>
    <w:sectPr>
      <w:headerReference r:id="rId34"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F">
    <w:pPr>
      <w:rPr/>
    </w:pPr>
    <w:r w:rsidDel="00000000" w:rsidR="00000000" w:rsidRPr="00000000">
      <w:rPr>
        <w:rtl w:val="0"/>
      </w:rPr>
      <w:t xml:space="preserve">Nia Griffiths - 2514493 - Organisational Performance and Culture in Practice</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ons.gov.uk/peoplepopulationandcommunity/birthsdeathsandmarriages/ageing/articles/olderpeoplelivingincarehomesin2021andchangessince2011/2023-10-09" TargetMode="External"/><Relationship Id="rId22" Type="http://schemas.openxmlformats.org/officeDocument/2006/relationships/hyperlink" Target="https://www.econstor.eu/handle/10419/128604" TargetMode="External"/><Relationship Id="rId21" Type="http://schemas.openxmlformats.org/officeDocument/2006/relationships/hyperlink" Target="https://doi.org/10.6007/ijarbss/v8-i12/5048" TargetMode="External"/><Relationship Id="rId24" Type="http://schemas.openxmlformats.org/officeDocument/2006/relationships/hyperlink" Target="https://doi.org/10.55942/jebl.v2i3.166" TargetMode="External"/><Relationship Id="rId23" Type="http://schemas.openxmlformats.org/officeDocument/2006/relationships/hyperlink" Target="https://www.scie.org.uk/safeguarding/adults/safety-and-safeguarding-in-the-care-hom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ipd.org/uk/knowledge/factsheets/swot-analysis-factsheet/#the-swot-framework" TargetMode="External"/><Relationship Id="rId26" Type="http://schemas.openxmlformats.org/officeDocument/2006/relationships/hyperlink" Target="https://doi.org/10.26717/BJSTR.2021.40.006419" TargetMode="External"/><Relationship Id="rId25" Type="http://schemas.openxmlformats.org/officeDocument/2006/relationships/hyperlink" Target="https://doi.org/10.61838/ijbmc.v12i5.970" TargetMode="External"/><Relationship Id="rId28" Type="http://schemas.openxmlformats.org/officeDocument/2006/relationships/hyperlink" Target="https://doi.org/10.1108/omj-03-2021-1177" TargetMode="External"/><Relationship Id="rId27" Type="http://schemas.openxmlformats.org/officeDocument/2006/relationships/hyperlink" Target="https://www.skillsforcare.org.uk/Adult-Social-Care-Workforce-Data/workforceintelligence/resources/Reports/National/The-size-and-structure-of-the-adult-social-care-sector-and-workforce-in-England-2025.pdf"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doi.org/10.1002/pa.2964" TargetMode="External"/><Relationship Id="rId7" Type="http://schemas.openxmlformats.org/officeDocument/2006/relationships/hyperlink" Target="https://doi.org/10.1093/ageing/afaf100" TargetMode="External"/><Relationship Id="rId8" Type="http://schemas.openxmlformats.org/officeDocument/2006/relationships/hyperlink" Target="https://doi.org/10.1007/978-3-031-91151-4" TargetMode="External"/><Relationship Id="rId31" Type="http://schemas.openxmlformats.org/officeDocument/2006/relationships/hyperlink" Target="https://doi.org/10.1016/j.mar.2024.100889" TargetMode="External"/><Relationship Id="rId30" Type="http://schemas.openxmlformats.org/officeDocument/2006/relationships/hyperlink" Target="https://doi.org/10.1108/s0897-301620180000026007" TargetMode="External"/><Relationship Id="rId11" Type="http://schemas.openxmlformats.org/officeDocument/2006/relationships/hyperlink" Target="https://doi.org/10.1136/jech-2019-213367" TargetMode="External"/><Relationship Id="rId33" Type="http://schemas.openxmlformats.org/officeDocument/2006/relationships/hyperlink" Target="https://link.springer.com/article/10.1007/s10586-024-04507-2" TargetMode="External"/><Relationship Id="rId10" Type="http://schemas.openxmlformats.org/officeDocument/2006/relationships/hyperlink" Target="https://doi.org/10.1136/jech-2019-213367" TargetMode="External"/><Relationship Id="rId32" Type="http://schemas.openxmlformats.org/officeDocument/2006/relationships/hyperlink" Target="https://www.who.int/activities/promoting-well-being" TargetMode="External"/><Relationship Id="rId13" Type="http://schemas.openxmlformats.org/officeDocument/2006/relationships/hyperlink" Target="https://doi.org/10.1136/bmjquality.u220946.w7041" TargetMode="External"/><Relationship Id="rId12" Type="http://schemas.openxmlformats.org/officeDocument/2006/relationships/hyperlink" Target="https://www.researchgate.net/publication/333390204_Max_Weber" TargetMode="External"/><Relationship Id="rId34" Type="http://schemas.openxmlformats.org/officeDocument/2006/relationships/header" Target="header1.xml"/><Relationship Id="rId15" Type="http://schemas.openxmlformats.org/officeDocument/2006/relationships/hyperlink" Target="https://doi.org/10.1108/shr-09-2025-0098" TargetMode="External"/><Relationship Id="rId14" Type="http://schemas.openxmlformats.org/officeDocument/2006/relationships/hyperlink" Target="https://doi.org/10.1051/shsconf/202112902005" TargetMode="External"/><Relationship Id="rId17" Type="http://schemas.openxmlformats.org/officeDocument/2006/relationships/hyperlink" Target="https://doi.org/10.4103/ehp.ehp_26_18" TargetMode="External"/><Relationship Id="rId16" Type="http://schemas.openxmlformats.org/officeDocument/2006/relationships/hyperlink" Target="https://doi.org/10.5281/zenodo.14649798" TargetMode="External"/><Relationship Id="rId19" Type="http://schemas.openxmlformats.org/officeDocument/2006/relationships/hyperlink" Target="https://www.gov.uk/government/statistics/monthly-entry-clearance-visa-applications-october-2025/monthly-entry-clearance-visa-applications-october-2025" TargetMode="External"/><Relationship Id="rId18" Type="http://schemas.openxmlformats.org/officeDocument/2006/relationships/hyperlink" Target="https://www.researchgate.net/publication/275508087_Employee_Voice_and_Sil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