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6DC33">
      <w:pPr>
        <w:spacing w:line="360" w:lineRule="auto"/>
        <w:jc w:val="center"/>
      </w:pPr>
      <w:r>
        <w:rPr>
          <w:rFonts w:ascii="Arial" w:hAnsi="Arial" w:eastAsia="Arial" w:cs="SimSun"/>
          <w:sz w:val="24"/>
          <w:szCs w:val="24"/>
        </w:rPr>
        <w:drawing>
          <wp:inline distT="0" distB="0" distL="114300" distR="114300">
            <wp:extent cx="3904615" cy="2169160"/>
            <wp:effectExtent l="0" t="0" r="635" b="254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7"/>
                    <a:stretch>
                      <a:fillRect/>
                    </a:stretch>
                  </pic:blipFill>
                  <pic:spPr>
                    <a:xfrm>
                      <a:off x="0" y="0"/>
                      <a:ext cx="3904615" cy="2169160"/>
                    </a:xfrm>
                    <a:prstGeom prst="rect">
                      <a:avLst/>
                    </a:prstGeom>
                    <a:noFill/>
                    <a:ln w="9525">
                      <a:noFill/>
                    </a:ln>
                  </pic:spPr>
                </pic:pic>
              </a:graphicData>
            </a:graphic>
          </wp:inline>
        </w:drawing>
      </w:r>
    </w:p>
    <w:p w14:paraId="314A668C">
      <w:pPr>
        <w:spacing w:line="360" w:lineRule="auto"/>
        <w:jc w:val="center"/>
        <w:rPr>
          <w:rFonts w:ascii="Arial" w:hAnsi="Arial" w:cs="Arial"/>
          <w:sz w:val="28"/>
          <w:szCs w:val="28"/>
        </w:rPr>
      </w:pPr>
    </w:p>
    <w:p w14:paraId="0E4CD06B">
      <w:pPr>
        <w:spacing w:line="360" w:lineRule="auto"/>
        <w:jc w:val="center"/>
        <w:rPr>
          <w:rFonts w:ascii="Arial" w:hAnsi="Arial" w:cs="Arial"/>
          <w:sz w:val="28"/>
          <w:szCs w:val="28"/>
        </w:rPr>
      </w:pPr>
    </w:p>
    <w:p w14:paraId="33E45E41">
      <w:pPr>
        <w:spacing w:line="360" w:lineRule="auto"/>
        <w:jc w:val="center"/>
        <w:rPr>
          <w:rFonts w:ascii="Arial" w:hAnsi="Arial" w:cs="Arial"/>
          <w:b/>
          <w:bCs/>
          <w:sz w:val="28"/>
          <w:szCs w:val="28"/>
        </w:rPr>
      </w:pPr>
      <w:r>
        <w:rPr>
          <w:rFonts w:ascii="Arial" w:hAnsi="Arial" w:eastAsia="Arial" w:cs="Arial"/>
          <w:b/>
          <w:bCs/>
          <w:sz w:val="28"/>
          <w:szCs w:val="28"/>
        </w:rPr>
        <w:t xml:space="preserve">Student Name: </w:t>
      </w:r>
      <w:r>
        <w:rPr>
          <w:rFonts w:ascii="Arial" w:hAnsi="Arial" w:eastAsia="Arial" w:cs="Arial"/>
          <w:b/>
          <w:bCs/>
          <w:color w:val="000000"/>
          <w:sz w:val="28"/>
          <w:szCs w:val="28"/>
        </w:rPr>
        <w:t>Arpit Verma</w:t>
      </w:r>
    </w:p>
    <w:p w14:paraId="5B00C518">
      <w:pPr>
        <w:spacing w:line="360" w:lineRule="auto"/>
        <w:jc w:val="center"/>
        <w:rPr>
          <w:rFonts w:ascii="Arial" w:hAnsi="Arial" w:eastAsia="Times New Roman" w:cs="Arial"/>
          <w:b/>
          <w:bCs/>
          <w:color w:val="000000"/>
          <w:sz w:val="28"/>
          <w:szCs w:val="28"/>
        </w:rPr>
      </w:pPr>
      <w:r>
        <w:rPr>
          <w:rFonts w:ascii="Arial" w:hAnsi="Arial" w:eastAsia="Arial" w:cs="Arial"/>
          <w:b/>
          <w:bCs/>
          <w:sz w:val="28"/>
          <w:szCs w:val="28"/>
        </w:rPr>
        <w:t xml:space="preserve">Student ID: </w:t>
      </w:r>
      <w:r>
        <w:rPr>
          <w:rFonts w:ascii="Arial" w:hAnsi="Arial" w:eastAsia="Arial" w:cs="Arial"/>
          <w:b/>
          <w:bCs/>
          <w:color w:val="000000"/>
          <w:sz w:val="28"/>
          <w:szCs w:val="28"/>
        </w:rPr>
        <w:t>2532968</w:t>
      </w:r>
    </w:p>
    <w:p w14:paraId="47960F9F">
      <w:pPr>
        <w:spacing w:line="360" w:lineRule="auto"/>
        <w:jc w:val="center"/>
        <w:rPr>
          <w:rFonts w:ascii="Arial" w:hAnsi="Arial" w:cs="Arial"/>
          <w:sz w:val="28"/>
          <w:szCs w:val="28"/>
        </w:rPr>
      </w:pPr>
    </w:p>
    <w:p w14:paraId="62E221CC">
      <w:pPr>
        <w:spacing w:line="360" w:lineRule="auto"/>
        <w:jc w:val="center"/>
        <w:rPr>
          <w:rFonts w:ascii="Arial" w:hAnsi="Arial" w:cs="Arial"/>
          <w:b/>
          <w:bCs/>
          <w:sz w:val="28"/>
          <w:szCs w:val="28"/>
        </w:rPr>
      </w:pPr>
      <w:r>
        <w:rPr>
          <w:rFonts w:ascii="Arial" w:hAnsi="Arial" w:eastAsia="Arial" w:cs="Arial"/>
          <w:b/>
          <w:bCs/>
          <w:sz w:val="28"/>
          <w:szCs w:val="28"/>
        </w:rPr>
        <w:t>Module Name: Strategic Management</w:t>
      </w:r>
    </w:p>
    <w:p w14:paraId="1837838D">
      <w:pPr>
        <w:spacing w:line="360" w:lineRule="auto"/>
        <w:jc w:val="center"/>
        <w:rPr>
          <w:rFonts w:ascii="Arial" w:hAnsi="Arial" w:eastAsia="Arial" w:cs="Arial"/>
          <w:b/>
          <w:bCs/>
          <w:sz w:val="28"/>
          <w:szCs w:val="28"/>
        </w:rPr>
      </w:pPr>
      <w:r>
        <w:rPr>
          <w:rFonts w:ascii="Arial" w:hAnsi="Arial" w:eastAsia="Arial" w:cs="Arial"/>
          <w:b/>
          <w:bCs/>
          <w:sz w:val="28"/>
          <w:szCs w:val="28"/>
        </w:rPr>
        <w:t>Module Code: LCMB7003</w:t>
      </w:r>
    </w:p>
    <w:p w14:paraId="226009FB">
      <w:pPr>
        <w:spacing w:line="360" w:lineRule="auto"/>
        <w:jc w:val="center"/>
        <w:rPr>
          <w:rFonts w:hint="default" w:ascii="Arial" w:hAnsi="Arial" w:eastAsia="Arial" w:cs="Arial"/>
          <w:b/>
          <w:bCs/>
          <w:sz w:val="28"/>
          <w:szCs w:val="28"/>
          <w:lang w:val="en-US"/>
        </w:rPr>
      </w:pPr>
      <w:r>
        <w:rPr>
          <w:rFonts w:ascii="Arial" w:hAnsi="Arial" w:eastAsia="Arial" w:cs="Arial"/>
          <w:b/>
          <w:bCs/>
          <w:sz w:val="28"/>
          <w:szCs w:val="28"/>
        </w:rPr>
        <w:t>Topic –</w:t>
      </w:r>
      <w:r>
        <w:rPr>
          <w:rFonts w:hint="default" w:ascii="Arial" w:hAnsi="Arial" w:eastAsia="Arial" w:cs="Arial"/>
          <w:b/>
          <w:bCs/>
          <w:sz w:val="28"/>
          <w:szCs w:val="28"/>
          <w:lang w:val="en-US"/>
        </w:rPr>
        <w:t xml:space="preserve"> </w:t>
      </w:r>
      <w:r>
        <w:rPr>
          <w:rFonts w:hint="default" w:ascii="Arial" w:hAnsi="Arial" w:eastAsia="Arial" w:cs="Arial"/>
          <w:b/>
          <w:bCs/>
          <w:sz w:val="28"/>
          <w:szCs w:val="28"/>
          <w:lang w:val="en-US"/>
        </w:rPr>
        <w:t>Strategic Management Analysis of Rolls-Royce Motor Cars</w:t>
      </w:r>
    </w:p>
    <w:p w14:paraId="5CAF668A">
      <w:pPr>
        <w:spacing w:line="360" w:lineRule="auto"/>
        <w:jc w:val="both"/>
        <w:rPr>
          <w:rFonts w:ascii="Arial" w:hAnsi="Arial" w:eastAsia="Arial" w:cs="Arial"/>
          <w:b/>
          <w:bCs/>
          <w:sz w:val="28"/>
          <w:szCs w:val="28"/>
        </w:rPr>
      </w:pPr>
    </w:p>
    <w:p w14:paraId="24BE760A">
      <w:pPr>
        <w:spacing w:line="360" w:lineRule="auto"/>
        <w:jc w:val="both"/>
        <w:rPr>
          <w:rFonts w:ascii="Arial" w:hAnsi="Arial" w:cs="Arial"/>
          <w:sz w:val="28"/>
          <w:szCs w:val="28"/>
        </w:rPr>
      </w:pPr>
    </w:p>
    <w:p w14:paraId="39C331DA">
      <w:pPr>
        <w:spacing w:line="360" w:lineRule="auto"/>
        <w:jc w:val="both"/>
        <w:rPr>
          <w:rFonts w:ascii="Arial" w:hAnsi="Arial" w:cs="Arial"/>
          <w:sz w:val="28"/>
          <w:szCs w:val="28"/>
        </w:rPr>
      </w:pPr>
    </w:p>
    <w:p w14:paraId="13C55519">
      <w:pPr>
        <w:spacing w:line="360" w:lineRule="auto"/>
        <w:jc w:val="center"/>
        <w:rPr>
          <w:rFonts w:hint="default" w:ascii="Arial" w:hAnsi="Arial" w:eastAsia="Arial" w:cs="Arial"/>
          <w:b/>
          <w:bCs/>
          <w:sz w:val="28"/>
          <w:szCs w:val="28"/>
          <w:lang w:val="en-US"/>
        </w:rPr>
      </w:pPr>
      <w:r>
        <w:rPr>
          <w:rFonts w:ascii="Arial" w:hAnsi="Arial" w:eastAsia="Arial" w:cs="Arial"/>
          <w:b/>
          <w:bCs/>
          <w:sz w:val="28"/>
          <w:szCs w:val="28"/>
        </w:rPr>
        <w:t>Lecturer’s Name:</w:t>
      </w:r>
      <w:r>
        <w:rPr>
          <w:rFonts w:hint="default" w:ascii="Arial" w:hAnsi="Arial" w:eastAsia="Arial" w:cs="Arial"/>
          <w:b/>
          <w:bCs/>
          <w:sz w:val="28"/>
          <w:szCs w:val="28"/>
          <w:lang w:val="en-US"/>
        </w:rPr>
        <w:t xml:space="preserve"> Dr.Amare Desta &amp;  Dr. Ghulam Mujtaba</w:t>
      </w:r>
    </w:p>
    <w:p w14:paraId="41B56A14">
      <w:pPr>
        <w:spacing w:line="360" w:lineRule="auto"/>
        <w:jc w:val="center"/>
        <w:rPr>
          <w:rFonts w:ascii="Arial" w:hAnsi="Arial" w:cs="Arial"/>
          <w:b/>
          <w:bCs/>
          <w:sz w:val="24"/>
          <w:szCs w:val="24"/>
        </w:rPr>
      </w:pPr>
    </w:p>
    <w:p w14:paraId="67B359C1">
      <w:pPr>
        <w:spacing w:line="360" w:lineRule="auto"/>
        <w:jc w:val="center"/>
        <w:rPr>
          <w:rFonts w:ascii="Arial" w:hAnsi="Arial" w:cs="Arial"/>
          <w:b/>
          <w:bCs/>
          <w:sz w:val="24"/>
          <w:szCs w:val="24"/>
        </w:rPr>
      </w:pPr>
    </w:p>
    <w:p w14:paraId="66872ECE">
      <w:pPr>
        <w:spacing w:line="360" w:lineRule="auto"/>
        <w:jc w:val="center"/>
        <w:rPr>
          <w:rFonts w:ascii="Arial" w:hAnsi="Arial" w:cs="Arial"/>
          <w:b/>
          <w:bCs/>
          <w:sz w:val="24"/>
          <w:szCs w:val="24"/>
        </w:rPr>
      </w:pPr>
    </w:p>
    <w:p w14:paraId="1BBE777B">
      <w:pPr>
        <w:spacing w:line="360" w:lineRule="auto"/>
        <w:jc w:val="center"/>
        <w:rPr>
          <w:rFonts w:ascii="Arial" w:hAnsi="Arial" w:cs="Arial"/>
          <w:b/>
          <w:bCs/>
          <w:sz w:val="24"/>
          <w:szCs w:val="24"/>
        </w:rPr>
      </w:pPr>
    </w:p>
    <w:p w14:paraId="74FA683F">
      <w:pPr>
        <w:spacing w:line="360" w:lineRule="auto"/>
        <w:jc w:val="center"/>
        <w:rPr>
          <w:rFonts w:ascii="Arial" w:hAnsi="Arial" w:cs="Arial"/>
          <w:b/>
          <w:bCs/>
          <w:sz w:val="24"/>
          <w:szCs w:val="24"/>
        </w:rPr>
      </w:pPr>
    </w:p>
    <w:p w14:paraId="457E2C6D">
      <w:pPr>
        <w:spacing w:line="360" w:lineRule="auto"/>
        <w:jc w:val="center"/>
        <w:rPr>
          <w:rFonts w:ascii="Arial" w:hAnsi="Arial" w:cs="Arial"/>
          <w:b/>
          <w:bCs/>
          <w:sz w:val="24"/>
          <w:szCs w:val="24"/>
        </w:rPr>
      </w:pPr>
    </w:p>
    <w:p w14:paraId="4B8536D9">
      <w:pPr>
        <w:spacing w:line="360" w:lineRule="auto"/>
        <w:rPr>
          <w:rFonts w:ascii="Arial" w:hAnsi="Arial" w:eastAsia="Times New Roman" w:cs="Arial"/>
          <w:b/>
          <w:bCs/>
          <w:color w:val="000000"/>
          <w:sz w:val="28"/>
          <w:szCs w:val="28"/>
          <w:lang w:val="en-US"/>
        </w:rPr>
      </w:pPr>
      <w:r>
        <w:rPr>
          <w:rFonts w:ascii="Arial" w:hAnsi="Arial" w:eastAsia="Arial" w:cs="Arial"/>
          <w:b/>
          <w:bCs/>
          <w:color w:val="000000"/>
          <w:sz w:val="24"/>
          <w:szCs w:val="28"/>
          <w:lang w:val="en-US"/>
        </w:rPr>
        <w:t>Table of Contents</w:t>
      </w:r>
    </w:p>
    <w:p w14:paraId="5095F733">
      <w:pPr>
        <w:spacing w:line="360" w:lineRule="auto"/>
        <w:rPr>
          <w:rFonts w:ascii="Arial" w:hAnsi="Arial" w:cs="Arial"/>
          <w:sz w:val="28"/>
          <w:szCs w:val="28"/>
        </w:rPr>
      </w:pPr>
    </w:p>
    <w:p w14:paraId="78601BE6">
      <w:pPr>
        <w:pStyle w:val="21"/>
        <w:tabs>
          <w:tab w:val="right" w:leader="dot" w:pos="9026"/>
        </w:tabs>
      </w:pPr>
      <w:r>
        <w:fldChar w:fldCharType="begin"/>
      </w:r>
      <w:r>
        <w:instrText xml:space="preserve">TOC \o "1-3" \h \u </w:instrText>
      </w:r>
      <w:r>
        <w:fldChar w:fldCharType="separate"/>
      </w:r>
      <w:r>
        <w:fldChar w:fldCharType="begin"/>
      </w:r>
      <w:r>
        <w:instrText xml:space="preserve"> HYPERLINK \l _Toc23282 </w:instrText>
      </w:r>
      <w:r>
        <w:fldChar w:fldCharType="separate"/>
      </w:r>
      <w:r>
        <w:rPr>
          <w:rFonts w:hint="default" w:ascii="Arial" w:hAnsi="Arial" w:cs="Arial"/>
          <w:bCs/>
          <w:szCs w:val="32"/>
        </w:rPr>
        <w:t>Executive Summary</w:t>
      </w:r>
      <w:r>
        <w:tab/>
      </w:r>
      <w:r>
        <w:fldChar w:fldCharType="begin"/>
      </w:r>
      <w:r>
        <w:instrText xml:space="preserve"> PAGEREF _Toc23282 \h </w:instrText>
      </w:r>
      <w:r>
        <w:fldChar w:fldCharType="separate"/>
      </w:r>
      <w:r>
        <w:t>4</w:t>
      </w:r>
      <w:r>
        <w:fldChar w:fldCharType="end"/>
      </w:r>
      <w:r>
        <w:fldChar w:fldCharType="end"/>
      </w:r>
    </w:p>
    <w:p w14:paraId="502AFDA0">
      <w:pPr>
        <w:pStyle w:val="21"/>
        <w:tabs>
          <w:tab w:val="right" w:leader="dot" w:pos="9026"/>
        </w:tabs>
      </w:pPr>
      <w:r>
        <w:fldChar w:fldCharType="begin"/>
      </w:r>
      <w:r>
        <w:instrText xml:space="preserve"> HYPERLINK \l _Toc8998 </w:instrText>
      </w:r>
      <w:r>
        <w:fldChar w:fldCharType="separate"/>
      </w:r>
      <w:r>
        <w:rPr>
          <w:rFonts w:hint="default" w:ascii="Arial" w:hAnsi="Arial" w:cs="Arial"/>
          <w:bCs/>
          <w:szCs w:val="32"/>
        </w:rPr>
        <w:t>Background and Organisational Context</w:t>
      </w:r>
      <w:r>
        <w:tab/>
      </w:r>
      <w:r>
        <w:fldChar w:fldCharType="begin"/>
      </w:r>
      <w:r>
        <w:instrText xml:space="preserve"> PAGEREF _Toc8998 \h </w:instrText>
      </w:r>
      <w:r>
        <w:fldChar w:fldCharType="separate"/>
      </w:r>
      <w:r>
        <w:t>5</w:t>
      </w:r>
      <w:r>
        <w:fldChar w:fldCharType="end"/>
      </w:r>
      <w:r>
        <w:fldChar w:fldCharType="end"/>
      </w:r>
    </w:p>
    <w:p w14:paraId="0AC53A12">
      <w:pPr>
        <w:pStyle w:val="21"/>
        <w:tabs>
          <w:tab w:val="right" w:leader="dot" w:pos="9026"/>
        </w:tabs>
      </w:pPr>
      <w:r>
        <w:fldChar w:fldCharType="begin"/>
      </w:r>
      <w:r>
        <w:instrText xml:space="preserve"> HYPERLINK \l _Toc19746 </w:instrText>
      </w:r>
      <w:r>
        <w:fldChar w:fldCharType="separate"/>
      </w:r>
      <w:r>
        <w:rPr>
          <w:rFonts w:hint="default" w:ascii="Arial" w:hAnsi="Arial" w:cs="Arial"/>
          <w:bCs/>
          <w:szCs w:val="32"/>
        </w:rPr>
        <w:t>External Environment Analysis – PESTEL Analysis</w:t>
      </w:r>
      <w:r>
        <w:tab/>
      </w:r>
      <w:r>
        <w:fldChar w:fldCharType="begin"/>
      </w:r>
      <w:r>
        <w:instrText xml:space="preserve"> PAGEREF _Toc19746 \h </w:instrText>
      </w:r>
      <w:r>
        <w:fldChar w:fldCharType="separate"/>
      </w:r>
      <w:r>
        <w:t>6</w:t>
      </w:r>
      <w:r>
        <w:fldChar w:fldCharType="end"/>
      </w:r>
      <w:r>
        <w:fldChar w:fldCharType="end"/>
      </w:r>
    </w:p>
    <w:p w14:paraId="2DF21FB3">
      <w:pPr>
        <w:pStyle w:val="22"/>
        <w:tabs>
          <w:tab w:val="right" w:leader="dot" w:pos="9026"/>
        </w:tabs>
      </w:pPr>
      <w:r>
        <w:fldChar w:fldCharType="begin"/>
      </w:r>
      <w:r>
        <w:instrText xml:space="preserve"> HYPERLINK \l _Toc25490 </w:instrText>
      </w:r>
      <w:r>
        <w:fldChar w:fldCharType="separate"/>
      </w:r>
      <w:r>
        <w:rPr>
          <w:rFonts w:hint="default" w:ascii="Arial" w:hAnsi="Arial" w:cs="Arial"/>
          <w:bCs/>
          <w:szCs w:val="28"/>
        </w:rPr>
        <w:t>Political Factor</w:t>
      </w:r>
      <w:r>
        <w:tab/>
      </w:r>
      <w:r>
        <w:fldChar w:fldCharType="begin"/>
      </w:r>
      <w:r>
        <w:instrText xml:space="preserve"> PAGEREF _Toc25490 \h </w:instrText>
      </w:r>
      <w:r>
        <w:fldChar w:fldCharType="separate"/>
      </w:r>
      <w:r>
        <w:t>6</w:t>
      </w:r>
      <w:r>
        <w:fldChar w:fldCharType="end"/>
      </w:r>
      <w:r>
        <w:fldChar w:fldCharType="end"/>
      </w:r>
    </w:p>
    <w:p w14:paraId="3106EE8E">
      <w:pPr>
        <w:pStyle w:val="22"/>
        <w:tabs>
          <w:tab w:val="right" w:leader="dot" w:pos="9026"/>
        </w:tabs>
      </w:pPr>
      <w:r>
        <w:fldChar w:fldCharType="begin"/>
      </w:r>
      <w:r>
        <w:instrText xml:space="preserve"> HYPERLINK \l _Toc20103 </w:instrText>
      </w:r>
      <w:r>
        <w:fldChar w:fldCharType="separate"/>
      </w:r>
      <w:r>
        <w:rPr>
          <w:rFonts w:hint="default" w:ascii="Arial" w:hAnsi="Arial" w:cs="Arial"/>
          <w:bCs/>
          <w:szCs w:val="28"/>
        </w:rPr>
        <w:t>Economic Factor</w:t>
      </w:r>
      <w:r>
        <w:tab/>
      </w:r>
      <w:r>
        <w:fldChar w:fldCharType="begin"/>
      </w:r>
      <w:r>
        <w:instrText xml:space="preserve"> PAGEREF _Toc20103 \h </w:instrText>
      </w:r>
      <w:r>
        <w:fldChar w:fldCharType="separate"/>
      </w:r>
      <w:r>
        <w:t>6</w:t>
      </w:r>
      <w:r>
        <w:fldChar w:fldCharType="end"/>
      </w:r>
      <w:r>
        <w:fldChar w:fldCharType="end"/>
      </w:r>
    </w:p>
    <w:p w14:paraId="7134E9BA">
      <w:pPr>
        <w:pStyle w:val="22"/>
        <w:tabs>
          <w:tab w:val="right" w:leader="dot" w:pos="9026"/>
        </w:tabs>
      </w:pPr>
      <w:r>
        <w:fldChar w:fldCharType="begin"/>
      </w:r>
      <w:r>
        <w:instrText xml:space="preserve"> HYPERLINK \l _Toc141 </w:instrText>
      </w:r>
      <w:r>
        <w:fldChar w:fldCharType="separate"/>
      </w:r>
      <w:r>
        <w:rPr>
          <w:rFonts w:hint="default" w:ascii="Arial" w:hAnsi="Arial" w:cs="Arial"/>
          <w:bCs/>
          <w:szCs w:val="28"/>
        </w:rPr>
        <w:t>Social Factors</w:t>
      </w:r>
      <w:r>
        <w:tab/>
      </w:r>
      <w:r>
        <w:fldChar w:fldCharType="begin"/>
      </w:r>
      <w:r>
        <w:instrText xml:space="preserve"> PAGEREF _Toc141 \h </w:instrText>
      </w:r>
      <w:r>
        <w:fldChar w:fldCharType="separate"/>
      </w:r>
      <w:r>
        <w:t>7</w:t>
      </w:r>
      <w:r>
        <w:fldChar w:fldCharType="end"/>
      </w:r>
      <w:r>
        <w:fldChar w:fldCharType="end"/>
      </w:r>
    </w:p>
    <w:p w14:paraId="49C9350D">
      <w:pPr>
        <w:pStyle w:val="22"/>
        <w:tabs>
          <w:tab w:val="right" w:leader="dot" w:pos="9026"/>
        </w:tabs>
      </w:pPr>
      <w:r>
        <w:fldChar w:fldCharType="begin"/>
      </w:r>
      <w:r>
        <w:instrText xml:space="preserve"> HYPERLINK \l _Toc22717 </w:instrText>
      </w:r>
      <w:r>
        <w:fldChar w:fldCharType="separate"/>
      </w:r>
      <w:r>
        <w:rPr>
          <w:rFonts w:hint="default" w:ascii="Arial" w:hAnsi="Arial" w:cs="Arial"/>
          <w:bCs/>
          <w:szCs w:val="28"/>
        </w:rPr>
        <w:t>Technology Factors</w:t>
      </w:r>
      <w:r>
        <w:tab/>
      </w:r>
      <w:r>
        <w:fldChar w:fldCharType="begin"/>
      </w:r>
      <w:r>
        <w:instrText xml:space="preserve"> PAGEREF _Toc22717 \h </w:instrText>
      </w:r>
      <w:r>
        <w:fldChar w:fldCharType="separate"/>
      </w:r>
      <w:r>
        <w:t>7</w:t>
      </w:r>
      <w:r>
        <w:fldChar w:fldCharType="end"/>
      </w:r>
      <w:r>
        <w:fldChar w:fldCharType="end"/>
      </w:r>
    </w:p>
    <w:p w14:paraId="78FF7894">
      <w:pPr>
        <w:pStyle w:val="22"/>
        <w:tabs>
          <w:tab w:val="right" w:leader="dot" w:pos="9026"/>
        </w:tabs>
      </w:pPr>
      <w:r>
        <w:fldChar w:fldCharType="begin"/>
      </w:r>
      <w:r>
        <w:instrText xml:space="preserve"> HYPERLINK \l _Toc28825 </w:instrText>
      </w:r>
      <w:r>
        <w:fldChar w:fldCharType="separate"/>
      </w:r>
      <w:r>
        <w:rPr>
          <w:rFonts w:hint="default" w:ascii="Arial" w:hAnsi="Arial" w:cs="Arial"/>
          <w:bCs/>
          <w:szCs w:val="28"/>
        </w:rPr>
        <w:t>Environmental Factors</w:t>
      </w:r>
      <w:r>
        <w:tab/>
      </w:r>
      <w:r>
        <w:fldChar w:fldCharType="begin"/>
      </w:r>
      <w:r>
        <w:instrText xml:space="preserve"> PAGEREF _Toc28825 \h </w:instrText>
      </w:r>
      <w:r>
        <w:fldChar w:fldCharType="separate"/>
      </w:r>
      <w:r>
        <w:t>8</w:t>
      </w:r>
      <w:r>
        <w:fldChar w:fldCharType="end"/>
      </w:r>
      <w:r>
        <w:fldChar w:fldCharType="end"/>
      </w:r>
    </w:p>
    <w:p w14:paraId="1784A276">
      <w:pPr>
        <w:pStyle w:val="22"/>
        <w:tabs>
          <w:tab w:val="right" w:leader="dot" w:pos="9026"/>
        </w:tabs>
      </w:pPr>
      <w:r>
        <w:fldChar w:fldCharType="begin"/>
      </w:r>
      <w:r>
        <w:instrText xml:space="preserve"> HYPERLINK \l _Toc17965 </w:instrText>
      </w:r>
      <w:r>
        <w:fldChar w:fldCharType="separate"/>
      </w:r>
      <w:r>
        <w:rPr>
          <w:rFonts w:hint="default" w:ascii="Arial" w:hAnsi="Arial" w:cs="Arial"/>
          <w:bCs/>
          <w:szCs w:val="28"/>
        </w:rPr>
        <w:t>Legal Factors</w:t>
      </w:r>
      <w:r>
        <w:tab/>
      </w:r>
      <w:r>
        <w:fldChar w:fldCharType="begin"/>
      </w:r>
      <w:r>
        <w:instrText xml:space="preserve"> PAGEREF _Toc17965 \h </w:instrText>
      </w:r>
      <w:r>
        <w:fldChar w:fldCharType="separate"/>
      </w:r>
      <w:r>
        <w:t>8</w:t>
      </w:r>
      <w:r>
        <w:fldChar w:fldCharType="end"/>
      </w:r>
      <w:r>
        <w:fldChar w:fldCharType="end"/>
      </w:r>
    </w:p>
    <w:p w14:paraId="4F0EE43A">
      <w:pPr>
        <w:pStyle w:val="22"/>
        <w:tabs>
          <w:tab w:val="right" w:leader="dot" w:pos="9026"/>
        </w:tabs>
      </w:pPr>
      <w:r>
        <w:fldChar w:fldCharType="begin"/>
      </w:r>
      <w:r>
        <w:instrText xml:space="preserve"> HYPERLINK \l _Toc12965 </w:instrText>
      </w:r>
      <w:r>
        <w:fldChar w:fldCharType="separate"/>
      </w:r>
      <w:r>
        <w:rPr>
          <w:rFonts w:hint="default" w:ascii="Arial" w:hAnsi="Arial" w:cs="Arial"/>
          <w:bCs/>
          <w:szCs w:val="28"/>
        </w:rPr>
        <w:t>PESTEL Strategic Evaluation</w:t>
      </w:r>
      <w:r>
        <w:tab/>
      </w:r>
      <w:r>
        <w:fldChar w:fldCharType="begin"/>
      </w:r>
      <w:r>
        <w:instrText xml:space="preserve"> PAGEREF _Toc12965 \h </w:instrText>
      </w:r>
      <w:r>
        <w:fldChar w:fldCharType="separate"/>
      </w:r>
      <w:r>
        <w:t>9</w:t>
      </w:r>
      <w:r>
        <w:fldChar w:fldCharType="end"/>
      </w:r>
      <w:r>
        <w:fldChar w:fldCharType="end"/>
      </w:r>
    </w:p>
    <w:p w14:paraId="47088968">
      <w:pPr>
        <w:pStyle w:val="22"/>
        <w:tabs>
          <w:tab w:val="right" w:leader="dot" w:pos="9026"/>
        </w:tabs>
      </w:pPr>
      <w:r>
        <w:fldChar w:fldCharType="begin"/>
      </w:r>
      <w:r>
        <w:instrText xml:space="preserve"> HYPERLINK \l _Toc6034 </w:instrText>
      </w:r>
      <w:r>
        <w:fldChar w:fldCharType="separate"/>
      </w:r>
      <w:r>
        <w:rPr>
          <w:rFonts w:hint="default" w:ascii="Arial" w:hAnsi="Arial" w:cs="Arial"/>
          <w:bCs/>
          <w:szCs w:val="28"/>
        </w:rPr>
        <w:t>VRIO Analysis</w:t>
      </w:r>
      <w:r>
        <w:tab/>
      </w:r>
      <w:r>
        <w:fldChar w:fldCharType="begin"/>
      </w:r>
      <w:r>
        <w:instrText xml:space="preserve"> PAGEREF _Toc6034 \h </w:instrText>
      </w:r>
      <w:r>
        <w:fldChar w:fldCharType="separate"/>
      </w:r>
      <w:r>
        <w:t>9</w:t>
      </w:r>
      <w:r>
        <w:fldChar w:fldCharType="end"/>
      </w:r>
      <w:r>
        <w:fldChar w:fldCharType="end"/>
      </w:r>
    </w:p>
    <w:p w14:paraId="3262CD12">
      <w:pPr>
        <w:pStyle w:val="22"/>
        <w:tabs>
          <w:tab w:val="right" w:leader="dot" w:pos="9026"/>
        </w:tabs>
      </w:pPr>
      <w:r>
        <w:fldChar w:fldCharType="begin"/>
      </w:r>
      <w:r>
        <w:instrText xml:space="preserve"> HYPERLINK \l _Toc21502 </w:instrText>
      </w:r>
      <w:r>
        <w:fldChar w:fldCharType="separate"/>
      </w:r>
      <w:r>
        <w:rPr>
          <w:rFonts w:hint="default" w:ascii="Arial" w:hAnsi="Arial" w:cs="Arial"/>
          <w:bCs/>
          <w:szCs w:val="28"/>
        </w:rPr>
        <w:t>SWOT Analysis</w:t>
      </w:r>
      <w:r>
        <w:tab/>
      </w:r>
      <w:r>
        <w:fldChar w:fldCharType="begin"/>
      </w:r>
      <w:r>
        <w:instrText xml:space="preserve"> PAGEREF _Toc21502 \h </w:instrText>
      </w:r>
      <w:r>
        <w:fldChar w:fldCharType="separate"/>
      </w:r>
      <w:r>
        <w:t>11</w:t>
      </w:r>
      <w:r>
        <w:fldChar w:fldCharType="end"/>
      </w:r>
      <w:r>
        <w:fldChar w:fldCharType="end"/>
      </w:r>
    </w:p>
    <w:p w14:paraId="2AA7FB32">
      <w:pPr>
        <w:pStyle w:val="21"/>
        <w:tabs>
          <w:tab w:val="right" w:leader="dot" w:pos="9026"/>
        </w:tabs>
      </w:pPr>
      <w:r>
        <w:fldChar w:fldCharType="begin"/>
      </w:r>
      <w:r>
        <w:instrText xml:space="preserve"> HYPERLINK \l _Toc24213 </w:instrText>
      </w:r>
      <w:r>
        <w:fldChar w:fldCharType="separate"/>
      </w:r>
      <w:r>
        <w:rPr>
          <w:rFonts w:hint="default" w:ascii="Arial" w:hAnsi="Arial" w:cs="Arial"/>
          <w:bCs/>
          <w:szCs w:val="32"/>
        </w:rPr>
        <w:t>Comprehensive and Holistic View of the Organisation</w:t>
      </w:r>
      <w:r>
        <w:tab/>
      </w:r>
      <w:r>
        <w:fldChar w:fldCharType="begin"/>
      </w:r>
      <w:r>
        <w:instrText xml:space="preserve"> PAGEREF _Toc24213 \h </w:instrText>
      </w:r>
      <w:r>
        <w:fldChar w:fldCharType="separate"/>
      </w:r>
      <w:r>
        <w:t>12</w:t>
      </w:r>
      <w:r>
        <w:fldChar w:fldCharType="end"/>
      </w:r>
      <w:r>
        <w:fldChar w:fldCharType="end"/>
      </w:r>
    </w:p>
    <w:p w14:paraId="2D699B3E">
      <w:pPr>
        <w:pStyle w:val="22"/>
        <w:tabs>
          <w:tab w:val="right" w:leader="dot" w:pos="9026"/>
        </w:tabs>
      </w:pPr>
      <w:r>
        <w:fldChar w:fldCharType="begin"/>
      </w:r>
      <w:r>
        <w:instrText xml:space="preserve"> HYPERLINK \l _Toc15086 </w:instrText>
      </w:r>
      <w:r>
        <w:fldChar w:fldCharType="separate"/>
      </w:r>
      <w:r>
        <w:rPr>
          <w:rFonts w:hint="default" w:ascii="Arial" w:hAnsi="Arial" w:cs="Arial"/>
          <w:bCs/>
          <w:szCs w:val="28"/>
        </w:rPr>
        <w:t>Corporate Social Responsibility and Strategic Alignment</w:t>
      </w:r>
      <w:r>
        <w:tab/>
      </w:r>
      <w:r>
        <w:fldChar w:fldCharType="begin"/>
      </w:r>
      <w:r>
        <w:instrText xml:space="preserve"> PAGEREF _Toc15086 \h </w:instrText>
      </w:r>
      <w:r>
        <w:fldChar w:fldCharType="separate"/>
      </w:r>
      <w:r>
        <w:t>12</w:t>
      </w:r>
      <w:r>
        <w:fldChar w:fldCharType="end"/>
      </w:r>
      <w:r>
        <w:fldChar w:fldCharType="end"/>
      </w:r>
    </w:p>
    <w:p w14:paraId="3A4939AF">
      <w:pPr>
        <w:pStyle w:val="22"/>
        <w:tabs>
          <w:tab w:val="right" w:leader="dot" w:pos="9026"/>
        </w:tabs>
      </w:pPr>
      <w:r>
        <w:fldChar w:fldCharType="begin"/>
      </w:r>
      <w:r>
        <w:instrText xml:space="preserve"> HYPERLINK \l _Toc15991 </w:instrText>
      </w:r>
      <w:r>
        <w:fldChar w:fldCharType="separate"/>
      </w:r>
      <w:r>
        <w:rPr>
          <w:rFonts w:hint="default" w:ascii="Arial" w:hAnsi="Arial" w:cs="Arial"/>
          <w:bCs/>
          <w:szCs w:val="28"/>
        </w:rPr>
        <w:t>Balanced Scorecard</w:t>
      </w:r>
      <w:r>
        <w:tab/>
      </w:r>
      <w:r>
        <w:fldChar w:fldCharType="begin"/>
      </w:r>
      <w:r>
        <w:instrText xml:space="preserve"> PAGEREF _Toc15991 \h </w:instrText>
      </w:r>
      <w:r>
        <w:fldChar w:fldCharType="separate"/>
      </w:r>
      <w:r>
        <w:t>13</w:t>
      </w:r>
      <w:r>
        <w:fldChar w:fldCharType="end"/>
      </w:r>
      <w:r>
        <w:fldChar w:fldCharType="end"/>
      </w:r>
    </w:p>
    <w:p w14:paraId="4045E1CA">
      <w:pPr>
        <w:pStyle w:val="22"/>
        <w:tabs>
          <w:tab w:val="right" w:leader="dot" w:pos="9026"/>
        </w:tabs>
      </w:pPr>
      <w:r>
        <w:fldChar w:fldCharType="begin"/>
      </w:r>
      <w:r>
        <w:instrText xml:space="preserve"> HYPERLINK \l _Toc846 </w:instrText>
      </w:r>
      <w:r>
        <w:fldChar w:fldCharType="separate"/>
      </w:r>
      <w:r>
        <w:rPr>
          <w:rFonts w:hint="default" w:ascii="Arial" w:hAnsi="Arial" w:cs="Arial"/>
          <w:bCs/>
          <w:szCs w:val="28"/>
        </w:rPr>
        <w:t>Financial Perspective</w:t>
      </w:r>
      <w:r>
        <w:tab/>
      </w:r>
      <w:r>
        <w:fldChar w:fldCharType="begin"/>
      </w:r>
      <w:r>
        <w:instrText xml:space="preserve"> PAGEREF _Toc846 \h </w:instrText>
      </w:r>
      <w:r>
        <w:fldChar w:fldCharType="separate"/>
      </w:r>
      <w:r>
        <w:t>14</w:t>
      </w:r>
      <w:r>
        <w:fldChar w:fldCharType="end"/>
      </w:r>
      <w:r>
        <w:fldChar w:fldCharType="end"/>
      </w:r>
    </w:p>
    <w:p w14:paraId="5F17394E">
      <w:pPr>
        <w:pStyle w:val="22"/>
        <w:tabs>
          <w:tab w:val="right" w:leader="dot" w:pos="9026"/>
        </w:tabs>
      </w:pPr>
      <w:r>
        <w:fldChar w:fldCharType="begin"/>
      </w:r>
      <w:r>
        <w:instrText xml:space="preserve"> HYPERLINK \l _Toc15074 </w:instrText>
      </w:r>
      <w:r>
        <w:fldChar w:fldCharType="separate"/>
      </w:r>
      <w:r>
        <w:rPr>
          <w:rFonts w:hint="default" w:ascii="Arial" w:hAnsi="Arial" w:cs="Arial"/>
          <w:bCs/>
          <w:szCs w:val="28"/>
        </w:rPr>
        <w:t>Customer Perspective</w:t>
      </w:r>
      <w:r>
        <w:tab/>
      </w:r>
      <w:r>
        <w:fldChar w:fldCharType="begin"/>
      </w:r>
      <w:r>
        <w:instrText xml:space="preserve"> PAGEREF _Toc15074 \h </w:instrText>
      </w:r>
      <w:r>
        <w:fldChar w:fldCharType="separate"/>
      </w:r>
      <w:r>
        <w:t>14</w:t>
      </w:r>
      <w:r>
        <w:fldChar w:fldCharType="end"/>
      </w:r>
      <w:r>
        <w:fldChar w:fldCharType="end"/>
      </w:r>
    </w:p>
    <w:p w14:paraId="1F3EAF83">
      <w:pPr>
        <w:pStyle w:val="22"/>
        <w:tabs>
          <w:tab w:val="right" w:leader="dot" w:pos="9026"/>
        </w:tabs>
      </w:pPr>
      <w:r>
        <w:fldChar w:fldCharType="begin"/>
      </w:r>
      <w:r>
        <w:instrText xml:space="preserve"> HYPERLINK \l _Toc25739 </w:instrText>
      </w:r>
      <w:r>
        <w:fldChar w:fldCharType="separate"/>
      </w:r>
      <w:r>
        <w:rPr>
          <w:rFonts w:hint="default" w:ascii="Arial" w:hAnsi="Arial" w:cs="Arial"/>
          <w:bCs/>
          <w:szCs w:val="28"/>
        </w:rPr>
        <w:t>Internal Business Process Perspective</w:t>
      </w:r>
      <w:r>
        <w:tab/>
      </w:r>
      <w:r>
        <w:fldChar w:fldCharType="begin"/>
      </w:r>
      <w:r>
        <w:instrText xml:space="preserve"> PAGEREF _Toc25739 \h </w:instrText>
      </w:r>
      <w:r>
        <w:fldChar w:fldCharType="separate"/>
      </w:r>
      <w:r>
        <w:t>15</w:t>
      </w:r>
      <w:r>
        <w:fldChar w:fldCharType="end"/>
      </w:r>
      <w:r>
        <w:fldChar w:fldCharType="end"/>
      </w:r>
    </w:p>
    <w:p w14:paraId="032606BC">
      <w:pPr>
        <w:pStyle w:val="22"/>
        <w:tabs>
          <w:tab w:val="right" w:leader="dot" w:pos="9026"/>
        </w:tabs>
      </w:pPr>
      <w:r>
        <w:fldChar w:fldCharType="begin"/>
      </w:r>
      <w:r>
        <w:instrText xml:space="preserve"> HYPERLINK \l _Toc3664 </w:instrText>
      </w:r>
      <w:r>
        <w:fldChar w:fldCharType="separate"/>
      </w:r>
      <w:r>
        <w:rPr>
          <w:rFonts w:hint="default" w:ascii="Arial" w:hAnsi="Arial" w:cs="Arial"/>
          <w:bCs/>
          <w:szCs w:val="28"/>
        </w:rPr>
        <w:t>Learning and Growth Perspective</w:t>
      </w:r>
      <w:r>
        <w:tab/>
      </w:r>
      <w:r>
        <w:fldChar w:fldCharType="begin"/>
      </w:r>
      <w:r>
        <w:instrText xml:space="preserve"> PAGEREF _Toc3664 \h </w:instrText>
      </w:r>
      <w:r>
        <w:fldChar w:fldCharType="separate"/>
      </w:r>
      <w:r>
        <w:t>15</w:t>
      </w:r>
      <w:r>
        <w:fldChar w:fldCharType="end"/>
      </w:r>
      <w:r>
        <w:fldChar w:fldCharType="end"/>
      </w:r>
    </w:p>
    <w:p w14:paraId="24016F4F">
      <w:pPr>
        <w:pStyle w:val="22"/>
        <w:tabs>
          <w:tab w:val="right" w:leader="dot" w:pos="9026"/>
        </w:tabs>
      </w:pPr>
      <w:r>
        <w:fldChar w:fldCharType="begin"/>
      </w:r>
      <w:r>
        <w:instrText xml:space="preserve"> HYPERLINK \l _Toc5361 </w:instrText>
      </w:r>
      <w:r>
        <w:fldChar w:fldCharType="separate"/>
      </w:r>
      <w:r>
        <w:rPr>
          <w:rFonts w:hint="default" w:ascii="Arial" w:hAnsi="Arial" w:cs="Arial"/>
          <w:bCs/>
          <w:szCs w:val="28"/>
        </w:rPr>
        <w:t>Overall Critical Evaluation</w:t>
      </w:r>
      <w:r>
        <w:tab/>
      </w:r>
      <w:r>
        <w:fldChar w:fldCharType="begin"/>
      </w:r>
      <w:r>
        <w:instrText xml:space="preserve"> PAGEREF _Toc5361 \h </w:instrText>
      </w:r>
      <w:r>
        <w:fldChar w:fldCharType="separate"/>
      </w:r>
      <w:r>
        <w:t>15</w:t>
      </w:r>
      <w:r>
        <w:fldChar w:fldCharType="end"/>
      </w:r>
      <w:r>
        <w:fldChar w:fldCharType="end"/>
      </w:r>
    </w:p>
    <w:p w14:paraId="58038CD0">
      <w:pPr>
        <w:pStyle w:val="21"/>
        <w:tabs>
          <w:tab w:val="right" w:leader="dot" w:pos="9026"/>
        </w:tabs>
      </w:pPr>
      <w:r>
        <w:fldChar w:fldCharType="begin"/>
      </w:r>
      <w:r>
        <w:instrText xml:space="preserve"> HYPERLINK \l _Toc19632 </w:instrText>
      </w:r>
      <w:r>
        <w:fldChar w:fldCharType="separate"/>
      </w:r>
      <w:r>
        <w:rPr>
          <w:rFonts w:hint="default" w:ascii="Arial" w:hAnsi="Arial" w:cs="Arial"/>
          <w:bCs/>
          <w:szCs w:val="32"/>
        </w:rPr>
        <w:t>Strategic Choices and Recommendations</w:t>
      </w:r>
      <w:r>
        <w:tab/>
      </w:r>
      <w:r>
        <w:fldChar w:fldCharType="begin"/>
      </w:r>
      <w:r>
        <w:instrText xml:space="preserve"> PAGEREF _Toc19632 \h </w:instrText>
      </w:r>
      <w:r>
        <w:fldChar w:fldCharType="separate"/>
      </w:r>
      <w:r>
        <w:t>16</w:t>
      </w:r>
      <w:r>
        <w:fldChar w:fldCharType="end"/>
      </w:r>
      <w:r>
        <w:fldChar w:fldCharType="end"/>
      </w:r>
    </w:p>
    <w:p w14:paraId="369279A8">
      <w:pPr>
        <w:pStyle w:val="22"/>
        <w:tabs>
          <w:tab w:val="right" w:leader="dot" w:pos="9026"/>
        </w:tabs>
      </w:pPr>
      <w:r>
        <w:fldChar w:fldCharType="begin"/>
      </w:r>
      <w:r>
        <w:instrText xml:space="preserve"> HYPERLINK \l _Toc31804 </w:instrText>
      </w:r>
      <w:r>
        <w:fldChar w:fldCharType="separate"/>
      </w:r>
      <w:r>
        <w:rPr>
          <w:rFonts w:hint="default" w:ascii="Arial" w:hAnsi="Arial" w:cs="Arial"/>
          <w:bCs/>
          <w:szCs w:val="28"/>
        </w:rPr>
        <w:t>Porter’s Generic Strategies</w:t>
      </w:r>
      <w:r>
        <w:tab/>
      </w:r>
      <w:r>
        <w:fldChar w:fldCharType="begin"/>
      </w:r>
      <w:r>
        <w:instrText xml:space="preserve"> PAGEREF _Toc31804 \h </w:instrText>
      </w:r>
      <w:r>
        <w:fldChar w:fldCharType="separate"/>
      </w:r>
      <w:r>
        <w:t>16</w:t>
      </w:r>
      <w:r>
        <w:fldChar w:fldCharType="end"/>
      </w:r>
      <w:r>
        <w:fldChar w:fldCharType="end"/>
      </w:r>
    </w:p>
    <w:p w14:paraId="73ABCABF">
      <w:pPr>
        <w:pStyle w:val="22"/>
        <w:tabs>
          <w:tab w:val="right" w:leader="dot" w:pos="9026"/>
        </w:tabs>
      </w:pPr>
      <w:r>
        <w:fldChar w:fldCharType="begin"/>
      </w:r>
      <w:r>
        <w:instrText xml:space="preserve"> HYPERLINK \l _Toc31792 </w:instrText>
      </w:r>
      <w:r>
        <w:fldChar w:fldCharType="separate"/>
      </w:r>
      <w:r>
        <w:rPr>
          <w:rFonts w:hint="default" w:ascii="Arial" w:hAnsi="Arial" w:cs="Arial"/>
          <w:bCs/>
          <w:szCs w:val="28"/>
        </w:rPr>
        <w:t>Porter’s Five Forces</w:t>
      </w:r>
      <w:r>
        <w:tab/>
      </w:r>
      <w:r>
        <w:fldChar w:fldCharType="begin"/>
      </w:r>
      <w:r>
        <w:instrText xml:space="preserve"> PAGEREF _Toc31792 \h </w:instrText>
      </w:r>
      <w:r>
        <w:fldChar w:fldCharType="separate"/>
      </w:r>
      <w:r>
        <w:t>16</w:t>
      </w:r>
      <w:r>
        <w:fldChar w:fldCharType="end"/>
      </w:r>
      <w:r>
        <w:fldChar w:fldCharType="end"/>
      </w:r>
    </w:p>
    <w:p w14:paraId="68670326">
      <w:pPr>
        <w:pStyle w:val="22"/>
        <w:tabs>
          <w:tab w:val="right" w:leader="dot" w:pos="9026"/>
        </w:tabs>
      </w:pPr>
      <w:r>
        <w:fldChar w:fldCharType="begin"/>
      </w:r>
      <w:r>
        <w:instrText xml:space="preserve"> HYPERLINK \l _Toc22458 </w:instrText>
      </w:r>
      <w:r>
        <w:fldChar w:fldCharType="separate"/>
      </w:r>
      <w:r>
        <w:rPr>
          <w:rFonts w:hint="default" w:ascii="Arial" w:hAnsi="Arial" w:cs="Arial"/>
          <w:bCs/>
          <w:szCs w:val="28"/>
        </w:rPr>
        <w:t>Ansoff Matrix</w:t>
      </w:r>
      <w:r>
        <w:tab/>
      </w:r>
      <w:r>
        <w:fldChar w:fldCharType="begin"/>
      </w:r>
      <w:r>
        <w:instrText xml:space="preserve"> PAGEREF _Toc22458 \h </w:instrText>
      </w:r>
      <w:r>
        <w:fldChar w:fldCharType="separate"/>
      </w:r>
      <w:r>
        <w:t>17</w:t>
      </w:r>
      <w:r>
        <w:fldChar w:fldCharType="end"/>
      </w:r>
      <w:r>
        <w:fldChar w:fldCharType="end"/>
      </w:r>
    </w:p>
    <w:p w14:paraId="28D52340">
      <w:pPr>
        <w:pStyle w:val="22"/>
        <w:tabs>
          <w:tab w:val="right" w:leader="dot" w:pos="9026"/>
        </w:tabs>
      </w:pPr>
      <w:r>
        <w:fldChar w:fldCharType="begin"/>
      </w:r>
      <w:r>
        <w:instrText xml:space="preserve"> HYPERLINK \l _Toc23893 </w:instrText>
      </w:r>
      <w:r>
        <w:fldChar w:fldCharType="separate"/>
      </w:r>
      <w:r>
        <w:rPr>
          <w:rFonts w:hint="default" w:ascii="Arial" w:hAnsi="Arial" w:cs="Arial"/>
          <w:bCs/>
          <w:szCs w:val="28"/>
        </w:rPr>
        <w:t>Proposed Strategy</w:t>
      </w:r>
      <w:r>
        <w:tab/>
      </w:r>
      <w:r>
        <w:fldChar w:fldCharType="begin"/>
      </w:r>
      <w:r>
        <w:instrText xml:space="preserve"> PAGEREF _Toc23893 \h </w:instrText>
      </w:r>
      <w:r>
        <w:fldChar w:fldCharType="separate"/>
      </w:r>
      <w:r>
        <w:t>18</w:t>
      </w:r>
      <w:r>
        <w:fldChar w:fldCharType="end"/>
      </w:r>
      <w:r>
        <w:fldChar w:fldCharType="end"/>
      </w:r>
    </w:p>
    <w:p w14:paraId="4E6149C0">
      <w:pPr>
        <w:pStyle w:val="22"/>
        <w:tabs>
          <w:tab w:val="right" w:leader="dot" w:pos="9026"/>
        </w:tabs>
      </w:pPr>
      <w:r>
        <w:fldChar w:fldCharType="begin"/>
      </w:r>
      <w:r>
        <w:instrText xml:space="preserve"> HYPERLINK \l _Toc17548 </w:instrText>
      </w:r>
      <w:r>
        <w:fldChar w:fldCharType="separate"/>
      </w:r>
      <w:r>
        <w:rPr>
          <w:rFonts w:hint="default" w:ascii="Arial" w:hAnsi="Arial" w:cs="Arial"/>
          <w:bCs/>
          <w:szCs w:val="28"/>
        </w:rPr>
        <w:t>Evaluation of SAFe</w:t>
      </w:r>
      <w:r>
        <w:tab/>
      </w:r>
      <w:r>
        <w:fldChar w:fldCharType="begin"/>
      </w:r>
      <w:r>
        <w:instrText xml:space="preserve"> PAGEREF _Toc17548 \h </w:instrText>
      </w:r>
      <w:r>
        <w:fldChar w:fldCharType="separate"/>
      </w:r>
      <w:r>
        <w:t>18</w:t>
      </w:r>
      <w:r>
        <w:fldChar w:fldCharType="end"/>
      </w:r>
      <w:r>
        <w:fldChar w:fldCharType="end"/>
      </w:r>
    </w:p>
    <w:p w14:paraId="0FB3C0A4">
      <w:pPr>
        <w:pStyle w:val="21"/>
        <w:tabs>
          <w:tab w:val="right" w:leader="dot" w:pos="9026"/>
        </w:tabs>
      </w:pPr>
      <w:r>
        <w:fldChar w:fldCharType="begin"/>
      </w:r>
      <w:r>
        <w:instrText xml:space="preserve"> HYPERLINK \l _Toc9410 </w:instrText>
      </w:r>
      <w:r>
        <w:fldChar w:fldCharType="separate"/>
      </w:r>
      <w:r>
        <w:rPr>
          <w:rFonts w:hint="default" w:ascii="Arial" w:hAnsi="Arial" w:cs="Arial"/>
          <w:bCs/>
          <w:szCs w:val="32"/>
        </w:rPr>
        <w:t>Gibbs Reflective Cycle</w:t>
      </w:r>
      <w:r>
        <w:tab/>
      </w:r>
      <w:r>
        <w:fldChar w:fldCharType="begin"/>
      </w:r>
      <w:r>
        <w:instrText xml:space="preserve"> PAGEREF _Toc9410 \h </w:instrText>
      </w:r>
      <w:r>
        <w:fldChar w:fldCharType="separate"/>
      </w:r>
      <w:r>
        <w:t>19</w:t>
      </w:r>
      <w:r>
        <w:fldChar w:fldCharType="end"/>
      </w:r>
      <w:r>
        <w:fldChar w:fldCharType="end"/>
      </w:r>
    </w:p>
    <w:p w14:paraId="75390296">
      <w:pPr>
        <w:pStyle w:val="22"/>
        <w:tabs>
          <w:tab w:val="right" w:leader="dot" w:pos="9026"/>
        </w:tabs>
      </w:pPr>
      <w:r>
        <w:fldChar w:fldCharType="begin"/>
      </w:r>
      <w:r>
        <w:instrText xml:space="preserve"> HYPERLINK \l _Toc2237 </w:instrText>
      </w:r>
      <w:r>
        <w:fldChar w:fldCharType="separate"/>
      </w:r>
      <w:r>
        <w:rPr>
          <w:rFonts w:hint="default" w:ascii="Arial" w:hAnsi="Arial" w:cs="Arial"/>
          <w:bCs/>
          <w:szCs w:val="28"/>
        </w:rPr>
        <w:t>Description</w:t>
      </w:r>
      <w:r>
        <w:tab/>
      </w:r>
      <w:r>
        <w:fldChar w:fldCharType="begin"/>
      </w:r>
      <w:r>
        <w:instrText xml:space="preserve"> PAGEREF _Toc2237 \h </w:instrText>
      </w:r>
      <w:r>
        <w:fldChar w:fldCharType="separate"/>
      </w:r>
      <w:r>
        <w:t>19</w:t>
      </w:r>
      <w:r>
        <w:fldChar w:fldCharType="end"/>
      </w:r>
      <w:r>
        <w:fldChar w:fldCharType="end"/>
      </w:r>
    </w:p>
    <w:p w14:paraId="4F84A026">
      <w:pPr>
        <w:pStyle w:val="22"/>
        <w:tabs>
          <w:tab w:val="right" w:leader="dot" w:pos="9026"/>
        </w:tabs>
      </w:pPr>
      <w:r>
        <w:fldChar w:fldCharType="begin"/>
      </w:r>
      <w:r>
        <w:instrText xml:space="preserve"> HYPERLINK \l _Toc15462 </w:instrText>
      </w:r>
      <w:r>
        <w:fldChar w:fldCharType="separate"/>
      </w:r>
      <w:r>
        <w:rPr>
          <w:rFonts w:hint="default" w:ascii="Arial" w:hAnsi="Arial" w:cs="Arial"/>
          <w:bCs/>
          <w:szCs w:val="28"/>
        </w:rPr>
        <w:t>Feelings</w:t>
      </w:r>
      <w:r>
        <w:tab/>
      </w:r>
      <w:r>
        <w:fldChar w:fldCharType="begin"/>
      </w:r>
      <w:r>
        <w:instrText xml:space="preserve"> PAGEREF _Toc15462 \h </w:instrText>
      </w:r>
      <w:r>
        <w:fldChar w:fldCharType="separate"/>
      </w:r>
      <w:r>
        <w:t>19</w:t>
      </w:r>
      <w:r>
        <w:fldChar w:fldCharType="end"/>
      </w:r>
      <w:r>
        <w:fldChar w:fldCharType="end"/>
      </w:r>
    </w:p>
    <w:p w14:paraId="646018E1">
      <w:pPr>
        <w:pStyle w:val="22"/>
        <w:tabs>
          <w:tab w:val="right" w:leader="dot" w:pos="9026"/>
        </w:tabs>
      </w:pPr>
      <w:r>
        <w:fldChar w:fldCharType="begin"/>
      </w:r>
      <w:r>
        <w:instrText xml:space="preserve"> HYPERLINK \l _Toc31308 </w:instrText>
      </w:r>
      <w:r>
        <w:fldChar w:fldCharType="separate"/>
      </w:r>
      <w:r>
        <w:rPr>
          <w:rFonts w:hint="default" w:ascii="Arial" w:hAnsi="Arial" w:cs="Arial"/>
          <w:bCs/>
          <w:szCs w:val="28"/>
        </w:rPr>
        <w:t>Evaluation</w:t>
      </w:r>
      <w:r>
        <w:tab/>
      </w:r>
      <w:r>
        <w:fldChar w:fldCharType="begin"/>
      </w:r>
      <w:r>
        <w:instrText xml:space="preserve"> PAGEREF _Toc31308 \h </w:instrText>
      </w:r>
      <w:r>
        <w:fldChar w:fldCharType="separate"/>
      </w:r>
      <w:r>
        <w:t>19</w:t>
      </w:r>
      <w:r>
        <w:fldChar w:fldCharType="end"/>
      </w:r>
      <w:r>
        <w:fldChar w:fldCharType="end"/>
      </w:r>
    </w:p>
    <w:p w14:paraId="2A02E71F">
      <w:pPr>
        <w:pStyle w:val="22"/>
        <w:tabs>
          <w:tab w:val="right" w:leader="dot" w:pos="9026"/>
        </w:tabs>
      </w:pPr>
      <w:r>
        <w:fldChar w:fldCharType="begin"/>
      </w:r>
      <w:r>
        <w:instrText xml:space="preserve"> HYPERLINK \l _Toc3816 </w:instrText>
      </w:r>
      <w:r>
        <w:fldChar w:fldCharType="separate"/>
      </w:r>
      <w:r>
        <w:rPr>
          <w:rFonts w:hint="default" w:ascii="Arial" w:hAnsi="Arial" w:cs="Arial"/>
          <w:bCs/>
          <w:szCs w:val="28"/>
        </w:rPr>
        <w:t>Analysis</w:t>
      </w:r>
      <w:r>
        <w:tab/>
      </w:r>
      <w:r>
        <w:fldChar w:fldCharType="begin"/>
      </w:r>
      <w:r>
        <w:instrText xml:space="preserve"> PAGEREF _Toc3816 \h </w:instrText>
      </w:r>
      <w:r>
        <w:fldChar w:fldCharType="separate"/>
      </w:r>
      <w:r>
        <w:t>20</w:t>
      </w:r>
      <w:r>
        <w:fldChar w:fldCharType="end"/>
      </w:r>
      <w:r>
        <w:fldChar w:fldCharType="end"/>
      </w:r>
    </w:p>
    <w:p w14:paraId="6906E12E">
      <w:pPr>
        <w:pStyle w:val="22"/>
        <w:tabs>
          <w:tab w:val="right" w:leader="dot" w:pos="9026"/>
        </w:tabs>
      </w:pPr>
      <w:r>
        <w:fldChar w:fldCharType="begin"/>
      </w:r>
      <w:r>
        <w:instrText xml:space="preserve"> HYPERLINK \l _Toc7009 </w:instrText>
      </w:r>
      <w:r>
        <w:fldChar w:fldCharType="separate"/>
      </w:r>
      <w:r>
        <w:rPr>
          <w:rFonts w:hint="default" w:ascii="Arial" w:hAnsi="Arial" w:cs="Arial"/>
          <w:bCs/>
          <w:szCs w:val="28"/>
        </w:rPr>
        <w:t>Conclusion</w:t>
      </w:r>
      <w:r>
        <w:tab/>
      </w:r>
      <w:r>
        <w:fldChar w:fldCharType="begin"/>
      </w:r>
      <w:r>
        <w:instrText xml:space="preserve"> PAGEREF _Toc7009 \h </w:instrText>
      </w:r>
      <w:r>
        <w:fldChar w:fldCharType="separate"/>
      </w:r>
      <w:r>
        <w:t>20</w:t>
      </w:r>
      <w:r>
        <w:fldChar w:fldCharType="end"/>
      </w:r>
      <w:r>
        <w:fldChar w:fldCharType="end"/>
      </w:r>
    </w:p>
    <w:p w14:paraId="4696F469">
      <w:pPr>
        <w:pStyle w:val="22"/>
        <w:tabs>
          <w:tab w:val="right" w:leader="dot" w:pos="9026"/>
        </w:tabs>
      </w:pPr>
      <w:r>
        <w:fldChar w:fldCharType="begin"/>
      </w:r>
      <w:r>
        <w:instrText xml:space="preserve"> HYPERLINK \l _Toc14206 </w:instrText>
      </w:r>
      <w:r>
        <w:fldChar w:fldCharType="separate"/>
      </w:r>
      <w:r>
        <w:rPr>
          <w:rFonts w:hint="default" w:ascii="Arial" w:hAnsi="Arial" w:cs="Arial"/>
          <w:bCs/>
          <w:szCs w:val="28"/>
        </w:rPr>
        <w:t>Action Plan</w:t>
      </w:r>
      <w:r>
        <w:tab/>
      </w:r>
      <w:r>
        <w:fldChar w:fldCharType="begin"/>
      </w:r>
      <w:r>
        <w:instrText xml:space="preserve"> PAGEREF _Toc14206 \h </w:instrText>
      </w:r>
      <w:r>
        <w:fldChar w:fldCharType="separate"/>
      </w:r>
      <w:r>
        <w:t>20</w:t>
      </w:r>
      <w:r>
        <w:fldChar w:fldCharType="end"/>
      </w:r>
      <w:r>
        <w:fldChar w:fldCharType="end"/>
      </w:r>
    </w:p>
    <w:p w14:paraId="4C2FB499">
      <w:pPr>
        <w:pStyle w:val="21"/>
        <w:tabs>
          <w:tab w:val="right" w:leader="dot" w:pos="9026"/>
        </w:tabs>
      </w:pPr>
      <w:r>
        <w:fldChar w:fldCharType="begin"/>
      </w:r>
      <w:r>
        <w:instrText xml:space="preserve"> HYPERLINK \l _Toc32063 </w:instrText>
      </w:r>
      <w:r>
        <w:fldChar w:fldCharType="separate"/>
      </w:r>
      <w:r>
        <w:rPr>
          <w:rFonts w:hint="default" w:ascii="Arial" w:hAnsi="Arial" w:cs="Arial"/>
          <w:bCs/>
          <w:szCs w:val="32"/>
        </w:rPr>
        <w:t>Conclusion</w:t>
      </w:r>
      <w:r>
        <w:tab/>
      </w:r>
      <w:r>
        <w:fldChar w:fldCharType="begin"/>
      </w:r>
      <w:r>
        <w:instrText xml:space="preserve"> PAGEREF _Toc32063 \h </w:instrText>
      </w:r>
      <w:r>
        <w:fldChar w:fldCharType="separate"/>
      </w:r>
      <w:r>
        <w:t>21</w:t>
      </w:r>
      <w:r>
        <w:fldChar w:fldCharType="end"/>
      </w:r>
      <w:r>
        <w:fldChar w:fldCharType="end"/>
      </w:r>
    </w:p>
    <w:p w14:paraId="6DD5F418">
      <w:pPr>
        <w:pStyle w:val="21"/>
        <w:tabs>
          <w:tab w:val="right" w:leader="dot" w:pos="9026"/>
        </w:tabs>
      </w:pPr>
      <w:r>
        <w:fldChar w:fldCharType="begin"/>
      </w:r>
      <w:r>
        <w:instrText xml:space="preserve"> HYPERLINK \l _Toc417 </w:instrText>
      </w:r>
      <w:r>
        <w:fldChar w:fldCharType="separate"/>
      </w:r>
      <w:r>
        <w:rPr>
          <w:rFonts w:hint="default" w:ascii="Arial" w:hAnsi="Arial" w:cs="Arial"/>
          <w:bCs/>
          <w:szCs w:val="32"/>
        </w:rPr>
        <w:t>Reference</w:t>
      </w:r>
      <w:r>
        <w:tab/>
      </w:r>
      <w:r>
        <w:fldChar w:fldCharType="begin"/>
      </w:r>
      <w:r>
        <w:instrText xml:space="preserve"> PAGEREF _Toc417 \h </w:instrText>
      </w:r>
      <w:r>
        <w:fldChar w:fldCharType="separate"/>
      </w:r>
      <w:r>
        <w:t>22</w:t>
      </w:r>
      <w:r>
        <w:fldChar w:fldCharType="end"/>
      </w:r>
      <w:r>
        <w:fldChar w:fldCharType="end"/>
      </w:r>
    </w:p>
    <w:p w14:paraId="16205340">
      <w:pPr>
        <w:pStyle w:val="16"/>
        <w:keepNext w:val="0"/>
        <w:keepLines w:val="0"/>
        <w:widowControl/>
        <w:suppressLineNumbers w:val="0"/>
        <w:spacing w:beforeAutospacing="1"/>
      </w:pPr>
      <w:r>
        <w:fldChar w:fldCharType="end"/>
      </w:r>
    </w:p>
    <w:p w14:paraId="30C54740"/>
    <w:p w14:paraId="2CE7F4CE">
      <w:pPr>
        <w:spacing w:line="360" w:lineRule="auto"/>
        <w:rPr>
          <w:rFonts w:ascii="Arial" w:hAnsi="Arial" w:cs="Arial"/>
          <w:sz w:val="28"/>
          <w:szCs w:val="28"/>
        </w:rPr>
      </w:pPr>
      <w:r>
        <w:rPr>
          <w:rFonts w:ascii="Arial" w:hAnsi="Arial" w:eastAsia="Arial" w:cs="Arial"/>
          <w:sz w:val="24"/>
          <w:szCs w:val="28"/>
        </w:rPr>
        <w:br w:type="page"/>
      </w:r>
    </w:p>
    <w:p w14:paraId="59A74E5D">
      <w:pPr>
        <w:pStyle w:val="2"/>
        <w:bidi w:val="0"/>
        <w:spacing w:line="360" w:lineRule="auto"/>
        <w:rPr>
          <w:rFonts w:hint="default" w:ascii="Arial" w:hAnsi="Arial" w:cs="Arial"/>
          <w:b/>
          <w:bCs/>
          <w:color w:val="auto"/>
          <w:sz w:val="32"/>
          <w:szCs w:val="32"/>
        </w:rPr>
      </w:pPr>
      <w:bookmarkStart w:id="0" w:name="_Toc30625"/>
      <w:bookmarkStart w:id="1" w:name="_Toc23282"/>
      <w:r>
        <w:rPr>
          <w:rFonts w:hint="default" w:ascii="Arial" w:hAnsi="Arial" w:cs="Arial"/>
          <w:b/>
          <w:bCs/>
          <w:color w:val="auto"/>
          <w:sz w:val="32"/>
          <w:szCs w:val="32"/>
        </w:rPr>
        <w:t>Executive Summary</w:t>
      </w:r>
      <w:bookmarkEnd w:id="0"/>
      <w:bookmarkEnd w:id="1"/>
    </w:p>
    <w:p w14:paraId="5D4A8511">
      <w:pPr>
        <w:spacing w:line="360" w:lineRule="auto"/>
        <w:jc w:val="both"/>
        <w:rPr>
          <w:rFonts w:hint="default" w:ascii="Arial" w:hAnsi="Arial" w:eastAsia="Geist Fallback" w:cs="Arial"/>
          <w:i w:val="0"/>
          <w:iCs w:val="0"/>
          <w:caps w:val="0"/>
          <w:spacing w:val="0"/>
          <w:sz w:val="24"/>
          <w:szCs w:val="24"/>
          <w:bdr w:val="none" w:color="auto" w:sz="0" w:space="0"/>
        </w:rPr>
      </w:pPr>
      <w:bookmarkStart w:id="2" w:name="_Toc6228"/>
      <w:r>
        <w:rPr>
          <w:rFonts w:hint="default" w:ascii="Arial" w:hAnsi="Arial" w:eastAsia="Geist Fallback" w:cs="Arial"/>
          <w:i w:val="0"/>
          <w:iCs w:val="0"/>
          <w:caps w:val="0"/>
          <w:spacing w:val="0"/>
          <w:sz w:val="24"/>
          <w:szCs w:val="24"/>
          <w:bdr w:val="none" w:color="auto" w:sz="0" w:space="0"/>
        </w:rPr>
        <w:t>This report will analyze the strategy adopted by Rolls-Royce Motor Cars, especially the Rolls-Royce Phantom Series II product in the UK market of ultra luxury automobile industry. It will cover the continuing ways Rolls-Royce can retain its distinctive competitive edge in the face of technological shifts and shifts in their environment, economic conditions and competitive pressures. This approach to analysis will directly meet the requirement of the assessment "To critically assess the environment of the organisation". The report includes an integrated strategic assessment using PESTLE, VRIO, SWOT, Corporate Social Responsibility (CSR), Balanced Scorecard, Porter’s Generic Strategies, Porter’s Five Forces and Ansoff Matrix, as well as SAFe. For the PESTLE analysis, some of the major strategic forces identified are the process of electrification, regulation by the environment, technology and consumer expectations for luxury products. There are numerous opportunities, such as the demand for luxury products, which are coming up with innovation and personalization. The identified resources that help to create competitive advantages are brand legacy, bespoke manufacturing, craftsmanship and human capital. With the above analysis it can be concluded that differentiated focus strategy would be the one that would be most suitable in the context of the manner in which Rolls-Royce is competing in the market by showcasing its exclusivity, customisation, craftsmanship, heritage and high level of customer experience as compared to cost-leadership. The recommendations for the strategy from the report are therefore to improve the Bespoke offering, develop personalised customer experiences with the use of digital technology, further invest in sustainable and innovative technology, selectively access luxury markets and also develop specialist capabilities of employees. Such recommendations are assessed using the SAFe tool and backed by the Balanced Scorecard that connects financial, customer, internal process and learning and growth measures. To summarize, from the analysis above, it is clear that besides adapting to technological changes, Rolls-Royce will have to be able to innovate and be sustainable as well, but not compromise its differentiators which are heritage, craftsmanship, exclusivity and the personalised experience.</w:t>
      </w:r>
    </w:p>
    <w:p w14:paraId="536E4ECB">
      <w:pPr>
        <w:spacing w:line="360" w:lineRule="auto"/>
        <w:jc w:val="both"/>
        <w:rPr>
          <w:rFonts w:hint="default" w:ascii="Arial" w:hAnsi="Arial" w:eastAsia="Geist Fallback" w:cs="Arial"/>
          <w:i w:val="0"/>
          <w:iCs w:val="0"/>
          <w:caps w:val="0"/>
          <w:spacing w:val="0"/>
          <w:sz w:val="24"/>
          <w:szCs w:val="24"/>
          <w:bdr w:val="none" w:color="auto" w:sz="0" w:space="0"/>
        </w:rPr>
      </w:pPr>
    </w:p>
    <w:bookmarkEnd w:id="2"/>
    <w:p w14:paraId="7EA8B147">
      <w:pPr>
        <w:pStyle w:val="2"/>
        <w:bidi w:val="0"/>
        <w:spacing w:line="360" w:lineRule="auto"/>
        <w:rPr>
          <w:rFonts w:hint="default" w:ascii="Arial" w:hAnsi="Arial" w:cs="Arial"/>
          <w:b/>
          <w:bCs/>
          <w:color w:val="auto"/>
          <w:sz w:val="32"/>
          <w:szCs w:val="32"/>
        </w:rPr>
      </w:pPr>
      <w:bookmarkStart w:id="3" w:name="_Toc6336"/>
      <w:bookmarkStart w:id="4" w:name="_Toc8998"/>
      <w:r>
        <w:rPr>
          <w:rFonts w:hint="default" w:ascii="Arial" w:hAnsi="Arial" w:cs="Arial"/>
          <w:b/>
          <w:bCs/>
          <w:color w:val="auto"/>
          <w:sz w:val="32"/>
          <w:szCs w:val="32"/>
        </w:rPr>
        <w:t>Background and Organisational Context</w:t>
      </w:r>
      <w:bookmarkEnd w:id="3"/>
      <w:bookmarkEnd w:id="4"/>
    </w:p>
    <w:p w14:paraId="468462E2">
      <w:pPr>
        <w:keepNext w:val="0"/>
        <w:keepLines w:val="0"/>
        <w:widowControl/>
        <w:suppressLineNumbers w:val="0"/>
        <w:spacing w:line="360" w:lineRule="auto"/>
        <w:jc w:val="both"/>
        <w:rPr>
          <w:rFonts w:hint="default" w:ascii="Arial" w:hAnsi="Arial" w:cs="Arial"/>
          <w:sz w:val="24"/>
          <w:szCs w:val="24"/>
        </w:rPr>
      </w:pPr>
      <w:r>
        <w:rPr>
          <w:rFonts w:hint="default" w:ascii="Arial" w:hAnsi="Arial" w:eastAsia="SimSun" w:cs="Arial"/>
          <w:kern w:val="0"/>
          <w:sz w:val="24"/>
          <w:szCs w:val="24"/>
          <w:lang w:val="en-US" w:eastAsia="zh-CN" w:bidi="ar"/>
          <w14:ligatures w14:val="standardContextual"/>
        </w:rPr>
        <w:t>Rolls-Royce Motor Cars is a world-leading ultra-luxury automotive manufacturer, with a history dating back to 1904 when Charles Rolls and Henry Royce formed a partnership. In 1998, the BMW Group acquired the rights to the Rolls-Royce motor-car brand and formed Rolls-Royce Motor Cars as a separate company of the BMW Group, with</w:t>
      </w:r>
      <w:bookmarkStart w:id="71" w:name="_GoBack"/>
      <w:bookmarkEnd w:id="71"/>
      <w:r>
        <w:rPr>
          <w:rFonts w:hint="default" w:ascii="Arial" w:hAnsi="Arial" w:eastAsia="SimSun" w:cs="Arial"/>
          <w:kern w:val="0"/>
          <w:sz w:val="24"/>
          <w:szCs w:val="24"/>
          <w:lang w:val="en-US" w:eastAsia="zh-CN" w:bidi="ar"/>
          <w14:ligatures w14:val="standardContextual"/>
        </w:rPr>
        <w:t xml:space="preserve"> new headquarters and manufacturing facility at Goodwood, West Sussex, starting operations in 2003. The company is a legally separate entity from Rolls-Royce plc and is wholly owned by the BMW Group.(rolls-roycemotorcars.com)</w:t>
      </w:r>
    </w:p>
    <w:p w14:paraId="786D4367">
      <w:pPr>
        <w:keepNext w:val="0"/>
        <w:keepLines w:val="0"/>
        <w:widowControl/>
        <w:suppressLineNumbers w:val="0"/>
        <w:spacing w:line="360" w:lineRule="auto"/>
        <w:jc w:val="both"/>
        <w:rPr>
          <w:rFonts w:hint="default" w:ascii="Arial" w:hAnsi="Arial" w:cs="Arial"/>
          <w:sz w:val="24"/>
          <w:szCs w:val="24"/>
        </w:rPr>
      </w:pPr>
      <w:r>
        <w:rPr>
          <w:rFonts w:hint="default" w:ascii="Arial" w:hAnsi="Arial" w:eastAsia="SimSun" w:cs="Arial"/>
          <w:kern w:val="0"/>
          <w:sz w:val="24"/>
          <w:szCs w:val="24"/>
          <w:lang w:val="en-US" w:eastAsia="zh-CN" w:bidi="ar"/>
          <w14:ligatures w14:val="standardContextual"/>
        </w:rPr>
        <w:t>Rolls-Royce runs a high-value, low-volume differentiation business model where competitive advantage is derived from craftsmanship, exclusivity, personalization and an exceptional ownership experience rather than scale of production. Its bespoke program enables clients to work with designers and craftspeople to create highly individual vehicles, whilst Coachbuild extends this proposition to unique, limited creations.The model facilitates premium pricing and reinforces scarcity, making personalization and heritage important sources of customer value.The company is part of the specialist and ultra-luxury automotive sector in the UK that includes Bentley, Aston Martin, McLaren and other low-volume manufacturers. SMMT recognizes the UK as a world leader in the design, engineering and manufacture of luxury, sports and specialist vehicles and highlights the sector’s importance to the economy and exports. Rolls-Royce’s competitive positioning is founded on a combination of heritage, hand craftsmanship, bespoke production and the technological capabilities of the BMW Group. It delivered 5,664 vehicles worldwide in 2025, with the Cullinan and the all-electric Specter being among the biggest sellers.</w:t>
      </w:r>
    </w:p>
    <w:p w14:paraId="2ABCBE13">
      <w:pPr>
        <w:keepNext w:val="0"/>
        <w:keepLines w:val="0"/>
        <w:widowControl/>
        <w:suppressLineNumbers w:val="0"/>
        <w:spacing w:line="360" w:lineRule="auto"/>
        <w:jc w:val="both"/>
        <w:rPr>
          <w:rFonts w:hint="default" w:ascii="Arial" w:hAnsi="Arial" w:cs="Arial"/>
          <w:sz w:val="24"/>
          <w:szCs w:val="24"/>
        </w:rPr>
      </w:pPr>
      <w:r>
        <w:rPr>
          <w:rFonts w:hint="default" w:ascii="Arial" w:hAnsi="Arial" w:eastAsia="SimSun" w:cs="Arial"/>
          <w:kern w:val="0"/>
          <w:sz w:val="24"/>
          <w:szCs w:val="24"/>
          <w:lang w:val="en-US" w:eastAsia="zh-CN" w:bidi="ar"/>
          <w14:ligatures w14:val="standardContextual"/>
        </w:rPr>
        <w:t>Goodwood is the company’s global headquarters and manufacturing center – where every Rolls-Royce is hand-built – so the UK is the obvious geographical focus. This makes the UK particularly relevant for studying how the organization can preserve its heritage-based competitive advantage in the face of electrification, sustainability requirements and technological change. Strategically, Rolls-Royce has a focused-differentiation position. They seek to serve customers for whom exclusivity, craftsmanship, status and personalized luxury are most important, not price-based value.</w:t>
      </w:r>
    </w:p>
    <w:p w14:paraId="41029AEE">
      <w:pPr>
        <w:spacing w:line="360" w:lineRule="auto"/>
        <w:jc w:val="both"/>
        <w:rPr>
          <w:rFonts w:hint="default" w:ascii="Arial" w:hAnsi="Arial" w:cs="Arial"/>
          <w:sz w:val="28"/>
          <w:szCs w:val="28"/>
        </w:rPr>
      </w:pPr>
    </w:p>
    <w:p w14:paraId="10B92FE9">
      <w:pPr>
        <w:pStyle w:val="2"/>
        <w:bidi w:val="0"/>
        <w:spacing w:line="360" w:lineRule="auto"/>
        <w:rPr>
          <w:rFonts w:hint="default" w:ascii="Arial" w:hAnsi="Arial" w:cs="Arial"/>
          <w:b/>
          <w:bCs/>
          <w:color w:val="auto"/>
          <w:sz w:val="32"/>
          <w:szCs w:val="32"/>
        </w:rPr>
      </w:pPr>
      <w:bookmarkStart w:id="5" w:name="_Toc28651"/>
      <w:bookmarkStart w:id="6" w:name="_Toc19746"/>
      <w:r>
        <w:rPr>
          <w:rFonts w:hint="default" w:ascii="Arial" w:hAnsi="Arial" w:cs="Arial"/>
          <w:b/>
          <w:bCs/>
          <w:color w:val="auto"/>
          <w:sz w:val="32"/>
          <w:szCs w:val="32"/>
        </w:rPr>
        <w:t>External Environment Analysis – PESTEL Analysis</w:t>
      </w:r>
      <w:bookmarkEnd w:id="5"/>
      <w:bookmarkEnd w:id="6"/>
    </w:p>
    <w:p w14:paraId="0B3B4ECB">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PESTLE analysis helps in comprehending the environmental factors influencing Rolls-Royce Motor Cars in the UK. PESTLE factors are quite relevant for a luxury vehicle manufacturing company such as Rolls Royce since they influence product design, costs of operations, and consumer preferences.</w:t>
      </w:r>
    </w:p>
    <w:p w14:paraId="338FE3B0">
      <w:pPr>
        <w:spacing w:line="360" w:lineRule="auto"/>
        <w:jc w:val="both"/>
        <w:rPr>
          <w:rFonts w:hint="default" w:ascii="Arial" w:hAnsi="Arial" w:eastAsia="Arial" w:cs="Arial"/>
          <w:b w:val="0"/>
          <w:bCs w:val="0"/>
          <w:sz w:val="24"/>
          <w:szCs w:val="28"/>
        </w:rPr>
      </w:pPr>
    </w:p>
    <w:p w14:paraId="27C140E0">
      <w:pPr>
        <w:pStyle w:val="3"/>
        <w:bidi w:val="0"/>
        <w:spacing w:line="360" w:lineRule="auto"/>
        <w:rPr>
          <w:rFonts w:hint="default" w:ascii="Arial" w:hAnsi="Arial" w:cs="Arial"/>
          <w:b/>
          <w:bCs/>
          <w:color w:val="auto"/>
          <w:sz w:val="28"/>
          <w:szCs w:val="28"/>
        </w:rPr>
      </w:pPr>
      <w:bookmarkStart w:id="7" w:name="_Toc31941"/>
      <w:bookmarkStart w:id="8" w:name="_Toc25490"/>
      <w:r>
        <w:rPr>
          <w:rFonts w:hint="default" w:ascii="Arial" w:hAnsi="Arial" w:cs="Arial"/>
          <w:b/>
          <w:bCs/>
          <w:color w:val="auto"/>
          <w:sz w:val="28"/>
          <w:szCs w:val="28"/>
        </w:rPr>
        <w:t>Political Factor</w:t>
      </w:r>
      <w:bookmarkEnd w:id="7"/>
      <w:bookmarkEnd w:id="8"/>
      <w:r>
        <w:rPr>
          <w:rFonts w:hint="default" w:ascii="Arial" w:hAnsi="Arial" w:cs="Arial"/>
          <w:b/>
          <w:bCs/>
          <w:color w:val="auto"/>
          <w:sz w:val="28"/>
          <w:szCs w:val="28"/>
        </w:rPr>
        <w:t xml:space="preserve"> </w:t>
      </w:r>
    </w:p>
    <w:p w14:paraId="509E4563">
      <w:pPr>
        <w:spacing w:line="360" w:lineRule="auto"/>
        <w:jc w:val="both"/>
        <w:rPr>
          <w:rFonts w:hint="default" w:ascii="Arial" w:hAnsi="Arial" w:eastAsia="Arial" w:cs="Arial"/>
          <w:sz w:val="24"/>
          <w:szCs w:val="28"/>
        </w:rPr>
      </w:pPr>
      <w:r>
        <w:rPr>
          <w:rFonts w:hint="default" w:ascii="Arial" w:hAnsi="Arial" w:eastAsia="Arial" w:cs="Arial"/>
          <w:sz w:val="24"/>
          <w:szCs w:val="28"/>
        </w:rPr>
        <w:t>The move towards zero-emission vehicles made by the UK government is a significant political issue. The UK’s Zero Emission Vehicle (ZEV) Mandate “requires manufacturers to increase the percentage of zero-emission vehicles in their company’s projected new car sales from 28% in 2025 to 33% in 2026 and to 80% in 2030” with the goal of the country “to end the sale of new petrol and diesel cars and vans by 2030 and have fully zero-emission new car sales by 2035” (Department for Transport, 2025)</w:t>
      </w:r>
    </w:p>
    <w:p w14:paraId="56A000C5">
      <w:pPr>
        <w:spacing w:line="360" w:lineRule="auto"/>
        <w:jc w:val="both"/>
        <w:rPr>
          <w:rFonts w:hint="default" w:ascii="Arial" w:hAnsi="Arial" w:eastAsia="Arial" w:cs="Arial"/>
          <w:sz w:val="24"/>
          <w:szCs w:val="28"/>
        </w:rPr>
      </w:pPr>
      <w:r>
        <w:rPr>
          <w:rFonts w:hint="default" w:ascii="Arial" w:hAnsi="Arial" w:eastAsia="Arial" w:cs="Arial"/>
          <w:sz w:val="24"/>
          <w:szCs w:val="28"/>
        </w:rPr>
        <w:t>For Rolls-Royce, this is a dual-edged issue. On the one hand, the production of the electric Spectre proves that it is possible to create electric vehicles that would retain their luxury status. However, the company has to ensure that regulatory requirements will not undermine the bespoke character and the unique personalization of their products. This is important because the company’s image is built around these central pillars. On the other hand, political backing of the development of charging stations and the overall shift toward electric vehicles is conducive to the adoption of such vehicles by the general public. At the same time, shifting political realities and policies can upset the plans of companies that have positioned themselves to benefit from regulatory support. Thus, for the company, it is important to think through electrification strategically and prepare for various scenarios rather than simply reacting to political realities.</w:t>
      </w:r>
    </w:p>
    <w:p w14:paraId="36EBB35E">
      <w:pPr>
        <w:spacing w:line="360" w:lineRule="auto"/>
        <w:jc w:val="both"/>
        <w:rPr>
          <w:rFonts w:hint="default" w:ascii="Arial" w:hAnsi="Arial" w:eastAsia="Arial" w:cs="Arial"/>
          <w:sz w:val="24"/>
          <w:szCs w:val="28"/>
        </w:rPr>
      </w:pPr>
    </w:p>
    <w:p w14:paraId="3372713A">
      <w:pPr>
        <w:pStyle w:val="3"/>
        <w:bidi w:val="0"/>
        <w:spacing w:line="360" w:lineRule="auto"/>
        <w:rPr>
          <w:rFonts w:hint="default" w:ascii="Arial" w:hAnsi="Arial" w:cs="Arial"/>
          <w:b/>
          <w:bCs/>
          <w:color w:val="auto"/>
          <w:sz w:val="28"/>
          <w:szCs w:val="28"/>
        </w:rPr>
      </w:pPr>
      <w:bookmarkStart w:id="9" w:name="_Toc6492"/>
      <w:bookmarkStart w:id="10" w:name="_Toc20103"/>
      <w:r>
        <w:rPr>
          <w:rFonts w:hint="default" w:ascii="Arial" w:hAnsi="Arial" w:cs="Arial"/>
          <w:b/>
          <w:bCs/>
          <w:color w:val="auto"/>
          <w:sz w:val="28"/>
          <w:szCs w:val="28"/>
        </w:rPr>
        <w:t>Economic Factor</w:t>
      </w:r>
      <w:bookmarkEnd w:id="9"/>
      <w:bookmarkEnd w:id="10"/>
    </w:p>
    <w:p w14:paraId="3B5A2304">
      <w:pPr>
        <w:spacing w:line="360" w:lineRule="auto"/>
        <w:jc w:val="both"/>
        <w:rPr>
          <w:rFonts w:hint="default" w:ascii="Arial" w:hAnsi="Arial" w:eastAsia="Arial" w:cs="Arial"/>
          <w:sz w:val="24"/>
          <w:szCs w:val="24"/>
        </w:rPr>
      </w:pPr>
      <w:r>
        <w:rPr>
          <w:rFonts w:hint="default" w:ascii="Arial" w:hAnsi="Arial" w:eastAsia="Arial" w:cs="Arial"/>
          <w:sz w:val="24"/>
          <w:szCs w:val="24"/>
        </w:rPr>
        <w:t>Economic factors do not treat the luxury car manufacturer Rolls-Royce the same way as their competitors since the company focuses on a small group of consumers with high income. Nevertheless, inflation, energy, interest rates, exchange rates, and political risks, among other factors, can affect the demand for luxury cars and the cost of materials and production. The CPI inflation in the UK was 2.6% for June 2026, meaning inflation is not a problem as well as a challenge to the company’s profitability and consumers’ buying capacity (ONS, 2026).</w:t>
      </w:r>
    </w:p>
    <w:p w14:paraId="0480CFA2">
      <w:pPr>
        <w:spacing w:line="360" w:lineRule="auto"/>
        <w:jc w:val="both"/>
        <w:rPr>
          <w:rFonts w:hint="default" w:ascii="Arial" w:hAnsi="Arial" w:eastAsia="Arial" w:cs="Arial"/>
          <w:sz w:val="24"/>
          <w:szCs w:val="24"/>
        </w:rPr>
      </w:pPr>
      <w:r>
        <w:rPr>
          <w:rFonts w:hint="default" w:ascii="Arial" w:hAnsi="Arial" w:eastAsia="Arial" w:cs="Arial"/>
          <w:sz w:val="24"/>
          <w:szCs w:val="24"/>
        </w:rPr>
        <w:t>This shows that being able to compete on a lower price basis is not an option for Rolls-Royce, while the ability to benefit from the image of providing exclusive car transportation and components to generate revenues from scarcity value and clients’ customization is a significant advantage. On the other hand, the increased cost of materials and technology is a disadvantage that requires a stronger focus on the support of BMW Group.</w:t>
      </w:r>
    </w:p>
    <w:p w14:paraId="02D277A2">
      <w:pPr>
        <w:spacing w:line="360" w:lineRule="auto"/>
        <w:jc w:val="both"/>
        <w:rPr>
          <w:rFonts w:hint="default" w:ascii="Arial" w:hAnsi="Arial" w:eastAsia="Arial" w:cs="Arial"/>
          <w:sz w:val="24"/>
          <w:szCs w:val="24"/>
        </w:rPr>
      </w:pPr>
    </w:p>
    <w:p w14:paraId="0EA04422">
      <w:pPr>
        <w:pStyle w:val="3"/>
        <w:bidi w:val="0"/>
        <w:spacing w:line="360" w:lineRule="auto"/>
        <w:rPr>
          <w:rFonts w:hint="default" w:ascii="Arial" w:hAnsi="Arial" w:cs="Arial"/>
          <w:b/>
          <w:bCs/>
          <w:color w:val="auto"/>
          <w:sz w:val="28"/>
          <w:szCs w:val="28"/>
        </w:rPr>
      </w:pPr>
      <w:bookmarkStart w:id="11" w:name="_Toc19348"/>
      <w:bookmarkStart w:id="12" w:name="_Toc141"/>
      <w:r>
        <w:rPr>
          <w:rFonts w:hint="default" w:ascii="Arial" w:hAnsi="Arial" w:cs="Arial"/>
          <w:b/>
          <w:bCs/>
          <w:color w:val="auto"/>
          <w:sz w:val="28"/>
          <w:szCs w:val="28"/>
        </w:rPr>
        <w:t>Social Factors</w:t>
      </w:r>
      <w:bookmarkEnd w:id="11"/>
      <w:bookmarkEnd w:id="12"/>
    </w:p>
    <w:p w14:paraId="36CBD583">
      <w:pPr>
        <w:spacing w:line="360" w:lineRule="auto"/>
        <w:jc w:val="both"/>
        <w:rPr>
          <w:rFonts w:hint="default" w:ascii="Arial" w:hAnsi="Arial" w:eastAsia="Arial" w:cs="Arial"/>
          <w:sz w:val="24"/>
          <w:szCs w:val="24"/>
        </w:rPr>
      </w:pPr>
      <w:r>
        <w:rPr>
          <w:rFonts w:hint="default" w:ascii="Arial" w:hAnsi="Arial" w:eastAsia="Arial" w:cs="Arial"/>
          <w:sz w:val="24"/>
          <w:szCs w:val="24"/>
        </w:rPr>
        <w:t>Luxury consumption is increasingly driven by personalisation, experiences, self-expression and sustainability. This presents Rolls Royce with opportunities as its bespoke approach taps into the need for individualism, but also a challenge as society moves towards more conscious and responsible consumption.</w:t>
      </w:r>
    </w:p>
    <w:p w14:paraId="30478EAE">
      <w:pPr>
        <w:spacing w:line="360" w:lineRule="auto"/>
        <w:jc w:val="both"/>
        <w:rPr>
          <w:rFonts w:hint="default" w:ascii="Arial" w:hAnsi="Arial" w:eastAsia="Arial" w:cs="Arial"/>
          <w:sz w:val="24"/>
          <w:szCs w:val="24"/>
        </w:rPr>
      </w:pPr>
      <w:r>
        <w:rPr>
          <w:rFonts w:hint="default" w:ascii="Arial" w:hAnsi="Arial" w:eastAsia="Arial" w:cs="Arial"/>
          <w:sz w:val="24"/>
          <w:szCs w:val="24"/>
        </w:rPr>
        <w:t>There is a dilemma in that the brand has to deliver ultra-luxury as defined by exclusivity and self-indulgence, but also be seen to be part of the wider societal shift towards sustainability. How can Rolls Royce reconcile these two positions? The brand can resolve the dilemma by bringing sustainability into the ultra luxury market as the most desirable proposition. This can be done by adopting more eco-friendly materials, processes and power-trains without compromising the levels of opulence and personalisation that the customer associates with Rolls Royce.</w:t>
      </w:r>
    </w:p>
    <w:p w14:paraId="784DC971">
      <w:pPr>
        <w:spacing w:line="360" w:lineRule="auto"/>
        <w:jc w:val="both"/>
        <w:rPr>
          <w:rFonts w:hint="default" w:ascii="Arial" w:hAnsi="Arial" w:eastAsia="Arial" w:cs="Arial"/>
          <w:sz w:val="24"/>
          <w:szCs w:val="24"/>
        </w:rPr>
      </w:pPr>
    </w:p>
    <w:p w14:paraId="44397543">
      <w:pPr>
        <w:pStyle w:val="3"/>
        <w:bidi w:val="0"/>
        <w:spacing w:line="360" w:lineRule="auto"/>
        <w:rPr>
          <w:rFonts w:hint="default" w:ascii="Arial" w:hAnsi="Arial" w:cs="Arial"/>
        </w:rPr>
      </w:pPr>
      <w:bookmarkStart w:id="13" w:name="_Toc26783"/>
      <w:bookmarkStart w:id="14" w:name="_Toc22717"/>
      <w:r>
        <w:rPr>
          <w:rFonts w:hint="default" w:ascii="Arial" w:hAnsi="Arial" w:cs="Arial"/>
          <w:b/>
          <w:bCs/>
          <w:color w:val="auto"/>
          <w:sz w:val="28"/>
          <w:szCs w:val="28"/>
        </w:rPr>
        <w:t>Technology Factors</w:t>
      </w:r>
      <w:bookmarkEnd w:id="13"/>
      <w:bookmarkEnd w:id="14"/>
      <w:r>
        <w:rPr>
          <w:rFonts w:hint="default" w:ascii="Arial" w:hAnsi="Arial" w:cs="Arial"/>
        </w:rPr>
        <w:t xml:space="preserve"> </w:t>
      </w:r>
    </w:p>
    <w:p w14:paraId="0EFD55D8">
      <w:pPr>
        <w:spacing w:line="360" w:lineRule="auto"/>
        <w:jc w:val="both"/>
        <w:rPr>
          <w:rFonts w:hint="default" w:ascii="Arial" w:hAnsi="Arial" w:eastAsia="Arial" w:cs="Arial"/>
          <w:sz w:val="24"/>
          <w:szCs w:val="28"/>
        </w:rPr>
      </w:pPr>
      <w:r>
        <w:rPr>
          <w:rFonts w:hint="default" w:ascii="Arial" w:hAnsi="Arial" w:eastAsia="Arial" w:cs="Arial"/>
          <w:sz w:val="24"/>
          <w:szCs w:val="28"/>
        </w:rPr>
        <w:t>From</w:t>
      </w:r>
      <w:r>
        <w:rPr>
          <w:rFonts w:hint="default" w:ascii="Arial" w:hAnsi="Arial" w:eastAsia="Arial" w:cs="Arial"/>
          <w:sz w:val="24"/>
          <w:szCs w:val="28"/>
          <w:lang w:val="en-US"/>
        </w:rPr>
        <w:t xml:space="preserve"> </w:t>
      </w:r>
      <w:r>
        <w:rPr>
          <w:rFonts w:hint="default" w:ascii="Arial" w:hAnsi="Arial" w:eastAsia="Arial" w:cs="Arial"/>
          <w:sz w:val="24"/>
          <w:szCs w:val="28"/>
        </w:rPr>
        <w:t>my perspective, electrification, artificial intelligence, and advanced manufacturing with a focus on software and digitalization of the customer experience drive the automobile industry. Over 20 million electric cars were sold worldwide in 2025, representing nearly a quarter of total sales, and over 25% of electric-car sales in the United Kingdom grew year-on-year, with over a third of total sales being electric cars .</w:t>
      </w:r>
    </w:p>
    <w:p w14:paraId="2C7B7647">
      <w:pPr>
        <w:spacing w:line="360" w:lineRule="auto"/>
        <w:jc w:val="both"/>
        <w:rPr>
          <w:rFonts w:hint="default" w:ascii="Arial" w:hAnsi="Arial" w:eastAsia="Arial" w:cs="Arial"/>
          <w:sz w:val="24"/>
          <w:szCs w:val="28"/>
        </w:rPr>
      </w:pPr>
      <w:r>
        <w:rPr>
          <w:rFonts w:hint="default" w:ascii="Arial" w:hAnsi="Arial" w:eastAsia="Arial" w:cs="Arial"/>
          <w:sz w:val="24"/>
          <w:szCs w:val="28"/>
        </w:rPr>
        <w:t>Consequently, for Rolls-Royce, technology can be a threat because electric powertrains can deliver the ultimate silent and smooth ride, maximize comfort while offering dynamic performance, and add value for the customer. Moreover, competitors are investing heavily in the development of electric cars, artificial intelligence, and digitalization, so Rolls-Royce has to embrace technology and become a technology company that combines technical expertise with traditional craftsmanship.</w:t>
      </w:r>
    </w:p>
    <w:p w14:paraId="52FC24A6">
      <w:pPr>
        <w:spacing w:line="360" w:lineRule="auto"/>
        <w:jc w:val="both"/>
        <w:rPr>
          <w:rFonts w:hint="default" w:ascii="Arial" w:hAnsi="Arial" w:eastAsia="Arial" w:cs="Arial"/>
          <w:sz w:val="24"/>
          <w:szCs w:val="28"/>
        </w:rPr>
      </w:pPr>
    </w:p>
    <w:p w14:paraId="1080FC1A">
      <w:pPr>
        <w:pStyle w:val="3"/>
        <w:bidi w:val="0"/>
        <w:spacing w:line="360" w:lineRule="auto"/>
        <w:rPr>
          <w:rFonts w:hint="default" w:ascii="Arial" w:hAnsi="Arial" w:cs="Arial"/>
          <w:b/>
          <w:bCs/>
          <w:color w:val="auto"/>
          <w:sz w:val="28"/>
          <w:szCs w:val="28"/>
        </w:rPr>
      </w:pPr>
      <w:bookmarkStart w:id="15" w:name="_Toc21336"/>
      <w:bookmarkStart w:id="16" w:name="_Toc28825"/>
      <w:r>
        <w:rPr>
          <w:rFonts w:hint="default" w:ascii="Arial" w:hAnsi="Arial" w:cs="Arial"/>
          <w:b/>
          <w:bCs/>
          <w:color w:val="auto"/>
          <w:sz w:val="28"/>
          <w:szCs w:val="28"/>
        </w:rPr>
        <w:t>Environmental Factors</w:t>
      </w:r>
      <w:bookmarkEnd w:id="15"/>
      <w:bookmarkEnd w:id="16"/>
      <w:r>
        <w:rPr>
          <w:rFonts w:hint="default" w:ascii="Arial" w:hAnsi="Arial" w:cs="Arial"/>
          <w:b/>
          <w:bCs/>
          <w:color w:val="auto"/>
          <w:sz w:val="28"/>
          <w:szCs w:val="28"/>
        </w:rPr>
        <w:t xml:space="preserve"> </w:t>
      </w:r>
    </w:p>
    <w:p w14:paraId="70251F19">
      <w:pPr>
        <w:spacing w:line="360" w:lineRule="auto"/>
        <w:jc w:val="both"/>
        <w:rPr>
          <w:rFonts w:hint="default" w:ascii="Arial" w:hAnsi="Arial" w:cs="Arial"/>
          <w:sz w:val="24"/>
        </w:rPr>
      </w:pPr>
      <w:r>
        <w:rPr>
          <w:rFonts w:hint="default" w:ascii="Arial" w:hAnsi="Arial" w:cs="Arial"/>
          <w:sz w:val="24"/>
        </w:rPr>
        <w:t xml:space="preserve"> Environmental aspects are increasingly becoming one of the critical areas that this luxury vehicle manufacturer has to consider. The need for zero-emission vehicles and the corresponding sustainability and carbon footprint goals has become inevitable due to regulatory and stakeholder pressures. According to IEA, the number of electric cars sold worldwide is expected to rise to 23 million units in 2026, accounting for 28% of total car sales, making it the fastest-selling type of vehicles in the industry . </w:t>
      </w:r>
    </w:p>
    <w:p w14:paraId="79B10157">
      <w:pPr>
        <w:spacing w:line="360" w:lineRule="auto"/>
        <w:jc w:val="both"/>
        <w:rPr>
          <w:rFonts w:hint="default" w:ascii="Arial" w:hAnsi="Arial" w:cs="Arial"/>
          <w:sz w:val="24"/>
        </w:rPr>
      </w:pPr>
      <w:r>
        <w:rPr>
          <w:rFonts w:hint="default" w:ascii="Arial" w:hAnsi="Arial" w:cs="Arial"/>
          <w:sz w:val="24"/>
        </w:rPr>
        <w:t>Rolls-Royce will have to strive to be sustainable at its core – from the engine, to energy management, to materials – and use the Goodwood sustainability brand to transform its manufacturing processes. The main challenge for Rolls-Royce will be to ensure that their carbon footprint goals do not compromise the comfort and exclusivity expected by their customers.</w:t>
      </w:r>
    </w:p>
    <w:p w14:paraId="584F2EDB">
      <w:pPr>
        <w:spacing w:line="360" w:lineRule="auto"/>
        <w:jc w:val="both"/>
        <w:rPr>
          <w:rFonts w:hint="default" w:ascii="Arial" w:hAnsi="Arial" w:cs="Arial"/>
          <w:sz w:val="24"/>
        </w:rPr>
      </w:pPr>
    </w:p>
    <w:p w14:paraId="168D6B02">
      <w:pPr>
        <w:pStyle w:val="3"/>
        <w:bidi w:val="0"/>
        <w:spacing w:line="360" w:lineRule="auto"/>
        <w:rPr>
          <w:rFonts w:hint="default" w:ascii="Arial" w:hAnsi="Arial" w:cs="Arial"/>
        </w:rPr>
      </w:pPr>
      <w:bookmarkStart w:id="17" w:name="_Toc30420"/>
      <w:bookmarkStart w:id="18" w:name="_Toc17965"/>
      <w:r>
        <w:rPr>
          <w:rFonts w:hint="default" w:ascii="Arial" w:hAnsi="Arial" w:cs="Arial"/>
          <w:b/>
          <w:bCs/>
          <w:color w:val="auto"/>
          <w:sz w:val="28"/>
          <w:szCs w:val="28"/>
        </w:rPr>
        <w:t>Legal Factors</w:t>
      </w:r>
      <w:bookmarkEnd w:id="17"/>
      <w:bookmarkEnd w:id="18"/>
      <w:r>
        <w:rPr>
          <w:rFonts w:hint="default" w:ascii="Arial" w:hAnsi="Arial" w:cs="Arial"/>
        </w:rPr>
        <w:t xml:space="preserve">  </w:t>
      </w:r>
    </w:p>
    <w:p w14:paraId="22005567">
      <w:pPr>
        <w:spacing w:line="360" w:lineRule="auto"/>
        <w:jc w:val="both"/>
        <w:rPr>
          <w:rFonts w:hint="default" w:ascii="Arial" w:hAnsi="Arial" w:eastAsia="Arial" w:cs="Arial"/>
          <w:sz w:val="24"/>
          <w:szCs w:val="24"/>
        </w:rPr>
      </w:pPr>
      <w:r>
        <w:rPr>
          <w:rFonts w:hint="default" w:ascii="Arial" w:hAnsi="Arial" w:eastAsia="Arial" w:cs="Arial"/>
          <w:sz w:val="24"/>
          <w:szCs w:val="24"/>
        </w:rPr>
        <w:t xml:space="preserve">“The UK automotive sector is exposed to the challenge of ever-tightening emissions and environmental regulations. The ZEV Mandate creates legal requirements for zero-emission vehicle sales, and vehicle taxation was also changed in April 2025, with electric vehicles being charged Vehicle Excise Duty, including the premium for expensive cars, from this date . </w:t>
      </w:r>
    </w:p>
    <w:p w14:paraId="6275A0C5">
      <w:pPr>
        <w:spacing w:line="360" w:lineRule="auto"/>
        <w:jc w:val="both"/>
        <w:rPr>
          <w:rFonts w:hint="default" w:ascii="Arial" w:hAnsi="Arial" w:eastAsia="Arial" w:cs="Arial"/>
          <w:sz w:val="24"/>
          <w:szCs w:val="24"/>
        </w:rPr>
      </w:pPr>
      <w:r>
        <w:rPr>
          <w:rFonts w:hint="default" w:ascii="Arial" w:hAnsi="Arial" w:eastAsia="Arial" w:cs="Arial"/>
          <w:sz w:val="24"/>
          <w:szCs w:val="24"/>
        </w:rPr>
        <w:t>These regulations add to the challenges of meeting compliance and may affect product cost and consumer choice. At the same time, they most likely represent the strategic direction for the automobile industry development. From this perspective, Rolls-Royce should take into account regulatory requirements as an integral part of product development and investment planning in the long run.</w:t>
      </w:r>
    </w:p>
    <w:p w14:paraId="4535E546">
      <w:pPr>
        <w:pStyle w:val="3"/>
        <w:bidi w:val="0"/>
        <w:spacing w:line="360" w:lineRule="auto"/>
        <w:rPr>
          <w:rFonts w:hint="default" w:ascii="Arial" w:hAnsi="Arial" w:cs="Arial"/>
        </w:rPr>
      </w:pPr>
      <w:bookmarkStart w:id="19" w:name="_Toc9691"/>
    </w:p>
    <w:p w14:paraId="4ABF0E2C">
      <w:pPr>
        <w:pStyle w:val="3"/>
        <w:bidi w:val="0"/>
        <w:spacing w:line="360" w:lineRule="auto"/>
        <w:rPr>
          <w:rFonts w:hint="default" w:ascii="Arial" w:hAnsi="Arial" w:cs="Arial"/>
          <w:b/>
          <w:bCs/>
          <w:color w:val="auto"/>
          <w:sz w:val="28"/>
          <w:szCs w:val="28"/>
        </w:rPr>
      </w:pPr>
      <w:bookmarkStart w:id="20" w:name="_Toc12965"/>
      <w:r>
        <w:rPr>
          <w:rFonts w:hint="default" w:ascii="Arial" w:hAnsi="Arial" w:cs="Arial"/>
          <w:b/>
          <w:bCs/>
          <w:color w:val="auto"/>
          <w:sz w:val="28"/>
          <w:szCs w:val="28"/>
        </w:rPr>
        <w:t>PESTEL Strategic Evaluation</w:t>
      </w:r>
      <w:bookmarkEnd w:id="19"/>
      <w:bookmarkEnd w:id="20"/>
    </w:p>
    <w:p w14:paraId="402118AE">
      <w:pPr>
        <w:spacing w:line="360" w:lineRule="auto"/>
        <w:jc w:val="both"/>
        <w:rPr>
          <w:rFonts w:hint="default" w:ascii="Arial" w:hAnsi="Arial" w:eastAsia="Arial" w:cs="Arial"/>
          <w:sz w:val="24"/>
          <w:szCs w:val="24"/>
        </w:rPr>
      </w:pPr>
      <w:r>
        <w:rPr>
          <w:rFonts w:hint="default" w:ascii="Arial" w:hAnsi="Arial" w:eastAsia="Arial" w:cs="Arial"/>
          <w:sz w:val="24"/>
          <w:szCs w:val="24"/>
        </w:rPr>
        <w:t>Overall, it may be concluded that for Rolls-Royce, the UK macro-environment offers more opportunities than threats with some careful navigation of the most pressing concerns. Simplification of political and legal pressures makes electrification inevitable, opening up opportunities for innovation in a market segment where differentiation drives the selection of goods by the customers. At the same time, environmental performance is a growing concern that is also a factor enabling creation of competitive advantages through sustainability. Finally, social trends are also conducive to Rolls-Royce’s strategy of offering personalized products. Thus, the only limitation comes in the form of economic risks which can impact the decision-making of the customers in terms of luxury good purchases. The key to success lies in combining the tendency to electrification and focus on sustainability in line with the company’s focused differentiation rather than undermining its unique selling point via excessive technology integration.</w:t>
      </w:r>
      <w:bookmarkStart w:id="21" w:name="_Toc16126"/>
    </w:p>
    <w:p w14:paraId="482213D5">
      <w:pPr>
        <w:spacing w:line="360" w:lineRule="auto"/>
        <w:jc w:val="both"/>
        <w:rPr>
          <w:rFonts w:hint="default" w:ascii="Arial" w:hAnsi="Arial" w:eastAsia="Arial" w:cs="Arial"/>
          <w:sz w:val="24"/>
          <w:szCs w:val="24"/>
        </w:rPr>
      </w:pPr>
    </w:p>
    <w:p w14:paraId="6E07B179">
      <w:pPr>
        <w:spacing w:line="360" w:lineRule="auto"/>
        <w:jc w:val="both"/>
        <w:rPr>
          <w:rFonts w:hint="default" w:ascii="Arial" w:hAnsi="Arial" w:cs="Arial"/>
          <w:b/>
          <w:bCs/>
          <w:color w:val="auto"/>
          <w:sz w:val="32"/>
          <w:szCs w:val="32"/>
        </w:rPr>
      </w:pPr>
      <w:r>
        <w:rPr>
          <w:rFonts w:hint="default" w:ascii="Arial" w:hAnsi="Arial" w:cs="Arial"/>
          <w:b/>
          <w:bCs/>
          <w:color w:val="auto"/>
          <w:sz w:val="32"/>
          <w:szCs w:val="32"/>
        </w:rPr>
        <w:t>Internal Environment Analysis (VRIO Framework and SWOT Analysis)</w:t>
      </w:r>
      <w:bookmarkEnd w:id="21"/>
    </w:p>
    <w:p w14:paraId="520BF4DE">
      <w:pPr>
        <w:pStyle w:val="3"/>
        <w:bidi w:val="0"/>
        <w:spacing w:line="360" w:lineRule="auto"/>
        <w:rPr>
          <w:rFonts w:hint="default" w:ascii="Arial" w:hAnsi="Arial" w:cs="Arial"/>
          <w:b/>
          <w:bCs/>
          <w:color w:val="auto"/>
          <w:sz w:val="28"/>
          <w:szCs w:val="28"/>
        </w:rPr>
      </w:pPr>
      <w:bookmarkStart w:id="22" w:name="_Toc26842"/>
      <w:bookmarkStart w:id="23" w:name="_Toc6034"/>
      <w:r>
        <w:rPr>
          <w:rFonts w:hint="default" w:ascii="Arial" w:hAnsi="Arial" w:cs="Arial"/>
          <w:b/>
          <w:bCs/>
          <w:color w:val="auto"/>
          <w:sz w:val="28"/>
          <w:szCs w:val="28"/>
        </w:rPr>
        <w:t>VRIO Analysis</w:t>
      </w:r>
      <w:bookmarkEnd w:id="22"/>
      <w:bookmarkEnd w:id="23"/>
    </w:p>
    <w:p w14:paraId="61C8F6B7">
      <w:pPr>
        <w:spacing w:line="360" w:lineRule="auto"/>
        <w:jc w:val="both"/>
        <w:rPr>
          <w:rFonts w:hint="default" w:ascii="Arial" w:hAnsi="Arial" w:cs="Arial"/>
          <w:sz w:val="24"/>
          <w:szCs w:val="24"/>
        </w:rPr>
      </w:pPr>
      <w:r>
        <w:rPr>
          <w:rFonts w:hint="default" w:ascii="Arial" w:hAnsi="Arial" w:eastAsia="Arial" w:cs="Arial"/>
          <w:sz w:val="24"/>
          <w:szCs w:val="24"/>
        </w:rPr>
        <w:t>The VRIO framework can be applied to determine Rolls-Royce Motor Cars’ ability to design and implement resource-based competitive advantage, which is based on the idea that resources and capabilities of an entity are valuable and rare, and other forces are not able to imitate and organize them effectively (Barney, 1991). In turn, the most valuable resources of the chosen company include brand, Bespoke, Goodwood, expertise, and BMW technical support.</w:t>
      </w:r>
    </w:p>
    <w:p w14:paraId="41515C60">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Brand heritage and reputation are valuable resources as they reduce the perceived risk of the expensive purchase and provide symbolic importance to the ultra-luxury customer. However, in isolation, the resource has limited value, as the resource-based understanding of the competition implies that the resource has to be combined with other resources, which provide the additional value in the creation of the competitive advantage. Brand heritage is a resource, which is valuable, rare, and difficult to imitate, which gives it the status of a resource-based advantage to the firm that possesses it (Barney, 1991).</w:t>
      </w:r>
    </w:p>
    <w:p w14:paraId="438EC6DA">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Bespoke capability is undoubtedly the most valuable resource. To the contrary of the manufacturing process, which produces standard cars, every Bespoke car is created in cooperation with the customers, designers, and craftsman, and the Coachbuild concept allows the Rolls-Royce to take individualisation to a whole new level, creating unique masterpieces. The resource is undoubtedly rare, as it is difficult for other car manufacturers to offer similar levels of individualisation. It is difficult to imitate as it is not only the technological aspect but also the organisational resource, which is embedded in the network of the company’s relationship with the Bespoke Collective and Private Office. It provides the company with the ability to increase the customers’ willingness to pay, which makes the resource valuable. Therefore, the bespoke resource can be deemed as providing Rolls-Royce with a sustainable competitive advantage.</w:t>
      </w:r>
    </w:p>
    <w:p w14:paraId="1D8BFE1D">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The Goodwood manufacturing ecosystem creates another core competency for Rolls-Royce. Goodwood is where Rolls-Royce cars are designed and made, and the source of Rolls-Royce’s combination of specialist skills with modern manufacturing methods. The value of the resource controlled by Rolls-Royce is explained by the fact that imitation is extremely difficult and time-consuming. The resource is valuable, not easily imitated, and rare.</w:t>
      </w:r>
    </w:p>
    <w:p w14:paraId="04617A1C">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Human resources in the form of specialist knowledge in woodwork, leather, embroidery, painting, engineering, and design are no less important than Rolls-Royce’s production platform. The ability to apply this know-how is difficult to imitate since it is based on a combination of skills and techniques. Thus, the company possesses a competitory resource that satisfies the criteria of VRIO more fully than when compared to car manufacturing knowledge.</w:t>
      </w:r>
    </w:p>
    <w:p w14:paraId="7E00F4D6">
      <w:pPr>
        <w:spacing w:line="360" w:lineRule="auto"/>
        <w:jc w:val="both"/>
        <w:rPr>
          <w:rFonts w:hint="default" w:ascii="Arial" w:hAnsi="Arial" w:eastAsia="Arial" w:cs="Arial"/>
          <w:b w:val="0"/>
          <w:bCs w:val="0"/>
          <w:sz w:val="24"/>
          <w:szCs w:val="28"/>
        </w:rPr>
      </w:pPr>
      <w:r>
        <w:rPr>
          <w:rFonts w:hint="default" w:ascii="Arial" w:hAnsi="Arial" w:eastAsia="Arial" w:cs="Arial"/>
          <w:b w:val="0"/>
          <w:bCs w:val="0"/>
          <w:sz w:val="24"/>
          <w:szCs w:val="28"/>
        </w:rPr>
        <w:t>While BMW provides the company with access to new technologies and sources of investment and expertise, these resources are neither fully non-rivalrous nor non-imitable since other luxury car manufacturers also possess such know-how. The competitive advantage of Rolls-Royce is the combination of BMW’s technological expertise with its own brand and the ecosystem of bespoke goods and services. Therefore, while BMW’s resources and capabilities are not unique to the luxury vehicle manufacturer, their combination with other competencies generates a competitive advantage.</w:t>
      </w:r>
    </w:p>
    <w:p w14:paraId="2B0BEBF5">
      <w:pPr>
        <w:spacing w:line="360" w:lineRule="auto"/>
        <w:jc w:val="both"/>
        <w:rPr>
          <w:rFonts w:hint="default" w:ascii="Arial" w:hAnsi="Arial" w:eastAsia="Arial" w:cs="Arial"/>
          <w:b w:val="0"/>
          <w:bCs w:val="0"/>
          <w:sz w:val="24"/>
          <w:szCs w:val="28"/>
        </w:rPr>
      </w:pPr>
    </w:p>
    <w:p w14:paraId="576F7774">
      <w:pPr>
        <w:pStyle w:val="3"/>
        <w:bidi w:val="0"/>
        <w:spacing w:line="360" w:lineRule="auto"/>
        <w:rPr>
          <w:rFonts w:hint="default" w:ascii="Arial" w:hAnsi="Arial" w:cs="Arial"/>
          <w:b/>
          <w:bCs/>
          <w:color w:val="auto"/>
          <w:sz w:val="28"/>
          <w:szCs w:val="28"/>
        </w:rPr>
      </w:pPr>
      <w:bookmarkStart w:id="24" w:name="_Toc5035"/>
      <w:bookmarkStart w:id="25" w:name="_Toc21502"/>
      <w:r>
        <w:rPr>
          <w:rFonts w:hint="default" w:ascii="Arial" w:hAnsi="Arial" w:cs="Arial"/>
          <w:b/>
          <w:bCs/>
          <w:color w:val="auto"/>
          <w:sz w:val="28"/>
          <w:szCs w:val="28"/>
        </w:rPr>
        <w:t>SWOT Analysis</w:t>
      </w:r>
      <w:bookmarkEnd w:id="24"/>
      <w:bookmarkEnd w:id="25"/>
    </w:p>
    <w:p w14:paraId="14FB8967">
      <w:pPr>
        <w:pStyle w:val="16"/>
        <w:keepNext w:val="0"/>
        <w:keepLines w:val="0"/>
        <w:widowControl/>
        <w:suppressLineNumbers w:val="0"/>
        <w:spacing w:before="0" w:beforeAutospacing="1" w:after="0" w:afterAutospacing="1" w:line="360" w:lineRule="auto"/>
        <w:ind w:left="0" w:right="0"/>
        <w:jc w:val="both"/>
        <w:rPr>
          <w:rFonts w:hint="default" w:ascii="Arial" w:hAnsi="Arial" w:cs="Arial"/>
          <w:sz w:val="24"/>
          <w:szCs w:val="24"/>
        </w:rPr>
      </w:pPr>
      <w:r>
        <w:rPr>
          <w:rFonts w:hint="default" w:ascii="Arial" w:hAnsi="Arial" w:cs="Arial"/>
          <w:sz w:val="24"/>
          <w:szCs w:val="24"/>
        </w:rPr>
        <w:t>The SWOT analysis synthesises the internal capabilities identified through VRIO with the external opportunities and threats identified through PESTEL.</w:t>
      </w:r>
    </w:p>
    <w:p w14:paraId="75F4C537">
      <w:pPr>
        <w:pStyle w:val="16"/>
        <w:keepNext w:val="0"/>
        <w:keepLines w:val="0"/>
        <w:widowControl/>
        <w:numPr>
          <w:numId w:val="0"/>
        </w:numPr>
        <w:suppressLineNumbers w:val="0"/>
        <w:spacing w:beforeAutospacing="1" w:line="360" w:lineRule="auto"/>
        <w:ind w:leftChars="0"/>
        <w:jc w:val="both"/>
        <w:rPr>
          <w:rFonts w:hint="default" w:ascii="Arial" w:hAnsi="Arial" w:cs="Arial"/>
          <w:sz w:val="24"/>
          <w:szCs w:val="24"/>
        </w:rPr>
      </w:pPr>
      <w:r>
        <w:rPr>
          <w:rStyle w:val="17"/>
          <w:rFonts w:hint="default" w:ascii="Arial" w:hAnsi="Arial" w:cs="Arial"/>
          <w:sz w:val="24"/>
          <w:szCs w:val="24"/>
        </w:rPr>
        <w:t>Strengths</w:t>
      </w:r>
    </w:p>
    <w:p w14:paraId="373CB955">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Exceptional global brand equity and heritage. </w:t>
      </w:r>
    </w:p>
    <w:p w14:paraId="6A32F9F6">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Highly differentiated Bespoke and Coachbuild capabilities. </w:t>
      </w:r>
    </w:p>
    <w:p w14:paraId="5EA5D973">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Skilled artisan and engineering workforce. </w:t>
      </w:r>
    </w:p>
    <w:p w14:paraId="6A6AFAA7">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Goodwood manufacturing ecosystem. </w:t>
      </w:r>
    </w:p>
    <w:p w14:paraId="27F5022D">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BMW Group technological and financial support. </w:t>
      </w:r>
    </w:p>
    <w:p w14:paraId="73CAE58F">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Strong ability to command premium prices. </w:t>
      </w:r>
    </w:p>
    <w:p w14:paraId="640A154E">
      <w:pPr>
        <w:pStyle w:val="16"/>
        <w:keepNext w:val="0"/>
        <w:keepLines w:val="0"/>
        <w:widowControl/>
        <w:numPr>
          <w:numId w:val="0"/>
        </w:numPr>
        <w:suppressLineNumbers w:val="0"/>
        <w:spacing w:beforeAutospacing="1" w:line="360" w:lineRule="auto"/>
        <w:ind w:leftChars="0"/>
        <w:jc w:val="both"/>
        <w:rPr>
          <w:rFonts w:hint="default" w:ascii="Arial" w:hAnsi="Arial" w:cs="Arial"/>
          <w:sz w:val="24"/>
          <w:szCs w:val="24"/>
        </w:rPr>
      </w:pPr>
      <w:r>
        <w:rPr>
          <w:rStyle w:val="17"/>
          <w:rFonts w:hint="default" w:ascii="Arial" w:hAnsi="Arial" w:cs="Arial"/>
          <w:sz w:val="24"/>
          <w:szCs w:val="24"/>
        </w:rPr>
        <w:t>Weaknesses</w:t>
      </w:r>
    </w:p>
    <w:p w14:paraId="54869F64">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Extremely high production and ownership costs. </w:t>
      </w:r>
    </w:p>
    <w:p w14:paraId="66E24B96">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Small addressable customer segment. </w:t>
      </w:r>
    </w:p>
    <w:p w14:paraId="577F5563">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Dependence on global luxury spending. </w:t>
      </w:r>
    </w:p>
    <w:p w14:paraId="70B25BA1">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Low-volume production limits economies of scale. </w:t>
      </w:r>
    </w:p>
    <w:p w14:paraId="2A5AA59B">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sz w:val="24"/>
          <w:szCs w:val="24"/>
        </w:rPr>
        <w:t>Continued dependence on external technological capabilities in areas such as electrification.</w:t>
      </w:r>
    </w:p>
    <w:p w14:paraId="301E4D93">
      <w:pPr>
        <w:keepNext w:val="0"/>
        <w:keepLines w:val="0"/>
        <w:widowControl/>
        <w:numPr>
          <w:numId w:val="0"/>
        </w:numPr>
        <w:suppressLineNumbers w:val="0"/>
        <w:spacing w:before="0" w:beforeAutospacing="1" w:after="0" w:afterAutospacing="1" w:line="360" w:lineRule="auto"/>
        <w:ind w:leftChars="0"/>
        <w:jc w:val="both"/>
        <w:rPr>
          <w:rFonts w:hint="default" w:ascii="Arial" w:hAnsi="Arial" w:cs="Arial"/>
          <w:sz w:val="24"/>
          <w:szCs w:val="24"/>
        </w:rPr>
      </w:pPr>
      <w:r>
        <w:rPr>
          <w:rFonts w:hint="default" w:ascii="Arial" w:hAnsi="Arial" w:cs="Arial"/>
          <w:b/>
          <w:bCs/>
          <w:sz w:val="24"/>
          <w:szCs w:val="24"/>
        </w:rPr>
        <w:t>Opportunities</w:t>
      </w:r>
    </w:p>
    <w:p w14:paraId="5218FA58">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b w:val="0"/>
          <w:bCs w:val="0"/>
          <w:sz w:val="24"/>
          <w:szCs w:val="24"/>
        </w:rPr>
      </w:pPr>
      <w:r>
        <w:rPr>
          <w:rFonts w:hint="default" w:ascii="Arial" w:hAnsi="Arial" w:cs="Arial"/>
          <w:b w:val="0"/>
          <w:bCs w:val="0"/>
          <w:sz w:val="24"/>
          <w:szCs w:val="24"/>
        </w:rPr>
        <w:t>Growth of luxury electric vehicles.</w:t>
      </w:r>
    </w:p>
    <w:p w14:paraId="596D7F65">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b w:val="0"/>
          <w:bCs w:val="0"/>
          <w:sz w:val="24"/>
          <w:szCs w:val="24"/>
        </w:rPr>
      </w:pPr>
      <w:r>
        <w:rPr>
          <w:rFonts w:hint="default" w:ascii="Arial" w:hAnsi="Arial" w:cs="Arial"/>
          <w:b w:val="0"/>
          <w:bCs w:val="0"/>
          <w:sz w:val="24"/>
          <w:szCs w:val="24"/>
        </w:rPr>
        <w:t>Increasing demand for distinctive luxury experience.</w:t>
      </w:r>
    </w:p>
    <w:p w14:paraId="4D121A57">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b w:val="0"/>
          <w:bCs w:val="0"/>
          <w:sz w:val="24"/>
          <w:szCs w:val="24"/>
        </w:rPr>
      </w:pPr>
      <w:r>
        <w:rPr>
          <w:rFonts w:hint="default" w:ascii="Arial" w:hAnsi="Arial" w:cs="Arial"/>
          <w:b w:val="0"/>
          <w:bCs w:val="0"/>
          <w:sz w:val="24"/>
          <w:szCs w:val="24"/>
        </w:rPr>
        <w:t>Customization by customers through digitization and AI technology.</w:t>
      </w:r>
    </w:p>
    <w:p w14:paraId="2B829E4E">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b w:val="0"/>
          <w:bCs w:val="0"/>
          <w:sz w:val="24"/>
          <w:szCs w:val="24"/>
        </w:rPr>
      </w:pPr>
      <w:r>
        <w:rPr>
          <w:rFonts w:hint="default" w:ascii="Arial" w:hAnsi="Arial" w:cs="Arial"/>
          <w:b w:val="0"/>
          <w:bCs w:val="0"/>
          <w:sz w:val="24"/>
          <w:szCs w:val="24"/>
        </w:rPr>
        <w:t>Sustainable material usage and low carbon emission.</w:t>
      </w:r>
    </w:p>
    <w:p w14:paraId="05A3C841">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sz w:val="24"/>
          <w:szCs w:val="24"/>
        </w:rPr>
      </w:pPr>
      <w:r>
        <w:rPr>
          <w:rFonts w:hint="default" w:ascii="Arial" w:hAnsi="Arial" w:cs="Arial"/>
          <w:b w:val="0"/>
          <w:bCs w:val="0"/>
          <w:sz w:val="24"/>
          <w:szCs w:val="24"/>
        </w:rPr>
        <w:t>Increasing number of the wealthy customer segment in the developing economies.</w:t>
      </w:r>
    </w:p>
    <w:p w14:paraId="2F2125EE">
      <w:pPr>
        <w:keepNext w:val="0"/>
        <w:keepLines w:val="0"/>
        <w:widowControl/>
        <w:numPr>
          <w:numId w:val="0"/>
        </w:numPr>
        <w:suppressLineNumbers w:val="0"/>
        <w:spacing w:before="0" w:beforeAutospacing="1" w:after="0" w:afterAutospacing="1" w:line="360" w:lineRule="auto"/>
        <w:ind w:leftChars="0"/>
        <w:jc w:val="both"/>
        <w:rPr>
          <w:rFonts w:hint="default" w:ascii="Arial" w:hAnsi="Arial" w:cs="Arial"/>
          <w:sz w:val="24"/>
          <w:szCs w:val="24"/>
        </w:rPr>
      </w:pPr>
      <w:r>
        <w:rPr>
          <w:rFonts w:hint="default" w:ascii="Arial" w:hAnsi="Arial" w:cs="Arial"/>
          <w:b/>
          <w:bCs/>
          <w:sz w:val="24"/>
          <w:szCs w:val="24"/>
        </w:rPr>
        <w:t>Threats</w:t>
      </w:r>
    </w:p>
    <w:p w14:paraId="30DD2EC4">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color w:val="auto"/>
          <w:sz w:val="24"/>
          <w:szCs w:val="24"/>
        </w:rPr>
      </w:pPr>
      <w:r>
        <w:rPr>
          <w:rFonts w:hint="default" w:ascii="Arial" w:hAnsi="Arial" w:cs="Arial"/>
          <w:color w:val="auto"/>
          <w:sz w:val="24"/>
          <w:szCs w:val="24"/>
        </w:rPr>
        <w:t>Luxury competition from other luxury car makers such as Bentley, Mercedes-Maybach, Aston Martin, etc.</w:t>
      </w:r>
    </w:p>
    <w:p w14:paraId="0E5816E8">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color w:val="auto"/>
          <w:sz w:val="24"/>
          <w:szCs w:val="24"/>
        </w:rPr>
      </w:pPr>
      <w:r>
        <w:rPr>
          <w:rFonts w:hint="default" w:ascii="Arial" w:hAnsi="Arial" w:cs="Arial"/>
          <w:color w:val="auto"/>
          <w:sz w:val="24"/>
          <w:szCs w:val="24"/>
        </w:rPr>
        <w:t>Changes in technology.</w:t>
      </w:r>
    </w:p>
    <w:p w14:paraId="33A64120">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color w:val="auto"/>
          <w:sz w:val="24"/>
          <w:szCs w:val="24"/>
        </w:rPr>
      </w:pPr>
      <w:r>
        <w:rPr>
          <w:rFonts w:hint="default" w:ascii="Arial" w:hAnsi="Arial" w:cs="Arial"/>
          <w:color w:val="auto"/>
          <w:sz w:val="24"/>
          <w:szCs w:val="24"/>
        </w:rPr>
        <w:t>Environmental regulation.</w:t>
      </w:r>
    </w:p>
    <w:p w14:paraId="25435FB2">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color w:val="auto"/>
          <w:sz w:val="24"/>
          <w:szCs w:val="24"/>
        </w:rPr>
      </w:pPr>
      <w:r>
        <w:rPr>
          <w:rFonts w:hint="default" w:ascii="Arial" w:hAnsi="Arial" w:cs="Arial"/>
          <w:color w:val="auto"/>
          <w:sz w:val="24"/>
          <w:szCs w:val="24"/>
        </w:rPr>
        <w:t>Disruption in supply chain and scarcity of premium material.</w:t>
      </w:r>
    </w:p>
    <w:p w14:paraId="4789E517">
      <w:pPr>
        <w:keepNext w:val="0"/>
        <w:keepLines w:val="0"/>
        <w:widowControl/>
        <w:numPr>
          <w:ilvl w:val="0"/>
          <w:numId w:val="1"/>
        </w:numPr>
        <w:suppressLineNumbers w:val="0"/>
        <w:spacing w:before="0" w:beforeAutospacing="1" w:after="0" w:afterAutospacing="1" w:line="360" w:lineRule="auto"/>
        <w:ind w:left="420" w:leftChars="0" w:hanging="420" w:firstLineChars="0"/>
        <w:jc w:val="both"/>
        <w:rPr>
          <w:rFonts w:hint="default" w:ascii="Arial" w:hAnsi="Arial" w:cs="Arial"/>
          <w:color w:val="auto"/>
          <w:sz w:val="24"/>
          <w:szCs w:val="24"/>
        </w:rPr>
      </w:pPr>
      <w:r>
        <w:rPr>
          <w:rFonts w:hint="default" w:ascii="Arial" w:hAnsi="Arial" w:cs="Arial"/>
          <w:color w:val="auto"/>
          <w:sz w:val="24"/>
          <w:szCs w:val="24"/>
        </w:rPr>
        <w:t>Luxury economic recessions.</w:t>
      </w:r>
    </w:p>
    <w:p w14:paraId="578DF057">
      <w:pPr>
        <w:keepNext w:val="0"/>
        <w:keepLines w:val="0"/>
        <w:widowControl/>
        <w:numPr>
          <w:numId w:val="0"/>
        </w:numPr>
        <w:suppressLineNumbers w:val="0"/>
        <w:spacing w:before="0" w:beforeAutospacing="1" w:after="0" w:afterAutospacing="1" w:line="360" w:lineRule="auto"/>
        <w:ind w:leftChars="0"/>
        <w:jc w:val="both"/>
        <w:rPr>
          <w:rFonts w:hint="default" w:ascii="Arial" w:hAnsi="Arial" w:cs="Arial"/>
          <w:color w:val="auto"/>
          <w:sz w:val="24"/>
          <w:szCs w:val="24"/>
        </w:rPr>
      </w:pPr>
      <w:r>
        <w:rPr>
          <w:rFonts w:hint="default" w:ascii="Arial" w:hAnsi="Arial" w:cs="Arial"/>
          <w:color w:val="auto"/>
          <w:sz w:val="24"/>
          <w:szCs w:val="24"/>
        </w:rPr>
        <w:t>The critical implication of these findings is that Rolls-Royce should not seek to overcome its weaknesses by focusing on increased production as it would damage the perceived exclusativity of the brand. Rather, it should strive to leverage the strengths associated with its bespoke capabilities, brand equity, and craftsmanship to either meet the industry trends towards electrification or find a way to integrate this shift into its existing business model. The sum of £300 million being invested into the creation of new premises for both Bespoke and Coachbuild that will be unveiled in 2025 is indicative of the company’s efforts to strengthen this particular asset.</w:t>
      </w:r>
    </w:p>
    <w:p w14:paraId="0F8C1F86">
      <w:pPr>
        <w:keepNext w:val="0"/>
        <w:keepLines w:val="0"/>
        <w:widowControl/>
        <w:numPr>
          <w:numId w:val="0"/>
        </w:numPr>
        <w:suppressLineNumbers w:val="0"/>
        <w:spacing w:before="0" w:beforeAutospacing="1" w:after="0" w:afterAutospacing="1" w:line="360" w:lineRule="auto"/>
        <w:ind w:leftChars="0"/>
        <w:jc w:val="both"/>
        <w:rPr>
          <w:rFonts w:hint="default" w:ascii="Arial" w:hAnsi="Arial" w:cs="Arial"/>
          <w:color w:val="auto"/>
          <w:sz w:val="24"/>
          <w:szCs w:val="24"/>
          <w:lang w:val="en-US"/>
        </w:rPr>
      </w:pPr>
      <w:r>
        <w:rPr>
          <w:rFonts w:hint="default" w:ascii="Arial" w:hAnsi="Arial" w:cs="Arial"/>
          <w:color w:val="auto"/>
          <w:sz w:val="24"/>
          <w:szCs w:val="24"/>
        </w:rPr>
        <w:t>By analysing the findings presented in VRIO and SWOT, one can conclude that the best possible strategy for Rolls-Royce is to adopt a focused differentiation approach. It should strive to combine the power of its intangible assets, including brand equity and craftsmanship, with the latest technology to ensure that its competitive advantage is difficult to imitate, thus fulfilling the VRIO framework’s requirements. In such a manner, the company can utilise the strongest possible combination of resources and capabilities to either adapt the changing demands, such as the shift towards electric vehicles, or introduce innovations that would be advantageous for the entire industry</w:t>
      </w:r>
      <w:bookmarkStart w:id="26" w:name="_Toc16765"/>
      <w:r>
        <w:rPr>
          <w:rFonts w:hint="default" w:ascii="Arial" w:hAnsi="Arial" w:cs="Arial"/>
          <w:color w:val="auto"/>
          <w:sz w:val="24"/>
          <w:szCs w:val="24"/>
          <w:lang w:val="en-US"/>
        </w:rPr>
        <w:t xml:space="preserve"> .</w:t>
      </w:r>
    </w:p>
    <w:p w14:paraId="3B7D9AE3">
      <w:pPr>
        <w:pStyle w:val="2"/>
        <w:bidi w:val="0"/>
        <w:spacing w:line="360" w:lineRule="auto"/>
        <w:rPr>
          <w:rFonts w:hint="default" w:ascii="Arial" w:hAnsi="Arial" w:cs="Arial"/>
          <w:b/>
          <w:bCs/>
          <w:color w:val="auto"/>
          <w:sz w:val="32"/>
          <w:szCs w:val="32"/>
        </w:rPr>
      </w:pPr>
      <w:bookmarkStart w:id="27" w:name="_Toc24213"/>
      <w:r>
        <w:rPr>
          <w:rFonts w:hint="default" w:ascii="Arial" w:hAnsi="Arial" w:cs="Arial"/>
          <w:b/>
          <w:bCs/>
          <w:color w:val="auto"/>
          <w:sz w:val="32"/>
          <w:szCs w:val="32"/>
        </w:rPr>
        <w:t>Comprehensive and Holistic View of the Organisation</w:t>
      </w:r>
      <w:bookmarkEnd w:id="26"/>
      <w:bookmarkEnd w:id="27"/>
    </w:p>
    <w:p w14:paraId="06EF4CF4">
      <w:pPr>
        <w:pStyle w:val="3"/>
        <w:bidi w:val="0"/>
        <w:spacing w:line="360" w:lineRule="auto"/>
        <w:rPr>
          <w:rFonts w:hint="default" w:ascii="Arial" w:hAnsi="Arial" w:cs="Arial"/>
          <w:b/>
          <w:bCs/>
          <w:color w:val="auto"/>
          <w:sz w:val="28"/>
          <w:szCs w:val="28"/>
        </w:rPr>
      </w:pPr>
      <w:bookmarkStart w:id="28" w:name="_Toc30436"/>
      <w:bookmarkStart w:id="29" w:name="_Toc15086"/>
      <w:r>
        <w:rPr>
          <w:rFonts w:hint="default" w:ascii="Arial" w:hAnsi="Arial" w:cs="Arial"/>
          <w:b/>
          <w:bCs/>
          <w:color w:val="auto"/>
          <w:sz w:val="28"/>
          <w:szCs w:val="28"/>
        </w:rPr>
        <w:t>Corporate Social Responsibility and Strategic Alignment</w:t>
      </w:r>
      <w:bookmarkEnd w:id="28"/>
      <w:bookmarkEnd w:id="29"/>
    </w:p>
    <w:p w14:paraId="7399592B">
      <w:pPr>
        <w:spacing w:line="360" w:lineRule="auto"/>
        <w:jc w:val="both"/>
        <w:rPr>
          <w:rFonts w:hint="default" w:ascii="Arial" w:hAnsi="Arial" w:eastAsia="Arial" w:cs="Arial"/>
          <w:sz w:val="24"/>
          <w:szCs w:val="28"/>
        </w:rPr>
      </w:pPr>
      <w:r>
        <w:rPr>
          <w:rFonts w:hint="default" w:ascii="Arial" w:hAnsi="Arial" w:eastAsia="Arial" w:cs="Arial"/>
          <w:sz w:val="24"/>
          <w:szCs w:val="28"/>
        </w:rPr>
        <w:t>Corporate Social Responsibility (CSR) at Rolls-Royce Motor Cars is manifested in such a way that makes it a strategic issue, not just a compliance matter. For a luxury car manufacturer, environmental friendliness, ethical sourcing, employee competencies, and stakeholders’ expectations are critical factors that impact customer relations. Carroll and Shabana (1991) highlight the importance of economic, legal, ethical, and philanthropic responsibilities, whereas Elkington (1997) argues that economic, environmental, and social responsibilities are central to sustainable development.</w:t>
      </w:r>
    </w:p>
    <w:p w14:paraId="46F200CF">
      <w:pPr>
        <w:spacing w:line="360" w:lineRule="auto"/>
        <w:jc w:val="both"/>
        <w:rPr>
          <w:rFonts w:hint="default" w:ascii="Arial" w:hAnsi="Arial" w:eastAsia="Arial" w:cs="Arial"/>
          <w:sz w:val="24"/>
          <w:szCs w:val="28"/>
        </w:rPr>
      </w:pPr>
      <w:r>
        <w:rPr>
          <w:rFonts w:hint="default" w:ascii="Arial" w:hAnsi="Arial" w:eastAsia="Arial" w:cs="Arial"/>
          <w:sz w:val="24"/>
          <w:szCs w:val="28"/>
        </w:rPr>
        <w:t>Environmental sustainability is one of Rolls-Royce’s key concerns because customers’ preferences are changing, and hybrid engines are believed to be the future of the automobile industry. In particular, the Goodwood plant has reduced its energy consumption by almost 30% per car produced during the last five years. As a result, it becomes possible to introduce such changes and brand them as contributing to the creation of a luxury product without damaging the customer base.</w:t>
      </w:r>
    </w:p>
    <w:p w14:paraId="2539FE01">
      <w:pPr>
        <w:spacing w:line="360" w:lineRule="auto"/>
        <w:jc w:val="both"/>
        <w:rPr>
          <w:rFonts w:hint="default" w:ascii="Arial" w:hAnsi="Arial" w:eastAsia="Arial" w:cs="Arial"/>
          <w:sz w:val="24"/>
          <w:szCs w:val="28"/>
        </w:rPr>
      </w:pPr>
      <w:r>
        <w:rPr>
          <w:rFonts w:hint="default" w:ascii="Arial" w:hAnsi="Arial" w:eastAsia="Arial" w:cs="Arial"/>
          <w:sz w:val="24"/>
          <w:szCs w:val="28"/>
        </w:rPr>
        <w:t>At the Group level, BMW has also set ambitious targets for reducing carbon emissions, with particular emphasis on short- (Scope 1, 2) and long-term (Scope 3) goals, as well as achieving net-zero emissions across the entire value chain by 2050 at the latest. In this regard, the objectives of the parent company may create additional room for the consideration of Rolls-Royce ’s own goals related to electrification, circularity, and sustainable supply-chain management.</w:t>
      </w:r>
    </w:p>
    <w:p w14:paraId="5FCA1779">
      <w:pPr>
        <w:spacing w:line="360" w:lineRule="auto"/>
        <w:jc w:val="both"/>
        <w:rPr>
          <w:rFonts w:hint="default" w:ascii="Arial" w:hAnsi="Arial" w:eastAsia="Arial" w:cs="Arial"/>
          <w:sz w:val="24"/>
          <w:szCs w:val="28"/>
        </w:rPr>
      </w:pPr>
      <w:r>
        <w:rPr>
          <w:rFonts w:hint="default" w:ascii="Arial" w:hAnsi="Arial" w:eastAsia="Arial" w:cs="Arial"/>
          <w:sz w:val="24"/>
          <w:szCs w:val="28"/>
        </w:rPr>
        <w:t>On the other hand, sustainability poses a challenge to Rolls-Royce because the company uses exotic materials and complex production processes to create light and powerful engines and unique luxury cars, which is why the brand is so desirable among car enthusiasts. This factor can be turned into a competitive advantage for Rolls-Royce by using alternative materials, energy, and embracing circularity in sustainability initiatives to create another level of luxury, which is environmentally acceptable and differentiates the brand from competitors.</w:t>
      </w:r>
    </w:p>
    <w:p w14:paraId="7078BF9A">
      <w:pPr>
        <w:spacing w:line="360" w:lineRule="auto"/>
        <w:jc w:val="both"/>
        <w:rPr>
          <w:rFonts w:hint="default" w:ascii="Arial" w:hAnsi="Arial" w:eastAsia="Arial" w:cs="Arial"/>
          <w:sz w:val="24"/>
          <w:szCs w:val="28"/>
        </w:rPr>
      </w:pPr>
      <w:r>
        <w:rPr>
          <w:rFonts w:hint="default" w:ascii="Arial" w:hAnsi="Arial" w:eastAsia="Arial" w:cs="Arial"/>
          <w:sz w:val="24"/>
          <w:szCs w:val="28"/>
        </w:rPr>
        <w:t>Thus, CSR can provide Rolls-Royce with strategic value, which is associated with a careful balancing act between sustainability goals and the need to ensure the luxury premium. Embracing sustainable practices can become an integral element of Rolls-Royce’s competitive advantage over time rather than eroding it.</w:t>
      </w:r>
    </w:p>
    <w:p w14:paraId="6255A40C">
      <w:pPr>
        <w:pStyle w:val="3"/>
        <w:bidi w:val="0"/>
        <w:spacing w:line="360" w:lineRule="auto"/>
        <w:rPr>
          <w:rFonts w:hint="default" w:ascii="Arial" w:hAnsi="Arial" w:cs="Arial"/>
          <w:b/>
          <w:bCs/>
          <w:color w:val="auto"/>
          <w:sz w:val="28"/>
          <w:szCs w:val="28"/>
        </w:rPr>
      </w:pPr>
      <w:bookmarkStart w:id="30" w:name="_Toc32011"/>
      <w:bookmarkStart w:id="31" w:name="_Toc15991"/>
      <w:r>
        <w:rPr>
          <w:rFonts w:hint="default" w:ascii="Arial" w:hAnsi="Arial" w:cs="Arial"/>
          <w:b/>
          <w:bCs/>
          <w:color w:val="auto"/>
          <w:sz w:val="28"/>
          <w:szCs w:val="28"/>
        </w:rPr>
        <w:t>Balanced Scorecard</w:t>
      </w:r>
      <w:bookmarkEnd w:id="30"/>
      <w:bookmarkEnd w:id="31"/>
    </w:p>
    <w:p w14:paraId="2CFBF64F">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Balanced Scorecard is a tool which helps in translating the Rolls-Royce’s strategy into specific financial and non-financial goals in order to achieve four interrelated perspectives (Kaplan and Norton, 1992). Therefore, the strategy of the company should be used in order to align the Balanced Scorecard, which is supposed to meet the main goal of the Rolls-Royce, which is to pursue focused differentiation while embracing the electrification, digitalisation and sustainability trends.</w:t>
      </w:r>
    </w:p>
    <w:p w14:paraId="41D655A0">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Balanced Scorecard can be used to assess Rolls-Royce’s strategic position from four perspectives. First, in terms of finance, the company should ensure a high level of profit from its core products while investing in the development of Bespoke, Coachbuild, and electric cars. Second, from the customer’s viewpoint, it is critical to focus on satisfying these clients’ expectations, increasing the number of repeat/secondary sales, growing demand for bespoke commissions, and providing more personalization via Private Office and online configurators. Third, the internal business processes should be geared towards sustaining the luxury carmaker’s reputation for high-quality vehicles while reducing costs and emissions. Lastly, the last perspective is centered around empowering employees through apprenticeships, developing their digital competencies, and investing in research and development. In this way, Rolls-Royce will be able to meet its strategic goal of maintaining its differentiated position on the market while still being able to sustain its business in the long run.</w:t>
      </w:r>
    </w:p>
    <w:p w14:paraId="154961B8">
      <w:pPr>
        <w:spacing w:line="360" w:lineRule="auto"/>
        <w:jc w:val="both"/>
        <w:rPr>
          <w:rFonts w:hint="default" w:ascii="Arial" w:hAnsi="Arial" w:eastAsia="SimSun" w:cs="Arial"/>
          <w:b w:val="0"/>
          <w:bCs w:val="0"/>
          <w:sz w:val="24"/>
          <w:szCs w:val="24"/>
        </w:rPr>
      </w:pPr>
    </w:p>
    <w:p w14:paraId="14BF39AB">
      <w:pPr>
        <w:pStyle w:val="3"/>
        <w:bidi w:val="0"/>
        <w:spacing w:line="360" w:lineRule="auto"/>
        <w:rPr>
          <w:rFonts w:hint="default" w:ascii="Arial" w:hAnsi="Arial" w:cs="Arial"/>
          <w:b/>
          <w:bCs/>
          <w:color w:val="auto"/>
          <w:sz w:val="28"/>
          <w:szCs w:val="28"/>
        </w:rPr>
      </w:pPr>
      <w:bookmarkStart w:id="32" w:name="_Toc3761"/>
      <w:bookmarkStart w:id="33" w:name="_Toc846"/>
      <w:r>
        <w:rPr>
          <w:rFonts w:hint="default" w:ascii="Arial" w:hAnsi="Arial" w:cs="Arial"/>
          <w:b/>
          <w:bCs/>
          <w:color w:val="auto"/>
          <w:sz w:val="28"/>
          <w:szCs w:val="28"/>
        </w:rPr>
        <w:t>Financial Perspective</w:t>
      </w:r>
      <w:bookmarkEnd w:id="32"/>
      <w:bookmarkEnd w:id="33"/>
    </w:p>
    <w:p w14:paraId="5E5D7E61">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financial objective should not be the increase in quantity, since due to the nature of the brand, an oversupply would drive the prices down, thus, deteriorating the product. It is more reasonable to focus on enhancing the value of each produced unit and providing the best customization and additional services. In terms of Coachbuild and Bespoke, it would be relevant to develop the provision of technologically advanced luxury vehicles within the framework of the £300 million investment in the Goodwood headquarters for 2025.</w:t>
      </w:r>
    </w:p>
    <w:p w14:paraId="6C62CA24">
      <w:pPr>
        <w:spacing w:line="360" w:lineRule="auto"/>
        <w:jc w:val="both"/>
        <w:rPr>
          <w:rFonts w:hint="default" w:ascii="Arial" w:hAnsi="Arial" w:eastAsia="SimSun" w:cs="Arial"/>
          <w:b w:val="0"/>
          <w:bCs w:val="0"/>
          <w:sz w:val="24"/>
          <w:szCs w:val="24"/>
        </w:rPr>
      </w:pPr>
    </w:p>
    <w:p w14:paraId="34398D9D">
      <w:pPr>
        <w:pStyle w:val="3"/>
        <w:bidi w:val="0"/>
        <w:spacing w:line="360" w:lineRule="auto"/>
        <w:rPr>
          <w:rFonts w:hint="default" w:ascii="Arial" w:hAnsi="Arial" w:cs="Arial"/>
          <w:b/>
          <w:bCs/>
          <w:color w:val="auto"/>
          <w:sz w:val="28"/>
          <w:szCs w:val="28"/>
        </w:rPr>
      </w:pPr>
      <w:bookmarkStart w:id="34" w:name="_Toc26587"/>
      <w:bookmarkStart w:id="35" w:name="_Toc15074"/>
      <w:r>
        <w:rPr>
          <w:rFonts w:hint="default" w:ascii="Arial" w:hAnsi="Arial" w:cs="Arial"/>
          <w:b/>
          <w:bCs/>
          <w:color w:val="auto"/>
          <w:sz w:val="28"/>
          <w:szCs w:val="28"/>
        </w:rPr>
        <w:t>Customer Perspective</w:t>
      </w:r>
      <w:bookmarkEnd w:id="34"/>
      <w:bookmarkEnd w:id="35"/>
    </w:p>
    <w:p w14:paraId="7E769279">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Customer experience is extremely important for Rolls-Royce as the company creates not only a product but an experience, image, prestige, luxury, and a unique relationship with the client. Thus, I would include the indicators of customer satisfaction, repeat business, customization, and referrals into the group of performance indicators. The design of the car and the individual approach should be created in such a way that the client feels the most comfortable and does not have to deal with anyone except Rolls-Royce.</w:t>
      </w:r>
    </w:p>
    <w:p w14:paraId="17E1B014">
      <w:pPr>
        <w:spacing w:line="360" w:lineRule="auto"/>
        <w:jc w:val="both"/>
        <w:rPr>
          <w:rFonts w:hint="default" w:ascii="Arial" w:hAnsi="Arial" w:eastAsia="SimSun" w:cs="Arial"/>
          <w:b w:val="0"/>
          <w:bCs w:val="0"/>
          <w:sz w:val="24"/>
          <w:szCs w:val="24"/>
        </w:rPr>
      </w:pPr>
    </w:p>
    <w:p w14:paraId="25B5045B">
      <w:pPr>
        <w:pStyle w:val="3"/>
        <w:bidi w:val="0"/>
        <w:spacing w:line="360" w:lineRule="auto"/>
        <w:rPr>
          <w:rFonts w:hint="default" w:ascii="Arial" w:hAnsi="Arial" w:cs="Arial"/>
        </w:rPr>
      </w:pPr>
      <w:bookmarkStart w:id="36" w:name="_Toc696"/>
      <w:bookmarkStart w:id="37" w:name="_Toc25739"/>
      <w:r>
        <w:rPr>
          <w:rFonts w:hint="default" w:ascii="Arial" w:hAnsi="Arial" w:cs="Arial"/>
          <w:b/>
          <w:bCs/>
          <w:color w:val="auto"/>
          <w:sz w:val="28"/>
          <w:szCs w:val="28"/>
        </w:rPr>
        <w:t>Internal Business Process Perspective</w:t>
      </w:r>
      <w:bookmarkEnd w:id="36"/>
      <w:bookmarkEnd w:id="37"/>
    </w:p>
    <w:p w14:paraId="62A1FA18">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Operational excellence operations should be matched with handcrafted production quality. That is why it should be implemented selectively to processes where it adds value through better precision, planning, sustainability, or efficiency, leaving the craftsmanship of manufacture to human workers. Moreover, sustainability KPIs should be expanded to include production-related waste, energy used, CO₂ emitted, and materials’ responsible sourcing. This is a critical point as per BMW Group’s report on emissions, which saw 99.4% of Scope 3 emissions forecasted for 2025, and stress the importance of post-production sustainability stages, not just manufacturing.</w:t>
      </w:r>
    </w:p>
    <w:p w14:paraId="0C3D67DC">
      <w:pPr>
        <w:pStyle w:val="3"/>
        <w:bidi w:val="0"/>
        <w:spacing w:line="360" w:lineRule="auto"/>
        <w:rPr>
          <w:rFonts w:hint="default" w:ascii="Arial" w:hAnsi="Arial" w:cs="Arial"/>
        </w:rPr>
      </w:pPr>
    </w:p>
    <w:p w14:paraId="46065FE0">
      <w:pPr>
        <w:pStyle w:val="3"/>
        <w:bidi w:val="0"/>
        <w:spacing w:line="360" w:lineRule="auto"/>
        <w:rPr>
          <w:rFonts w:hint="default" w:ascii="Arial" w:hAnsi="Arial" w:cs="Arial"/>
          <w:b/>
          <w:bCs/>
          <w:color w:val="auto"/>
          <w:sz w:val="28"/>
          <w:szCs w:val="28"/>
        </w:rPr>
      </w:pPr>
      <w:bookmarkStart w:id="38" w:name="_Toc3330"/>
      <w:bookmarkStart w:id="39" w:name="_Toc3664"/>
      <w:r>
        <w:rPr>
          <w:rFonts w:hint="default" w:ascii="Arial" w:hAnsi="Arial" w:cs="Arial"/>
          <w:b/>
          <w:bCs/>
          <w:color w:val="auto"/>
          <w:sz w:val="28"/>
          <w:szCs w:val="28"/>
        </w:rPr>
        <w:t>Learning and Growth Perspective</w:t>
      </w:r>
      <w:bookmarkEnd w:id="38"/>
      <w:bookmarkEnd w:id="39"/>
    </w:p>
    <w:p w14:paraId="6FD9DA0D">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Long-term sustainable competitive advantage is based on a significant extent on personnel who possess a certain level of specialization. Therefore, the development of apprenticeships, technical skills, digital competencies, and leadership, among others, should be viewed as critical areas of investment, which go beyond traditional human resource management practices. In particular, BMW Group invested €377 million in developing its workforce in 2025, which underscores the company’s emphasis on this aspect of its operations.</w:t>
      </w:r>
    </w:p>
    <w:p w14:paraId="6A10E594">
      <w:pPr>
        <w:spacing w:line="360" w:lineRule="auto"/>
        <w:jc w:val="both"/>
        <w:rPr>
          <w:rFonts w:hint="default" w:ascii="Arial" w:hAnsi="Arial" w:eastAsia="SimSun" w:cs="Arial"/>
          <w:b/>
          <w:bCs/>
          <w:sz w:val="28"/>
          <w:szCs w:val="28"/>
        </w:rPr>
      </w:pPr>
    </w:p>
    <w:p w14:paraId="28F40EC9">
      <w:pPr>
        <w:pStyle w:val="3"/>
        <w:bidi w:val="0"/>
        <w:spacing w:line="360" w:lineRule="auto"/>
        <w:rPr>
          <w:rFonts w:hint="default" w:ascii="Arial" w:hAnsi="Arial" w:cs="Arial"/>
          <w:b/>
          <w:bCs/>
          <w:color w:val="auto"/>
          <w:sz w:val="28"/>
          <w:szCs w:val="28"/>
        </w:rPr>
      </w:pPr>
      <w:bookmarkStart w:id="40" w:name="_Toc13237"/>
      <w:bookmarkStart w:id="41" w:name="_Toc5361"/>
      <w:r>
        <w:rPr>
          <w:rFonts w:hint="default" w:ascii="Arial" w:hAnsi="Arial" w:cs="Arial"/>
          <w:b/>
          <w:bCs/>
          <w:color w:val="auto"/>
          <w:sz w:val="28"/>
          <w:szCs w:val="28"/>
        </w:rPr>
        <w:t>Overall Critical Evaluation</w:t>
      </w:r>
      <w:bookmarkEnd w:id="40"/>
      <w:bookmarkEnd w:id="41"/>
    </w:p>
    <w:p w14:paraId="59AEE03E">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analysis of CSR and balanced scorecard allow to conclude that the long-term performance of Rolls-Royce cannot be evaluated based on the company’s financial outcome. In particular, the competitive advantage of the company is based on the connection between its profit, customer satisfaction, operations, and sustainability. CSR helps the company to meet the expectations in relation to environmental and social performance, whereas balanced scorecards formalize the strategic goals in terms of performance indicators, which can be measured in order to ensure strategic success factors. The major dilemma faced by the company management relates to the necessity to sustain the continuous improvement and environmental friendliness without damaging the unique character and the sense of scarcity and extravagance associated with the Rolls-Royce brand.</w:t>
      </w:r>
    </w:p>
    <w:p w14:paraId="51B45636">
      <w:pPr>
        <w:spacing w:line="360" w:lineRule="auto"/>
        <w:jc w:val="both"/>
        <w:rPr>
          <w:rFonts w:hint="default" w:ascii="Arial" w:hAnsi="Arial" w:eastAsia="SimSun" w:cs="Arial"/>
          <w:b w:val="0"/>
          <w:bCs w:val="0"/>
          <w:sz w:val="24"/>
          <w:szCs w:val="24"/>
        </w:rPr>
      </w:pPr>
    </w:p>
    <w:p w14:paraId="5AEBA518">
      <w:pPr>
        <w:pStyle w:val="2"/>
        <w:bidi w:val="0"/>
        <w:spacing w:line="360" w:lineRule="auto"/>
        <w:rPr>
          <w:rFonts w:hint="default" w:ascii="Arial" w:hAnsi="Arial" w:cs="Arial"/>
          <w:b/>
          <w:bCs/>
          <w:color w:val="auto"/>
          <w:sz w:val="32"/>
          <w:szCs w:val="32"/>
        </w:rPr>
      </w:pPr>
      <w:bookmarkStart w:id="42" w:name="_Toc11352"/>
      <w:bookmarkStart w:id="43" w:name="_Toc19632"/>
      <w:r>
        <w:rPr>
          <w:rFonts w:hint="default" w:ascii="Arial" w:hAnsi="Arial" w:cs="Arial"/>
          <w:b/>
          <w:bCs/>
          <w:color w:val="auto"/>
          <w:sz w:val="32"/>
          <w:szCs w:val="32"/>
        </w:rPr>
        <w:t>Strategic Choices and Recommendations</w:t>
      </w:r>
      <w:bookmarkEnd w:id="42"/>
      <w:bookmarkEnd w:id="43"/>
    </w:p>
    <w:p w14:paraId="2D2C8E50">
      <w:pPr>
        <w:pStyle w:val="3"/>
        <w:bidi w:val="0"/>
        <w:spacing w:line="360" w:lineRule="auto"/>
        <w:rPr>
          <w:rFonts w:hint="default" w:ascii="Arial" w:hAnsi="Arial" w:cs="Arial"/>
          <w:b/>
          <w:bCs/>
          <w:color w:val="auto"/>
          <w:sz w:val="28"/>
          <w:szCs w:val="28"/>
        </w:rPr>
      </w:pPr>
      <w:bookmarkStart w:id="44" w:name="_Toc998"/>
      <w:bookmarkStart w:id="45" w:name="_Toc31804"/>
      <w:r>
        <w:rPr>
          <w:rFonts w:hint="default" w:ascii="Arial" w:hAnsi="Arial" w:cs="Arial"/>
          <w:b/>
          <w:bCs/>
          <w:color w:val="auto"/>
          <w:sz w:val="28"/>
          <w:szCs w:val="28"/>
        </w:rPr>
        <w:t>Porter’s Generic Strategies</w:t>
      </w:r>
      <w:bookmarkEnd w:id="44"/>
      <w:bookmarkEnd w:id="45"/>
    </w:p>
    <w:p w14:paraId="550E1DDD">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Porter’s (1985) generic strategies suggest that a company can choose between cost leadership, differentiation and focus as a way to achieve competitive advantage. The cost leadership is incompatible with Rolls-Royce’s low-volume, high-value production model, which makes expensive cars for clients who want to be able to say they own a Rolls-Royce. While the generic strategy of broad differentiation could be a good match for Rolls-Royce, as a luxury car manufacturer targeting a narrow market, focused differentiation is a better choice. It allows to build brand image around the prestige of the brand, craftsmanship, bespoke personalization and other unique characteristics. The company’s sales of 5,664 vehicles worldwide in 2025 illustrate the deliberate effort to keep production volumes at a very low level in order to maintain the appearance of exclusivity (BMW Group, 2026).</w:t>
      </w:r>
    </w:p>
    <w:p w14:paraId="7A0FE3B5">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Thus, it is suggested that Rolls-Royce Motor Cars should rather pursue focused differentiation than cost leadership. The growth of the company should be achieved by offering a greater value to its customers through such means as bespoke personalisation, Coachbuild, electrification, and improved ownership experience.</w:t>
      </w:r>
    </w:p>
    <w:p w14:paraId="2C1849C5">
      <w:pPr>
        <w:spacing w:line="360" w:lineRule="auto"/>
        <w:jc w:val="both"/>
        <w:rPr>
          <w:rFonts w:hint="default" w:ascii="Arial" w:hAnsi="Arial" w:eastAsia="SimSun" w:cs="Arial"/>
          <w:b w:val="0"/>
          <w:bCs w:val="0"/>
          <w:sz w:val="24"/>
          <w:szCs w:val="24"/>
        </w:rPr>
      </w:pPr>
    </w:p>
    <w:p w14:paraId="74A81FA2">
      <w:pPr>
        <w:pStyle w:val="3"/>
        <w:bidi w:val="0"/>
        <w:spacing w:line="360" w:lineRule="auto"/>
        <w:rPr>
          <w:rFonts w:hint="default" w:ascii="Arial" w:hAnsi="Arial" w:cs="Arial"/>
          <w:b/>
          <w:bCs/>
          <w:color w:val="auto"/>
          <w:sz w:val="28"/>
          <w:szCs w:val="28"/>
        </w:rPr>
      </w:pPr>
      <w:bookmarkStart w:id="46" w:name="_Toc25036"/>
      <w:bookmarkStart w:id="47" w:name="_Toc31792"/>
      <w:r>
        <w:rPr>
          <w:rFonts w:hint="default" w:ascii="Arial" w:hAnsi="Arial" w:cs="Arial"/>
          <w:b/>
          <w:bCs/>
          <w:color w:val="auto"/>
          <w:sz w:val="28"/>
          <w:szCs w:val="28"/>
        </w:rPr>
        <w:t>Porter’s Five Forces</w:t>
      </w:r>
      <w:bookmarkEnd w:id="46"/>
      <w:bookmarkEnd w:id="47"/>
    </w:p>
    <w:p w14:paraId="3D92A86F">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One of the reasons why the threat of new entrants is low is because it takes substantial resources, investment, brand appeal, craftsmanship, and customer base to enter the ultra-luxury market, which will take a considerable amount of time to build.</w:t>
      </w:r>
    </w:p>
    <w:p w14:paraId="2AAD8714">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Supplier power is moderate because of the production process’s complexity, which requires expensive and sophisticated parts and materials, but at the same time, the auto-maker’s connection with the BMW group enables it to decrease the supplier power by relying on technology and volume. The Rolls-Royce brand’s diversification and relationships’ establishment are the key to the company’s power over suppliers.</w:t>
      </w:r>
    </w:p>
    <w:p w14:paraId="103DE458">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buyer power in ultra-luxury class is weak because only those with substantial incomes are willing and able to purchase such cars. At the same time, buyers in this class have alternative options, including Bentley, Aston Martin, and other luxury car manufacturers, but the competitive advantage is given by technology and innovation, meaning that the ultra-rich can install an electric motor and seats with augmented reality instead of buying from Rolls-Royce, but with fewer innovations. Thus, the buyer power is weak-moderate.</w:t>
      </w:r>
    </w:p>
    <w:p w14:paraId="7E1C296F">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threat of substitutes is moderate because the ultra-high-net-worth individuals have fewer options to spend a fortune on purchasing a car with a superb customer experience, which can be substituted by hiring a driver instead of buying a Rolls-Royce Phantom or opting for another luxury car brand with comparable innovation and technology. Therefore, it is pivotal for Rolls-Royce to invest in the creation of an ultimate customer experience, providing more value than a luxury driving experience, making substitutes a moderate threat.</w:t>
      </w:r>
    </w:p>
    <w:p w14:paraId="396B8E3A">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competitive rivalry is high due to the competition’s efforts to position their brands as sustainable and premium and introduce electric cars, which are becoming more desirable for the environment-conscious wealthy. The shift toward zero-emission transportation is evident, including ultra-luxury car makers, as seen in 20,755 electric cars on the road in 2025 (IEA, 2026). Thus, according to the five forces, the auto-maker should invest in technology to differentiate itself from competitors and promise sustainability to address the growing demand for zero-emission vehicles.</w:t>
      </w:r>
    </w:p>
    <w:p w14:paraId="2AA77249">
      <w:pPr>
        <w:spacing w:line="360" w:lineRule="auto"/>
        <w:jc w:val="both"/>
        <w:rPr>
          <w:rFonts w:hint="default" w:ascii="Arial" w:hAnsi="Arial" w:eastAsia="SimSun" w:cs="Arial"/>
          <w:b w:val="0"/>
          <w:bCs w:val="0"/>
          <w:sz w:val="24"/>
          <w:szCs w:val="24"/>
        </w:rPr>
      </w:pPr>
    </w:p>
    <w:p w14:paraId="0C1C3684">
      <w:pPr>
        <w:pStyle w:val="3"/>
        <w:bidi w:val="0"/>
        <w:spacing w:line="360" w:lineRule="auto"/>
        <w:rPr>
          <w:rFonts w:hint="default" w:ascii="Arial" w:hAnsi="Arial" w:cs="Arial"/>
          <w:b/>
          <w:bCs/>
          <w:color w:val="auto"/>
          <w:sz w:val="28"/>
          <w:szCs w:val="28"/>
        </w:rPr>
      </w:pPr>
      <w:bookmarkStart w:id="48" w:name="_Toc24476"/>
      <w:bookmarkStart w:id="49" w:name="_Toc22458"/>
      <w:r>
        <w:rPr>
          <w:rFonts w:hint="default" w:ascii="Arial" w:hAnsi="Arial" w:cs="Arial"/>
          <w:b/>
          <w:bCs/>
          <w:color w:val="auto"/>
          <w:sz w:val="28"/>
          <w:szCs w:val="28"/>
        </w:rPr>
        <w:t>Ansoff Matrix</w:t>
      </w:r>
      <w:bookmarkEnd w:id="48"/>
      <w:bookmarkEnd w:id="49"/>
    </w:p>
    <w:p w14:paraId="018C81AD">
      <w:pPr>
        <w:spacing w:line="360" w:lineRule="auto"/>
        <w:jc w:val="both"/>
        <w:rPr>
          <w:rFonts w:hint="default" w:ascii="Arial" w:hAnsi="Arial" w:eastAsia="Arial" w:cs="Arial"/>
          <w:sz w:val="24"/>
          <w:szCs w:val="28"/>
        </w:rPr>
      </w:pPr>
      <w:r>
        <w:rPr>
          <w:rFonts w:hint="default" w:ascii="Arial" w:hAnsi="Arial" w:eastAsia="Arial" w:cs="Arial"/>
          <w:sz w:val="24"/>
          <w:szCs w:val="28"/>
        </w:rPr>
        <w:t>Ansoff’s (1957) Matrix provides four options for growth. For the given case, market penetration may be appropriate for Rolls-Royce to build existing customer relationships; however, large-scale penetration may diminish the brand’s scarcity value. In turn, market development can be considered as an option to develop the market in specific high-end segments, such as the Middle East and Asia, with the focus on the selectivity of growth. Product development, in turn, appears to be the most viable option, as the shift towards electric cars, digitalization of the Bespoke operations, and sustainable materials can be regarded as a way to meet the changing customer demands while capitalizing on the brand’s existing strengths. Diversification, in turn, appears to be a high-risk option, and thus, it should be considered with caution. Thus, based on the analysis, it can be concluded that product development with the focus on market development can be the most viable option for Rolls-Royce.</w:t>
      </w:r>
    </w:p>
    <w:p w14:paraId="332678DD">
      <w:pPr>
        <w:spacing w:line="360" w:lineRule="auto"/>
        <w:jc w:val="both"/>
        <w:rPr>
          <w:rFonts w:hint="default" w:ascii="Arial" w:hAnsi="Arial" w:eastAsia="Arial" w:cs="Arial"/>
          <w:sz w:val="24"/>
          <w:szCs w:val="28"/>
        </w:rPr>
      </w:pPr>
    </w:p>
    <w:p w14:paraId="1FB8F2BB">
      <w:pPr>
        <w:pStyle w:val="3"/>
        <w:bidi w:val="0"/>
        <w:spacing w:line="360" w:lineRule="auto"/>
        <w:rPr>
          <w:rFonts w:hint="default" w:ascii="Arial" w:hAnsi="Arial" w:cs="Arial"/>
          <w:b/>
          <w:bCs/>
          <w:color w:val="auto"/>
          <w:sz w:val="28"/>
          <w:szCs w:val="28"/>
        </w:rPr>
      </w:pPr>
      <w:bookmarkStart w:id="50" w:name="_Toc4120"/>
      <w:bookmarkStart w:id="51" w:name="_Toc23893"/>
      <w:r>
        <w:rPr>
          <w:rFonts w:hint="default" w:ascii="Arial" w:hAnsi="Arial" w:cs="Arial"/>
          <w:b/>
          <w:bCs/>
          <w:color w:val="auto"/>
          <w:sz w:val="28"/>
          <w:szCs w:val="28"/>
        </w:rPr>
        <w:t>Proposed Strategy</w:t>
      </w:r>
      <w:bookmarkEnd w:id="50"/>
      <w:bookmarkEnd w:id="51"/>
    </w:p>
    <w:p w14:paraId="255768ED">
      <w:pPr>
        <w:spacing w:line="360" w:lineRule="auto"/>
        <w:jc w:val="both"/>
        <w:rPr>
          <w:rFonts w:hint="default" w:ascii="Arial" w:hAnsi="Arial" w:eastAsia="Arial" w:cs="Arial"/>
          <w:sz w:val="24"/>
          <w:szCs w:val="28"/>
        </w:rPr>
      </w:pPr>
      <w:r>
        <w:rPr>
          <w:rFonts w:hint="default" w:ascii="Arial" w:hAnsi="Arial" w:eastAsia="Arial" w:cs="Arial"/>
          <w:sz w:val="24"/>
          <w:szCs w:val="28"/>
        </w:rPr>
        <w:t>Based on the analysis of PESTLE, VRIO, SWOT, CSR, Balanced Scorecard, Five Forces and Ansoff, it seems most effective to proceed with differentiation via sustainable electrification, sophisticated Bespoke personalization and selective international expansion. It will leverage Rolls-Royce’s heritage, craftsmanship and</w:t>
      </w:r>
      <w:r>
        <w:rPr>
          <w:rFonts w:hint="default" w:ascii="Arial" w:hAnsi="Arial" w:eastAsia="Arial" w:cs="Arial"/>
          <w:sz w:val="24"/>
          <w:szCs w:val="28"/>
          <w:lang w:val="en-US"/>
        </w:rPr>
        <w:t xml:space="preserve"> </w:t>
      </w:r>
      <w:r>
        <w:rPr>
          <w:rFonts w:hint="default" w:ascii="Arial" w:hAnsi="Arial" w:eastAsia="Arial" w:cs="Arial"/>
          <w:sz w:val="24"/>
          <w:szCs w:val="28"/>
        </w:rPr>
        <w:t>special competencies while dealing with technological and ecological challenges. Growth should stay under control, not aiming at increasing volumes, but preserving exclusivity in the process of Rolls-Royce's modernization.</w:t>
      </w:r>
    </w:p>
    <w:p w14:paraId="123A0865">
      <w:pPr>
        <w:spacing w:line="360" w:lineRule="auto"/>
        <w:jc w:val="both"/>
        <w:rPr>
          <w:rFonts w:hint="default" w:ascii="Arial" w:hAnsi="Arial" w:eastAsia="Arial" w:cs="Arial"/>
          <w:sz w:val="24"/>
          <w:szCs w:val="28"/>
        </w:rPr>
      </w:pPr>
    </w:p>
    <w:p w14:paraId="03C83D00">
      <w:pPr>
        <w:pStyle w:val="3"/>
        <w:bidi w:val="0"/>
        <w:spacing w:line="360" w:lineRule="auto"/>
        <w:rPr>
          <w:rFonts w:hint="default" w:ascii="Arial" w:hAnsi="Arial" w:cs="Arial"/>
          <w:b/>
          <w:bCs/>
          <w:color w:val="auto"/>
          <w:sz w:val="28"/>
          <w:szCs w:val="28"/>
        </w:rPr>
      </w:pPr>
      <w:bookmarkStart w:id="52" w:name="_Toc28559"/>
      <w:bookmarkStart w:id="53" w:name="_Toc17548"/>
      <w:r>
        <w:rPr>
          <w:rFonts w:hint="default" w:ascii="Arial" w:hAnsi="Arial" w:cs="Arial"/>
          <w:b/>
          <w:bCs/>
          <w:color w:val="auto"/>
          <w:sz w:val="28"/>
          <w:szCs w:val="28"/>
        </w:rPr>
        <w:t>Evaluation of SAFe</w:t>
      </w:r>
      <w:bookmarkEnd w:id="52"/>
      <w:bookmarkEnd w:id="53"/>
    </w:p>
    <w:p w14:paraId="70B5313A">
      <w:pPr>
        <w:spacing w:line="360" w:lineRule="auto"/>
        <w:jc w:val="both"/>
        <w:rPr>
          <w:rFonts w:hint="default" w:ascii="Arial" w:hAnsi="Arial" w:eastAsia="Arial" w:cs="Arial"/>
          <w:sz w:val="24"/>
          <w:szCs w:val="28"/>
        </w:rPr>
      </w:pPr>
      <w:r>
        <w:rPr>
          <w:rFonts w:hint="default" w:ascii="Arial" w:hAnsi="Arial" w:eastAsia="Arial" w:cs="Arial"/>
          <w:b/>
          <w:bCs/>
          <w:sz w:val="24"/>
          <w:szCs w:val="28"/>
        </w:rPr>
        <w:t>Suitability:</w:t>
      </w:r>
      <w:r>
        <w:rPr>
          <w:rFonts w:hint="default" w:ascii="Arial" w:hAnsi="Arial" w:eastAsia="Arial" w:cs="Arial"/>
          <w:sz w:val="24"/>
          <w:szCs w:val="28"/>
        </w:rPr>
        <w:t xml:space="preserve"> The strategy addresses challenges of electrification and sustainability and UK regulation. The ZEV mandate implies that more zero-emissions vehicles will be required, which means that both sustainability and electrification become necessary and beneficial to Rolls-Royce's sustainable luxury (Department for Transport, 2025).</w:t>
      </w:r>
    </w:p>
    <w:p w14:paraId="4F988B90">
      <w:pPr>
        <w:spacing w:line="360" w:lineRule="auto"/>
        <w:jc w:val="both"/>
        <w:rPr>
          <w:rFonts w:hint="default" w:ascii="Arial" w:hAnsi="Arial" w:eastAsia="Arial" w:cs="Arial"/>
          <w:sz w:val="24"/>
          <w:szCs w:val="28"/>
        </w:rPr>
      </w:pPr>
      <w:r>
        <w:rPr>
          <w:rFonts w:hint="default" w:ascii="Arial" w:hAnsi="Arial" w:eastAsia="Arial" w:cs="Arial"/>
          <w:b/>
          <w:bCs/>
          <w:sz w:val="24"/>
          <w:szCs w:val="28"/>
        </w:rPr>
        <w:t>Acceptability:</w:t>
      </w:r>
      <w:r>
        <w:rPr>
          <w:rFonts w:hint="default" w:ascii="Arial" w:hAnsi="Arial" w:eastAsia="Arial" w:cs="Arial"/>
          <w:sz w:val="24"/>
          <w:szCs w:val="28"/>
        </w:rPr>
        <w:t xml:space="preserve"> Customers can gain from personalized services and sustainable options, employees and BMW group from investments and competencies improvement. But acceptability will depend on the maintenance of the craftsmanship and exclusivity characteristic of the brand.</w:t>
      </w:r>
    </w:p>
    <w:p w14:paraId="2B041707">
      <w:pPr>
        <w:spacing w:line="360" w:lineRule="auto"/>
        <w:jc w:val="both"/>
        <w:rPr>
          <w:rFonts w:hint="default" w:ascii="Arial" w:hAnsi="Arial" w:eastAsia="Arial" w:cs="Arial"/>
          <w:sz w:val="24"/>
          <w:szCs w:val="28"/>
        </w:rPr>
      </w:pPr>
      <w:r>
        <w:rPr>
          <w:rFonts w:hint="default" w:ascii="Arial" w:hAnsi="Arial" w:eastAsia="Arial" w:cs="Arial"/>
          <w:b/>
          <w:bCs/>
          <w:sz w:val="24"/>
          <w:szCs w:val="28"/>
        </w:rPr>
        <w:t>Feasibility:</w:t>
      </w:r>
      <w:r>
        <w:rPr>
          <w:rFonts w:hint="default" w:ascii="Arial" w:hAnsi="Arial" w:eastAsia="Arial" w:cs="Arial"/>
          <w:sz w:val="24"/>
          <w:szCs w:val="28"/>
        </w:rPr>
        <w:t xml:space="preserve"> The strategy seems feasible, since Rolls-Royce is able to integrate its Bespoke and manufacturing competencies with BMW group’s financial, engineering and technological competencies.</w:t>
      </w:r>
    </w:p>
    <w:p w14:paraId="21E61541">
      <w:pPr>
        <w:spacing w:line="360" w:lineRule="auto"/>
        <w:jc w:val="both"/>
        <w:rPr>
          <w:rFonts w:hint="default" w:ascii="Arial" w:hAnsi="Arial" w:eastAsia="Arial" w:cs="Arial"/>
          <w:sz w:val="24"/>
          <w:szCs w:val="28"/>
        </w:rPr>
      </w:pPr>
    </w:p>
    <w:p w14:paraId="526B6BC5">
      <w:pPr>
        <w:pStyle w:val="2"/>
        <w:bidi w:val="0"/>
        <w:spacing w:line="360" w:lineRule="auto"/>
        <w:rPr>
          <w:rFonts w:hint="default" w:ascii="Arial" w:hAnsi="Arial" w:cs="Arial"/>
          <w:b/>
          <w:bCs/>
          <w:color w:val="auto"/>
          <w:sz w:val="32"/>
          <w:szCs w:val="32"/>
        </w:rPr>
      </w:pPr>
      <w:bookmarkStart w:id="54" w:name="_Toc29270"/>
      <w:bookmarkStart w:id="55" w:name="_Toc9410"/>
      <w:r>
        <w:rPr>
          <w:rFonts w:hint="default" w:ascii="Arial" w:hAnsi="Arial" w:cs="Arial"/>
          <w:b/>
          <w:bCs/>
          <w:color w:val="auto"/>
          <w:sz w:val="32"/>
          <w:szCs w:val="32"/>
        </w:rPr>
        <w:t>Gibbs Reflective Cycle</w:t>
      </w:r>
      <w:bookmarkEnd w:id="54"/>
      <w:bookmarkEnd w:id="55"/>
    </w:p>
    <w:p w14:paraId="2D1355A6">
      <w:pPr>
        <w:pStyle w:val="3"/>
        <w:bidi w:val="0"/>
        <w:spacing w:line="360" w:lineRule="auto"/>
        <w:rPr>
          <w:rFonts w:hint="default" w:ascii="Arial" w:hAnsi="Arial" w:cs="Arial"/>
          <w:b/>
          <w:bCs/>
          <w:color w:val="auto"/>
          <w:sz w:val="28"/>
          <w:szCs w:val="28"/>
        </w:rPr>
      </w:pPr>
      <w:bookmarkStart w:id="56" w:name="_Toc27312"/>
      <w:bookmarkStart w:id="57" w:name="_Toc2237"/>
      <w:r>
        <w:rPr>
          <w:rFonts w:hint="default" w:ascii="Arial" w:hAnsi="Arial" w:cs="Arial"/>
          <w:b/>
          <w:bCs/>
          <w:color w:val="auto"/>
          <w:sz w:val="28"/>
          <w:szCs w:val="28"/>
        </w:rPr>
        <w:t>Description</w:t>
      </w:r>
      <w:bookmarkEnd w:id="56"/>
      <w:bookmarkEnd w:id="57"/>
    </w:p>
    <w:p w14:paraId="7E93F3AD">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The current analysis was done through an assessment of the strategic positioning of Rolls-Royce Motor Cars in the UK market for ultra luxury cars. Various frameworks like PESTLE, VRIO, SWOT, CSR, Balanced Scorecard, Porter’s framework, and Ansoff and SAFe have been used to assess the environment and the strategic options. It has finally been concluded that focused differentiation strategy, along with sustainable electrification, Bespoke personalization and market development, is the best strategic choice.</w:t>
      </w:r>
    </w:p>
    <w:p w14:paraId="32D14DBD">
      <w:pPr>
        <w:spacing w:line="360" w:lineRule="auto"/>
        <w:jc w:val="both"/>
        <w:rPr>
          <w:rFonts w:hint="default" w:ascii="Arial" w:hAnsi="Arial" w:eastAsia="SimSun" w:cs="Arial"/>
          <w:b w:val="0"/>
          <w:bCs w:val="0"/>
          <w:sz w:val="24"/>
          <w:szCs w:val="24"/>
        </w:rPr>
      </w:pPr>
    </w:p>
    <w:p w14:paraId="4BDD3817">
      <w:pPr>
        <w:pStyle w:val="3"/>
        <w:bidi w:val="0"/>
        <w:spacing w:line="360" w:lineRule="auto"/>
        <w:rPr>
          <w:rFonts w:hint="default" w:ascii="Arial" w:hAnsi="Arial" w:cs="Arial"/>
          <w:b/>
          <w:bCs/>
          <w:color w:val="auto"/>
          <w:sz w:val="28"/>
          <w:szCs w:val="28"/>
        </w:rPr>
      </w:pPr>
      <w:bookmarkStart w:id="58" w:name="_Toc4872"/>
      <w:bookmarkStart w:id="59" w:name="_Toc15462"/>
      <w:r>
        <w:rPr>
          <w:rFonts w:hint="default" w:ascii="Arial" w:hAnsi="Arial" w:cs="Arial"/>
          <w:b/>
          <w:bCs/>
          <w:color w:val="auto"/>
          <w:sz w:val="28"/>
          <w:szCs w:val="28"/>
        </w:rPr>
        <w:t>Feelings</w:t>
      </w:r>
      <w:bookmarkEnd w:id="58"/>
      <w:bookmarkEnd w:id="59"/>
    </w:p>
    <w:p w14:paraId="4B2B263F">
      <w:pPr>
        <w:spacing w:line="360" w:lineRule="auto"/>
        <w:jc w:val="both"/>
        <w:rPr>
          <w:rFonts w:hint="default" w:ascii="Arial" w:hAnsi="Arial" w:eastAsia="SimSun" w:cs="Arial"/>
          <w:b w:val="0"/>
          <w:bCs w:val="0"/>
          <w:sz w:val="22"/>
          <w:szCs w:val="22"/>
        </w:rPr>
      </w:pPr>
      <w:r>
        <w:rPr>
          <w:rFonts w:hint="default" w:ascii="Arial" w:hAnsi="Arial" w:eastAsia="SimSun" w:cs="Arial"/>
          <w:b w:val="0"/>
          <w:bCs w:val="0"/>
          <w:sz w:val="22"/>
          <w:szCs w:val="22"/>
        </w:rPr>
        <w:t>In the beginning, it was difficult to analyze as the models seemed to give different views about the same strategic issue. In particular, it was hard to figure out how Rolls Royce could incorporate technology and environment change without compromising its sources of differentiation. However, during the process, I felt more confident to link each model and use evidence to make strategic decisions and not just write about the company.</w:t>
      </w:r>
    </w:p>
    <w:p w14:paraId="3EA6FA67">
      <w:pPr>
        <w:spacing w:line="360" w:lineRule="auto"/>
        <w:jc w:val="both"/>
        <w:rPr>
          <w:rFonts w:hint="default" w:ascii="Arial" w:hAnsi="Arial" w:eastAsia="SimSun" w:cs="Arial"/>
          <w:b w:val="0"/>
          <w:bCs w:val="0"/>
          <w:sz w:val="24"/>
          <w:szCs w:val="24"/>
        </w:rPr>
      </w:pPr>
    </w:p>
    <w:p w14:paraId="1DE18D72">
      <w:pPr>
        <w:pStyle w:val="3"/>
        <w:bidi w:val="0"/>
        <w:spacing w:line="360" w:lineRule="auto"/>
        <w:rPr>
          <w:rFonts w:hint="default" w:ascii="Arial" w:hAnsi="Arial" w:cs="Arial"/>
          <w:b/>
          <w:bCs/>
          <w:color w:val="auto"/>
          <w:sz w:val="28"/>
          <w:szCs w:val="28"/>
        </w:rPr>
      </w:pPr>
      <w:bookmarkStart w:id="60" w:name="_Toc27519"/>
      <w:bookmarkStart w:id="61" w:name="_Toc31308"/>
      <w:r>
        <w:rPr>
          <w:rFonts w:hint="default" w:ascii="Arial" w:hAnsi="Arial" w:cs="Arial"/>
          <w:b/>
          <w:bCs/>
          <w:color w:val="auto"/>
          <w:sz w:val="28"/>
          <w:szCs w:val="28"/>
        </w:rPr>
        <w:t>Evaluation</w:t>
      </w:r>
      <w:bookmarkEnd w:id="60"/>
      <w:bookmarkEnd w:id="61"/>
    </w:p>
    <w:p w14:paraId="31DFC0F4">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One advantage in the process was the capability of integrating several models to make a strategic decision. With the help of VRIO, I could find that heritage, craftsmanship and Bespoke were internal resources. Using the PESTLE framework, I could understand that electrification, regulation and sustainability were external forces. With the help of Porter and Ansoff, it was possible to apply those insights to strategy. One disadvantage was the necessity to separate company evidence from industry facts.</w:t>
      </w:r>
    </w:p>
    <w:p w14:paraId="2D517CB1">
      <w:pPr>
        <w:spacing w:line="360" w:lineRule="auto"/>
        <w:jc w:val="both"/>
        <w:rPr>
          <w:rFonts w:hint="default" w:ascii="Arial" w:hAnsi="Arial" w:cs="Arial"/>
          <w:sz w:val="28"/>
          <w:szCs w:val="28"/>
        </w:rPr>
      </w:pPr>
    </w:p>
    <w:p w14:paraId="60B9EABB">
      <w:pPr>
        <w:pStyle w:val="3"/>
        <w:bidi w:val="0"/>
        <w:spacing w:line="360" w:lineRule="auto"/>
        <w:rPr>
          <w:rFonts w:hint="default" w:ascii="Arial" w:hAnsi="Arial" w:cs="Arial"/>
          <w:b/>
          <w:bCs/>
          <w:color w:val="auto"/>
          <w:sz w:val="28"/>
          <w:szCs w:val="28"/>
        </w:rPr>
      </w:pPr>
      <w:bookmarkStart w:id="62" w:name="_Toc7308"/>
      <w:bookmarkStart w:id="63" w:name="_Toc3816"/>
      <w:r>
        <w:rPr>
          <w:rFonts w:hint="default" w:ascii="Arial" w:hAnsi="Arial" w:cs="Arial"/>
          <w:b/>
          <w:bCs/>
          <w:color w:val="auto"/>
          <w:sz w:val="28"/>
          <w:szCs w:val="28"/>
        </w:rPr>
        <w:t>Analysis</w:t>
      </w:r>
      <w:bookmarkEnd w:id="62"/>
      <w:bookmarkEnd w:id="63"/>
    </w:p>
    <w:p w14:paraId="79C36633">
      <w:pPr>
        <w:spacing w:after="120" w:line="360" w:lineRule="auto"/>
        <w:jc w:val="both"/>
        <w:rPr>
          <w:rFonts w:hint="default" w:ascii="Arial" w:hAnsi="Arial" w:cs="Arial"/>
          <w:sz w:val="24"/>
          <w:szCs w:val="24"/>
        </w:rPr>
      </w:pPr>
      <w:r>
        <w:rPr>
          <w:rFonts w:hint="default" w:ascii="Arial" w:hAnsi="Arial" w:cs="Arial"/>
          <w:sz w:val="24"/>
          <w:szCs w:val="24"/>
        </w:rPr>
        <w:t>The most critical lesson learned was that strategic tools are more effective when combined and not used separately. PESTLE revealed that electrification is one of the external drivers, whereas the VRIO revealed that the competitive advantage of Rolls-Royce is based on capabilities such as craftsmanship, heritage and Bespoke personalisation. This new information helped to alter the perception of the strategic challenge in terms of the need to incorporate electrification into the luxury offering of Rolls-Royce rather than treat it as merely a technological constraint.</w:t>
      </w:r>
    </w:p>
    <w:p w14:paraId="7852A4D2">
      <w:pPr>
        <w:spacing w:after="120" w:line="360" w:lineRule="auto"/>
        <w:jc w:val="both"/>
        <w:rPr>
          <w:rFonts w:hint="default" w:ascii="Arial" w:hAnsi="Arial" w:cs="Arial"/>
          <w:sz w:val="24"/>
          <w:szCs w:val="24"/>
        </w:rPr>
      </w:pPr>
      <w:r>
        <w:rPr>
          <w:rFonts w:hint="default" w:ascii="Arial" w:hAnsi="Arial" w:cs="Arial"/>
          <w:sz w:val="24"/>
          <w:szCs w:val="24"/>
        </w:rPr>
        <w:t>The analysis helped me also gain insight into strategic trade-offs. More production volume might generate growth, but at the same time, it would lower the levels of exclusivity and scarcity. In the same way, automation might lead to more efficiency, yet too much automation would harm the craftsmanship valued by the customers. It became clear that a good strategic management needs to balance different factors.</w:t>
      </w:r>
    </w:p>
    <w:p w14:paraId="23258FDB">
      <w:pPr>
        <w:spacing w:after="120" w:line="360" w:lineRule="auto"/>
        <w:jc w:val="both"/>
        <w:rPr>
          <w:rFonts w:hint="default" w:ascii="Arial" w:hAnsi="Arial" w:cs="Arial"/>
          <w:sz w:val="24"/>
          <w:szCs w:val="24"/>
        </w:rPr>
      </w:pPr>
    </w:p>
    <w:p w14:paraId="6696BC6F">
      <w:pPr>
        <w:pStyle w:val="3"/>
        <w:bidi w:val="0"/>
        <w:spacing w:line="360" w:lineRule="auto"/>
        <w:rPr>
          <w:rFonts w:hint="default" w:ascii="Arial" w:hAnsi="Arial" w:cs="Arial"/>
          <w:b/>
          <w:bCs/>
          <w:color w:val="auto"/>
          <w:sz w:val="28"/>
          <w:szCs w:val="28"/>
        </w:rPr>
      </w:pPr>
      <w:bookmarkStart w:id="64" w:name="_Toc3386"/>
      <w:bookmarkStart w:id="65" w:name="_Toc7009"/>
      <w:r>
        <w:rPr>
          <w:rFonts w:hint="default" w:ascii="Arial" w:hAnsi="Arial" w:cs="Arial"/>
          <w:b/>
          <w:bCs/>
          <w:color w:val="auto"/>
          <w:sz w:val="28"/>
          <w:szCs w:val="28"/>
        </w:rPr>
        <w:t>Conclusion</w:t>
      </w:r>
      <w:bookmarkEnd w:id="64"/>
      <w:bookmarkEnd w:id="65"/>
    </w:p>
    <w:p w14:paraId="67811F47">
      <w:pPr>
        <w:spacing w:after="120" w:line="360" w:lineRule="auto"/>
        <w:jc w:val="both"/>
        <w:rPr>
          <w:rFonts w:hint="default" w:ascii="Arial" w:hAnsi="Arial" w:cs="Arial"/>
          <w:sz w:val="24"/>
          <w:szCs w:val="24"/>
        </w:rPr>
      </w:pPr>
      <w:r>
        <w:rPr>
          <w:rFonts w:hint="default" w:ascii="Arial" w:hAnsi="Arial" w:cs="Arial"/>
          <w:sz w:val="24"/>
          <w:szCs w:val="24"/>
        </w:rPr>
        <w:t>The assessment provided me with practice in analysing strategic management approaches critically and recommending strategies based on evidence. Specifically, I discovered that a good strategic recommendation has to be closely linked to the resources of an organisation, its environment and stakeholders' demands. Above all, however, I realised that strategic fit was far more important than choosing a strategy with the maximum growth potential.</w:t>
      </w:r>
    </w:p>
    <w:p w14:paraId="5CF93ED7">
      <w:pPr>
        <w:spacing w:after="120" w:line="360" w:lineRule="auto"/>
        <w:jc w:val="both"/>
        <w:rPr>
          <w:rFonts w:hint="default" w:ascii="Arial" w:hAnsi="Arial" w:cs="Arial"/>
          <w:sz w:val="24"/>
          <w:szCs w:val="24"/>
        </w:rPr>
      </w:pPr>
    </w:p>
    <w:p w14:paraId="24870CB9">
      <w:pPr>
        <w:pStyle w:val="3"/>
        <w:bidi w:val="0"/>
        <w:spacing w:line="360" w:lineRule="auto"/>
        <w:rPr>
          <w:rFonts w:hint="default" w:ascii="Arial" w:hAnsi="Arial" w:cs="Arial"/>
          <w:b/>
          <w:bCs/>
          <w:color w:val="auto"/>
          <w:sz w:val="28"/>
          <w:szCs w:val="28"/>
        </w:rPr>
      </w:pPr>
      <w:bookmarkStart w:id="66" w:name="_Toc22046"/>
      <w:bookmarkStart w:id="67" w:name="_Toc14206"/>
      <w:r>
        <w:rPr>
          <w:rFonts w:hint="default" w:ascii="Arial" w:hAnsi="Arial" w:cs="Arial"/>
          <w:b/>
          <w:bCs/>
          <w:color w:val="auto"/>
          <w:sz w:val="28"/>
          <w:szCs w:val="28"/>
        </w:rPr>
        <w:t>Action Plan</w:t>
      </w:r>
      <w:bookmarkEnd w:id="66"/>
      <w:bookmarkEnd w:id="67"/>
    </w:p>
    <w:p w14:paraId="7A718B55">
      <w:pPr>
        <w:spacing w:after="120" w:line="360" w:lineRule="auto"/>
        <w:jc w:val="both"/>
        <w:rPr>
          <w:rFonts w:hint="default" w:ascii="Arial" w:hAnsi="Arial" w:cs="Arial"/>
          <w:sz w:val="24"/>
          <w:szCs w:val="24"/>
        </w:rPr>
      </w:pPr>
      <w:r>
        <w:rPr>
          <w:rFonts w:hint="default" w:ascii="Arial" w:hAnsi="Arial" w:cs="Arial"/>
          <w:sz w:val="24"/>
          <w:szCs w:val="24"/>
        </w:rPr>
        <w:t>In the future, when conducting any strategic assessment, I am going to start from formulating a strategic question and then consider only those frameworks which help to answer it. In addition, I am going to examine sources more carefully and make connections between evidence and recommendations clearer. Last but not least, I am going to use measurable objectives and indicators for implementation at an early stage to ensure the practical assessability of strategic recommendations.</w:t>
      </w:r>
    </w:p>
    <w:p w14:paraId="2AA93FAF">
      <w:pPr>
        <w:spacing w:after="120" w:line="360" w:lineRule="auto"/>
        <w:jc w:val="both"/>
        <w:rPr>
          <w:rFonts w:hint="default" w:ascii="Arial" w:hAnsi="Arial" w:cs="Arial"/>
          <w:sz w:val="24"/>
          <w:szCs w:val="24"/>
        </w:rPr>
      </w:pPr>
    </w:p>
    <w:p w14:paraId="190067E2">
      <w:pPr>
        <w:pStyle w:val="2"/>
        <w:bidi w:val="0"/>
        <w:spacing w:line="360" w:lineRule="auto"/>
        <w:rPr>
          <w:rFonts w:hint="default" w:ascii="Arial" w:hAnsi="Arial" w:cs="Arial"/>
          <w:b/>
          <w:bCs/>
          <w:color w:val="auto"/>
          <w:sz w:val="32"/>
          <w:szCs w:val="32"/>
        </w:rPr>
      </w:pPr>
      <w:bookmarkStart w:id="68" w:name="_Toc30559"/>
      <w:bookmarkStart w:id="69" w:name="_Toc32063"/>
      <w:r>
        <w:rPr>
          <w:rFonts w:hint="default" w:ascii="Arial" w:hAnsi="Arial" w:cs="Arial"/>
          <w:b/>
          <w:bCs/>
          <w:color w:val="auto"/>
          <w:sz w:val="32"/>
          <w:szCs w:val="32"/>
        </w:rPr>
        <w:t>Conclusion</w:t>
      </w:r>
      <w:bookmarkEnd w:id="68"/>
      <w:bookmarkEnd w:id="69"/>
    </w:p>
    <w:p w14:paraId="39E0F14C">
      <w:pPr>
        <w:spacing w:after="120"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In summary, it is shown that Rolls-Royce Motor Cars has a very strong competitive advantage in the UK ultra-luxury automobile industry due to its heritage, Bespoke, craftsmanship, unique people and customer experience. At the same time, it becomes apparent from the external environment analysis that changes such as electrification, regulations, disruptions, expectations and competition within the luxury sector are transforming the basis for competition. This means that building competitive advantage based only on the heritage will not allow maintaining competitiveness in the future.</w:t>
      </w:r>
    </w:p>
    <w:p w14:paraId="16B9E8BD">
      <w:pPr>
        <w:spacing w:after="120"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Having considered the results of PESTLE, VRIO, SWOT, Porter's Five Forces and Ansoff analyses, it becomes clear that focused differentiation will remain the optimal strategic direction. This is why Rolls-Royce should pursue sustainable electrification, Bespoke customization through digital solutions, market development and investment into specialist competencies. Moreover, CSR and Balanced Scorecard illustrate the need to ensure financial success in alignment with customer value, operationa</w:t>
      </w:r>
      <w:r>
        <w:rPr>
          <w:rFonts w:hint="default" w:ascii="Arial" w:hAnsi="Arial" w:eastAsia="SimSun" w:cs="Arial"/>
          <w:b w:val="0"/>
          <w:bCs w:val="0"/>
          <w:sz w:val="24"/>
          <w:szCs w:val="24"/>
          <w:lang w:val="en-US"/>
        </w:rPr>
        <w:t>l</w:t>
      </w:r>
      <w:r>
        <w:rPr>
          <w:rFonts w:hint="default" w:ascii="Arial" w:hAnsi="Arial" w:eastAsia="SimSun" w:cs="Arial"/>
          <w:b w:val="0"/>
          <w:bCs w:val="0"/>
          <w:sz w:val="24"/>
          <w:szCs w:val="24"/>
        </w:rPr>
        <w:t xml:space="preserve"> sustainability and organizational learning.</w:t>
      </w:r>
    </w:p>
    <w:p w14:paraId="24AC7508">
      <w:pPr>
        <w:spacing w:after="120"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All in all, Rolls-Royce Motor Cars should focus not on transformational growth, but on strategic evolution. Its competitive advantage will be achieved by means of its ability to combine innovation and sustainability and preserve its exclusivity, craftsmanship, heritage and Bespoke.</w:t>
      </w:r>
    </w:p>
    <w:p w14:paraId="583920EC">
      <w:pPr>
        <w:spacing w:after="120" w:line="360" w:lineRule="auto"/>
        <w:jc w:val="both"/>
        <w:rPr>
          <w:rFonts w:hint="default" w:ascii="Arial" w:hAnsi="Arial" w:eastAsia="SimSun" w:cs="Arial"/>
          <w:b w:val="0"/>
          <w:bCs w:val="0"/>
          <w:sz w:val="24"/>
          <w:szCs w:val="24"/>
        </w:rPr>
      </w:pPr>
    </w:p>
    <w:p w14:paraId="344B7E78">
      <w:pPr>
        <w:pStyle w:val="2"/>
        <w:bidi w:val="0"/>
        <w:spacing w:line="360" w:lineRule="auto"/>
        <w:rPr>
          <w:rFonts w:hint="default" w:ascii="Arial" w:hAnsi="Arial" w:cs="Arial"/>
          <w:b/>
          <w:bCs/>
          <w:color w:val="auto"/>
          <w:sz w:val="32"/>
          <w:szCs w:val="32"/>
          <w:lang w:val="en-US"/>
        </w:rPr>
      </w:pPr>
    </w:p>
    <w:p w14:paraId="62207522">
      <w:pPr>
        <w:pStyle w:val="2"/>
        <w:bidi w:val="0"/>
        <w:spacing w:line="360" w:lineRule="auto"/>
        <w:rPr>
          <w:rFonts w:hint="default" w:ascii="Arial" w:hAnsi="Arial" w:cs="Arial"/>
          <w:b/>
          <w:bCs/>
          <w:color w:val="auto"/>
          <w:sz w:val="32"/>
          <w:szCs w:val="32"/>
          <w:lang w:val="en-US"/>
        </w:rPr>
      </w:pPr>
    </w:p>
    <w:p w14:paraId="6C1AB263">
      <w:pPr>
        <w:pStyle w:val="2"/>
        <w:bidi w:val="0"/>
        <w:rPr>
          <w:rFonts w:hint="default" w:ascii="Arial" w:hAnsi="Arial" w:cs="Arial"/>
          <w:b/>
          <w:bCs/>
          <w:color w:val="auto"/>
          <w:sz w:val="32"/>
          <w:szCs w:val="32"/>
          <w:lang w:val="en-US"/>
        </w:rPr>
      </w:pPr>
    </w:p>
    <w:p w14:paraId="530D057A">
      <w:pPr>
        <w:pStyle w:val="2"/>
        <w:bidi w:val="0"/>
        <w:rPr>
          <w:rFonts w:hint="default" w:ascii="Arial" w:hAnsi="Arial" w:cs="Arial"/>
          <w:b/>
          <w:bCs/>
          <w:color w:val="auto"/>
          <w:sz w:val="32"/>
          <w:szCs w:val="32"/>
          <w:lang w:val="en-US"/>
        </w:rPr>
      </w:pPr>
    </w:p>
    <w:p w14:paraId="24FF014A">
      <w:pPr>
        <w:pStyle w:val="16"/>
        <w:keepNext w:val="0"/>
        <w:keepLines w:val="0"/>
        <w:widowControl/>
        <w:numPr>
          <w:numId w:val="0"/>
        </w:numPr>
        <w:suppressLineNumbers w:val="0"/>
        <w:spacing w:before="0" w:beforeAutospacing="1" w:after="0" w:afterAutospacing="1"/>
        <w:ind w:leftChars="0" w:right="0" w:rightChars="0"/>
        <w:rPr>
          <w:rFonts w:hint="default" w:ascii="Arial" w:hAnsi="Arial" w:eastAsia="SimSun" w:cs="Arial"/>
          <w:b/>
          <w:bCs/>
          <w:color w:val="auto"/>
          <w:sz w:val="32"/>
          <w:szCs w:val="32"/>
        </w:rPr>
      </w:pPr>
    </w:p>
    <w:p w14:paraId="3D7ED1CB">
      <w:pPr>
        <w:pStyle w:val="2"/>
        <w:bidi w:val="0"/>
        <w:rPr>
          <w:rFonts w:hint="default" w:ascii="Arial" w:hAnsi="Arial" w:cs="Arial"/>
          <w:b/>
          <w:bCs/>
          <w:color w:val="auto"/>
          <w:sz w:val="32"/>
          <w:szCs w:val="32"/>
        </w:rPr>
      </w:pPr>
      <w:bookmarkStart w:id="70" w:name="_Toc417"/>
    </w:p>
    <w:p w14:paraId="0B61D356">
      <w:pPr>
        <w:pStyle w:val="2"/>
        <w:bidi w:val="0"/>
        <w:rPr>
          <w:rFonts w:hint="default" w:ascii="Arial" w:hAnsi="Arial" w:cs="Arial"/>
          <w:b/>
          <w:bCs/>
          <w:color w:val="auto"/>
          <w:sz w:val="32"/>
          <w:szCs w:val="32"/>
        </w:rPr>
      </w:pPr>
    </w:p>
    <w:p w14:paraId="2F303917">
      <w:pPr>
        <w:pStyle w:val="2"/>
        <w:bidi w:val="0"/>
        <w:rPr>
          <w:rFonts w:hint="default" w:ascii="Arial" w:hAnsi="Arial" w:cs="Arial"/>
          <w:b/>
          <w:bCs/>
          <w:color w:val="auto"/>
          <w:sz w:val="32"/>
          <w:szCs w:val="32"/>
        </w:rPr>
      </w:pPr>
    </w:p>
    <w:p w14:paraId="39C68059">
      <w:pPr>
        <w:pStyle w:val="2"/>
        <w:bidi w:val="0"/>
        <w:rPr>
          <w:rFonts w:hint="default" w:ascii="Arial" w:hAnsi="Arial" w:cs="Arial"/>
          <w:b/>
          <w:bCs/>
          <w:color w:val="auto"/>
          <w:sz w:val="32"/>
          <w:szCs w:val="32"/>
        </w:rPr>
      </w:pPr>
    </w:p>
    <w:p w14:paraId="3B212DCF">
      <w:pPr>
        <w:pStyle w:val="2"/>
        <w:bidi w:val="0"/>
        <w:rPr>
          <w:rFonts w:hint="default" w:ascii="Arial" w:hAnsi="Arial" w:cs="Arial"/>
          <w:b/>
          <w:bCs/>
          <w:color w:val="auto"/>
          <w:sz w:val="32"/>
          <w:szCs w:val="32"/>
        </w:rPr>
      </w:pPr>
    </w:p>
    <w:p w14:paraId="492A0653">
      <w:pPr>
        <w:pStyle w:val="2"/>
        <w:bidi w:val="0"/>
        <w:rPr>
          <w:rFonts w:hint="default" w:ascii="Arial" w:hAnsi="Arial" w:cs="Arial"/>
          <w:b/>
          <w:bCs/>
          <w:color w:val="auto"/>
          <w:sz w:val="32"/>
          <w:szCs w:val="32"/>
        </w:rPr>
      </w:pPr>
    </w:p>
    <w:p w14:paraId="5B86722B">
      <w:pPr>
        <w:pStyle w:val="2"/>
        <w:bidi w:val="0"/>
        <w:rPr>
          <w:rFonts w:hint="default" w:ascii="Arial" w:hAnsi="Arial" w:cs="Arial"/>
          <w:b/>
          <w:bCs/>
          <w:color w:val="auto"/>
          <w:sz w:val="32"/>
          <w:szCs w:val="32"/>
        </w:rPr>
      </w:pPr>
    </w:p>
    <w:p w14:paraId="11E5E87A">
      <w:pPr>
        <w:pStyle w:val="2"/>
        <w:bidi w:val="0"/>
        <w:rPr>
          <w:rFonts w:hint="default" w:ascii="Arial" w:hAnsi="Arial" w:cs="Arial"/>
          <w:b/>
          <w:bCs/>
          <w:color w:val="auto"/>
          <w:sz w:val="32"/>
          <w:szCs w:val="32"/>
        </w:rPr>
      </w:pPr>
    </w:p>
    <w:p w14:paraId="5BA625AA">
      <w:pPr>
        <w:rPr>
          <w:rFonts w:hint="default" w:ascii="Arial" w:hAnsi="Arial" w:cs="Arial"/>
          <w:b/>
          <w:bCs/>
          <w:color w:val="auto"/>
          <w:sz w:val="32"/>
          <w:szCs w:val="32"/>
        </w:rPr>
      </w:pPr>
    </w:p>
    <w:p w14:paraId="1C9081E6">
      <w:pPr>
        <w:rPr>
          <w:rFonts w:hint="default" w:ascii="Arial" w:hAnsi="Arial" w:cs="Arial"/>
          <w:b/>
          <w:bCs/>
          <w:color w:val="auto"/>
          <w:sz w:val="32"/>
          <w:szCs w:val="32"/>
        </w:rPr>
      </w:pPr>
    </w:p>
    <w:p w14:paraId="17625BD1">
      <w:pPr>
        <w:pStyle w:val="2"/>
        <w:bidi w:val="0"/>
        <w:rPr>
          <w:rFonts w:hint="default" w:ascii="Arial" w:hAnsi="Arial" w:cs="Arial"/>
          <w:b/>
          <w:bCs/>
          <w:color w:val="auto"/>
          <w:sz w:val="32"/>
          <w:szCs w:val="32"/>
        </w:rPr>
      </w:pPr>
      <w:r>
        <w:rPr>
          <w:rFonts w:hint="default" w:ascii="Arial" w:hAnsi="Arial" w:cs="Arial"/>
          <w:b/>
          <w:bCs/>
          <w:color w:val="auto"/>
          <w:sz w:val="32"/>
          <w:szCs w:val="32"/>
        </w:rPr>
        <w:t>Reference</w:t>
      </w:r>
      <w:bookmarkEnd w:id="70"/>
    </w:p>
    <w:p w14:paraId="3C305116">
      <w:pPr>
        <w:pStyle w:val="16"/>
        <w:keepNext w:val="0"/>
        <w:keepLines w:val="0"/>
        <w:widowControl/>
        <w:numPr>
          <w:ilvl w:val="0"/>
          <w:numId w:val="1"/>
        </w:numPr>
        <w:suppressLineNumbers w:val="0"/>
        <w:spacing w:before="0" w:beforeAutospacing="1" w:after="0" w:afterAutospacing="1" w:line="360" w:lineRule="auto"/>
        <w:ind w:left="420" w:leftChars="0" w:right="0" w:hanging="420" w:firstLineChars="0"/>
        <w:jc w:val="both"/>
        <w:rPr>
          <w:rFonts w:hint="default" w:ascii="Arial" w:hAnsi="Arial" w:cs="Arial"/>
        </w:rPr>
      </w:pPr>
      <w:r>
        <w:rPr>
          <w:rFonts w:hint="default" w:ascii="Arial" w:hAnsi="Arial" w:cs="Arial"/>
        </w:rPr>
        <w:t xml:space="preserve">Ansoff, H.I. (1957) ‘Strategies for diversification’, </w:t>
      </w:r>
      <w:r>
        <w:rPr>
          <w:rStyle w:val="13"/>
          <w:rFonts w:hint="default" w:ascii="Arial" w:hAnsi="Arial" w:cs="Arial"/>
        </w:rPr>
        <w:t>Harvard Business Review</w:t>
      </w:r>
      <w:r>
        <w:rPr>
          <w:rFonts w:hint="default" w:ascii="Arial" w:hAnsi="Arial" w:cs="Arial"/>
        </w:rPr>
        <w:t>, 35(5), pp. 113–124.</w:t>
      </w:r>
    </w:p>
    <w:p w14:paraId="44C04465">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Barney, J.B. (1991) ‘Firm resources and sustained competitive advantage’, </w:t>
      </w:r>
      <w:r>
        <w:rPr>
          <w:rStyle w:val="13"/>
          <w:rFonts w:hint="default" w:ascii="Arial" w:hAnsi="Arial" w:cs="Arial"/>
        </w:rPr>
        <w:t>Journal of Management</w:t>
      </w:r>
      <w:r>
        <w:rPr>
          <w:rFonts w:hint="default" w:ascii="Arial" w:hAnsi="Arial" w:cs="Arial"/>
        </w:rPr>
        <w:t xml:space="preserve">, 17(1), pp. 99–120. </w:t>
      </w:r>
    </w:p>
    <w:p w14:paraId="5A867BCA">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Carroll, A.B. (1991) ‘The pyramid of corporate social responsibility: Toward the moral management of organizational stakeholders’, </w:t>
      </w:r>
      <w:r>
        <w:rPr>
          <w:rStyle w:val="13"/>
          <w:rFonts w:hint="default" w:ascii="Arial" w:hAnsi="Arial" w:cs="Arial"/>
        </w:rPr>
        <w:t>Business Horizons</w:t>
      </w:r>
      <w:r>
        <w:rPr>
          <w:rFonts w:hint="default" w:ascii="Arial" w:hAnsi="Arial" w:cs="Arial"/>
        </w:rPr>
        <w:t>, 34(4), pp. 39–48.</w:t>
      </w:r>
    </w:p>
    <w:p w14:paraId="05BBD464">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Elkington, J. (1997) </w:t>
      </w:r>
      <w:r>
        <w:rPr>
          <w:rStyle w:val="13"/>
          <w:rFonts w:hint="default" w:ascii="Arial" w:hAnsi="Arial" w:cs="Arial"/>
        </w:rPr>
        <w:t>Cannibals with Forks: The Triple Bottom Line of 21st Century Business</w:t>
      </w:r>
      <w:r>
        <w:rPr>
          <w:rFonts w:hint="default" w:ascii="Arial" w:hAnsi="Arial" w:cs="Arial"/>
        </w:rPr>
        <w:t>. Oxford: Capstone.</w:t>
      </w:r>
    </w:p>
    <w:p w14:paraId="58CADE3D">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Freeman, R.E. (1984) </w:t>
      </w:r>
      <w:r>
        <w:rPr>
          <w:rStyle w:val="13"/>
          <w:rFonts w:hint="default" w:ascii="Arial" w:hAnsi="Arial" w:cs="Arial"/>
        </w:rPr>
        <w:t>Strategic Management: A Stakeholder Approach</w:t>
      </w:r>
      <w:r>
        <w:rPr>
          <w:rFonts w:hint="default" w:ascii="Arial" w:hAnsi="Arial" w:cs="Arial"/>
        </w:rPr>
        <w:t>. Boston: Pitman.</w:t>
      </w:r>
    </w:p>
    <w:p w14:paraId="11D6CC25">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Johnson, G., Whittington, R., Angwin, D., Regnér, P. and Scholes, K. (2023) </w:t>
      </w:r>
      <w:r>
        <w:rPr>
          <w:rStyle w:val="13"/>
          <w:rFonts w:hint="default" w:ascii="Arial" w:hAnsi="Arial" w:cs="Arial"/>
        </w:rPr>
        <w:t>Exploring Strategy</w:t>
      </w:r>
      <w:r>
        <w:rPr>
          <w:rFonts w:hint="default" w:ascii="Arial" w:hAnsi="Arial" w:cs="Arial"/>
        </w:rPr>
        <w:t>. 13th edn. Harlow: Pearson.</w:t>
      </w:r>
    </w:p>
    <w:p w14:paraId="7B0131F0">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Kaplan, R.S. and Norton, D.P. (1992) ‘The Balanced Scorecard—Measures That Drive Performance’, </w:t>
      </w:r>
      <w:r>
        <w:rPr>
          <w:rStyle w:val="13"/>
          <w:rFonts w:hint="default" w:ascii="Arial" w:hAnsi="Arial" w:cs="Arial"/>
        </w:rPr>
        <w:t>Harvard Business Review</w:t>
      </w:r>
      <w:r>
        <w:rPr>
          <w:rFonts w:hint="default" w:ascii="Arial" w:hAnsi="Arial" w:cs="Arial"/>
        </w:rPr>
        <w:t>, 70(1), pp. 71–79.</w:t>
      </w:r>
    </w:p>
    <w:p w14:paraId="42FE4888">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Porter, M.E. (1980) </w:t>
      </w:r>
      <w:r>
        <w:rPr>
          <w:rStyle w:val="13"/>
          <w:rFonts w:hint="default" w:ascii="Arial" w:hAnsi="Arial" w:cs="Arial"/>
        </w:rPr>
        <w:t>Competitive Strategy: Techniques for Analysing Industries and Competitors</w:t>
      </w:r>
      <w:r>
        <w:rPr>
          <w:rFonts w:hint="default" w:ascii="Arial" w:hAnsi="Arial" w:cs="Arial"/>
        </w:rPr>
        <w:t>. New York: Free Press.</w:t>
      </w:r>
    </w:p>
    <w:p w14:paraId="5CA75AFD">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Porter, M.E. (1985) </w:t>
      </w:r>
      <w:r>
        <w:rPr>
          <w:rStyle w:val="13"/>
          <w:rFonts w:hint="default" w:ascii="Arial" w:hAnsi="Arial" w:cs="Arial"/>
        </w:rPr>
        <w:t>Competitive Advantage: Creating and Sustaining Superior Performance</w:t>
      </w:r>
      <w:r>
        <w:rPr>
          <w:rFonts w:hint="default" w:ascii="Arial" w:hAnsi="Arial" w:cs="Arial"/>
        </w:rPr>
        <w:t>. New York: Free Press.</w:t>
      </w:r>
    </w:p>
    <w:p w14:paraId="28BF0CC0">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Porter, M.E. (2008) ‘The five competitive forces that shape strategy’, </w:t>
      </w:r>
      <w:r>
        <w:rPr>
          <w:rStyle w:val="13"/>
          <w:rFonts w:hint="default" w:ascii="Arial" w:hAnsi="Arial" w:cs="Arial"/>
        </w:rPr>
        <w:t>Harvard Business Review</w:t>
      </w:r>
      <w:r>
        <w:rPr>
          <w:rFonts w:hint="default" w:ascii="Arial" w:hAnsi="Arial" w:cs="Arial"/>
        </w:rPr>
        <w:t>, 86(1), pp. 78–93.</w:t>
      </w:r>
    </w:p>
    <w:p w14:paraId="201323EA">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Teece, D.J., Pisano, G. and Shuen, A. (1997) ‘Dynamic capabilities and strategic management’, </w:t>
      </w:r>
      <w:r>
        <w:rPr>
          <w:rStyle w:val="13"/>
          <w:rFonts w:hint="default" w:ascii="Arial" w:hAnsi="Arial" w:cs="Arial"/>
        </w:rPr>
        <w:t>Strategic Management Journal</w:t>
      </w:r>
      <w:r>
        <w:rPr>
          <w:rFonts w:hint="default" w:ascii="Arial" w:hAnsi="Arial" w:cs="Arial"/>
        </w:rPr>
        <w:t>, 18(7), pp. 509–533.</w:t>
      </w:r>
    </w:p>
    <w:p w14:paraId="748AF839">
      <w:pPr>
        <w:pStyle w:val="16"/>
        <w:keepNext w:val="0"/>
        <w:keepLines w:val="0"/>
        <w:widowControl/>
        <w:numPr>
          <w:ilvl w:val="0"/>
          <w:numId w:val="1"/>
        </w:numPr>
        <w:suppressLineNumbers w:val="0"/>
        <w:spacing w:before="0" w:beforeAutospacing="1" w:after="0" w:afterAutospacing="1" w:line="360" w:lineRule="auto"/>
        <w:ind w:left="420" w:leftChars="0" w:right="0" w:hanging="420" w:firstLineChars="0"/>
        <w:jc w:val="both"/>
        <w:rPr>
          <w:rFonts w:hint="default" w:ascii="Arial" w:hAnsi="Arial" w:cs="Arial"/>
        </w:rPr>
      </w:pPr>
      <w:r>
        <w:rPr>
          <w:rFonts w:hint="default" w:ascii="Arial" w:hAnsi="Arial" w:cs="Arial"/>
        </w:rPr>
        <w:t xml:space="preserve">Rolls-Royce Motor Cars (2022a) ‘Rolls-Royce Phantom: A New Expression’. Available at: Rolls-Royce Motor Cars PressClub </w:t>
      </w:r>
      <w:r>
        <w:rPr>
          <w:rFonts w:hint="default" w:ascii="Arial" w:hAnsi="Arial" w:cs="Arial"/>
          <w:lang w:val="en-US"/>
        </w:rPr>
        <w:t>.</w:t>
      </w:r>
    </w:p>
    <w:p w14:paraId="01D95910">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Rolls-Royce Motor Cars (2022b) ‘Rolls-Royce Motor Cars: Phantom Series II Makes UK Debut at Salon Privé’. Available at: Rolls-Royce Motor Cars PressClub</w:t>
      </w:r>
      <w:r>
        <w:rPr>
          <w:rFonts w:hint="default" w:ascii="Arial" w:hAnsi="Arial" w:cs="Arial"/>
          <w:lang w:val="en-US"/>
        </w:rPr>
        <w:t>.</w:t>
      </w:r>
    </w:p>
    <w:p w14:paraId="385E4619">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Rolls-Royce Motor Cars (2022c) ‘Rolls-Royce Phantom Series II North American Debut at Monterey Car Week’. Available at: Rolls-Royce Motor Cars PressClub </w:t>
      </w:r>
      <w:r>
        <w:rPr>
          <w:rFonts w:hint="default" w:ascii="Arial" w:hAnsi="Arial" w:cs="Arial"/>
          <w:lang w:val="en-US"/>
        </w:rPr>
        <w:t>.</w:t>
      </w:r>
    </w:p>
    <w:p w14:paraId="376041AE">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Rolls-Royce Motor Cars (2023) ‘20 Years at Goodwood – The Home of Rolls-Royce, 2003–2023’. Available at: Rolls-Royce Motor Cars PressClub </w:t>
      </w:r>
      <w:r>
        <w:rPr>
          <w:rFonts w:hint="default" w:ascii="Arial" w:hAnsi="Arial" w:cs="Arial"/>
          <w:lang w:val="en-US"/>
        </w:rPr>
        <w:t>.</w:t>
      </w:r>
    </w:p>
    <w:p w14:paraId="6AD7D614">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Rolls-Royce Motor Cars (2025a) ‘Rolls-Royce Heritage: From 1904 to Today – and Beyond’. Available at: Rolls-Royce Motor Cars PressClub .</w:t>
      </w:r>
    </w:p>
    <w:p w14:paraId="46D2E7AA">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Rolls-Royce Motor Cars (2025b) ‘Landmark Investment Crowns Record Year for Bespoke at Rolls-Royce Motor Cars’. Available at: Rolls-Royce Motor Cars PressClub .</w:t>
      </w:r>
    </w:p>
    <w:p w14:paraId="382D6FFB">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Rolls-Royce Motor Cars (n.d.) ‘A Greener Goodwood’. Available at: Rolls-Royce Motor Cars – A Greener Goodwood .</w:t>
      </w:r>
    </w:p>
    <w:p w14:paraId="2CA5B440">
      <w:pPr>
        <w:pStyle w:val="16"/>
        <w:keepNext w:val="0"/>
        <w:keepLines w:val="0"/>
        <w:widowControl/>
        <w:numPr>
          <w:ilvl w:val="0"/>
          <w:numId w:val="1"/>
        </w:numPr>
        <w:suppressLineNumbers w:val="0"/>
        <w:spacing w:before="0" w:beforeAutospacing="1" w:after="0" w:afterAutospacing="1" w:line="360" w:lineRule="auto"/>
        <w:ind w:left="420" w:leftChars="0" w:right="0" w:hanging="420" w:firstLineChars="0"/>
        <w:jc w:val="both"/>
        <w:rPr>
          <w:rFonts w:hint="default" w:ascii="Arial" w:hAnsi="Arial" w:cs="Arial"/>
        </w:rPr>
      </w:pPr>
      <w:r>
        <w:rPr>
          <w:rFonts w:hint="default" w:ascii="Arial" w:hAnsi="Arial" w:cs="Arial"/>
        </w:rPr>
        <w:t xml:space="preserve">BMW Group (2026a) </w:t>
      </w:r>
      <w:r>
        <w:rPr>
          <w:rStyle w:val="13"/>
          <w:rFonts w:hint="default" w:ascii="Arial" w:hAnsi="Arial" w:cs="Arial"/>
        </w:rPr>
        <w:t>BMW Group Report 2025</w:t>
      </w:r>
      <w:r>
        <w:rPr>
          <w:rFonts w:hint="default" w:ascii="Arial" w:hAnsi="Arial" w:cs="Arial"/>
        </w:rPr>
        <w:t xml:space="preserve">. Munich: BMW Group. Available at: BMW Group Report 2025 . </w:t>
      </w:r>
    </w:p>
    <w:p w14:paraId="7B2E29CD">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BMW Group (2026b) ‘Rolls-Royce Plant Goodwood’. Available at: BMW Group – Rolls-Royce Plant Goodwood .</w:t>
      </w:r>
    </w:p>
    <w:p w14:paraId="0B9DA1D9">
      <w:pPr>
        <w:pStyle w:val="16"/>
        <w:keepNext w:val="0"/>
        <w:keepLines w:val="0"/>
        <w:widowControl/>
        <w:numPr>
          <w:ilvl w:val="0"/>
          <w:numId w:val="1"/>
        </w:numPr>
        <w:suppressLineNumbers w:val="0"/>
        <w:spacing w:before="0" w:beforeAutospacing="1" w:after="0" w:afterAutospacing="1" w:line="360" w:lineRule="auto"/>
        <w:ind w:left="420" w:leftChars="0" w:right="0" w:hanging="420" w:firstLineChars="0"/>
        <w:jc w:val="both"/>
        <w:rPr>
          <w:rFonts w:hint="default" w:ascii="Arial" w:hAnsi="Arial" w:cs="Arial"/>
        </w:rPr>
      </w:pPr>
      <w:r>
        <w:rPr>
          <w:rFonts w:hint="default" w:ascii="Arial" w:hAnsi="Arial" w:cs="Arial"/>
        </w:rPr>
        <w:t xml:space="preserve">Deloitte (2025) </w:t>
      </w:r>
      <w:r>
        <w:rPr>
          <w:rStyle w:val="13"/>
          <w:rFonts w:hint="default" w:ascii="Arial" w:hAnsi="Arial" w:cs="Arial"/>
        </w:rPr>
        <w:t>2025 Global Automotive Consumer Study</w:t>
      </w:r>
      <w:r>
        <w:rPr>
          <w:rFonts w:hint="default" w:ascii="Arial" w:hAnsi="Arial" w:cs="Arial"/>
        </w:rPr>
        <w:t>. Available at: Deloitte Global Automotive Consumer Study.</w:t>
      </w:r>
    </w:p>
    <w:p w14:paraId="64D623A1">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International Energy Agency (IEA) (2026) </w:t>
      </w:r>
      <w:r>
        <w:rPr>
          <w:rStyle w:val="13"/>
          <w:rFonts w:hint="default" w:ascii="Arial" w:hAnsi="Arial" w:cs="Arial"/>
        </w:rPr>
        <w:t>Global EV Outlook 2026</w:t>
      </w:r>
      <w:r>
        <w:rPr>
          <w:rFonts w:hint="default" w:ascii="Arial" w:hAnsi="Arial" w:cs="Arial"/>
        </w:rPr>
        <w:t xml:space="preserve">. Paris: IEA. Available at: IEA – Global EV Outlook 2026 . </w:t>
      </w:r>
    </w:p>
    <w:p w14:paraId="7DA4F478">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Society of Motor Manufacturers and Traders (SMMT) (2025) ‘The UK’s Small Volume Automotive Manufacturers’. Available at: SMMT – Small Volume Automotive Manufacturers .</w:t>
      </w:r>
    </w:p>
    <w:p w14:paraId="01E27E9D">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Society of Motor Manufacturers and Traders (SMMT) (2025) ‘Small volume, high value: the multi-billion pound luxury and sports car manufacturers boosting Britain’s exports’. Available at: SMMT – Small Volume, High Value .</w:t>
      </w:r>
    </w:p>
    <w:p w14:paraId="0037E076">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Knight Frank (2026) </w:t>
      </w:r>
      <w:r>
        <w:rPr>
          <w:rStyle w:val="13"/>
          <w:rFonts w:hint="default" w:ascii="Arial" w:hAnsi="Arial" w:cs="Arial"/>
        </w:rPr>
        <w:t>Wealth Sizing Model 2026</w:t>
      </w:r>
      <w:r>
        <w:rPr>
          <w:rFonts w:hint="default" w:ascii="Arial" w:hAnsi="Arial" w:cs="Arial"/>
        </w:rPr>
        <w:t>. Available at: Knight Frank – Wealth Sizing Model 2026 .</w:t>
      </w:r>
    </w:p>
    <w:p w14:paraId="0AD1CD78">
      <w:pPr>
        <w:pStyle w:val="16"/>
        <w:keepNext w:val="0"/>
        <w:keepLines w:val="0"/>
        <w:widowControl/>
        <w:numPr>
          <w:ilvl w:val="0"/>
          <w:numId w:val="1"/>
        </w:numPr>
        <w:suppressLineNumbers w:val="0"/>
        <w:spacing w:before="0" w:beforeAutospacing="1" w:after="0" w:afterAutospacing="1" w:line="360" w:lineRule="auto"/>
        <w:ind w:left="420" w:leftChars="0" w:right="0" w:hanging="420" w:firstLineChars="0"/>
        <w:jc w:val="both"/>
        <w:rPr>
          <w:rFonts w:hint="default" w:ascii="Arial" w:hAnsi="Arial" w:cs="Arial"/>
        </w:rPr>
      </w:pPr>
      <w:r>
        <w:rPr>
          <w:rFonts w:hint="default" w:ascii="Arial" w:hAnsi="Arial" w:cs="Arial"/>
        </w:rPr>
        <w:t xml:space="preserve">Department for Transport (2025) </w:t>
      </w:r>
      <w:r>
        <w:rPr>
          <w:rStyle w:val="13"/>
          <w:rFonts w:hint="default" w:ascii="Arial" w:hAnsi="Arial" w:cs="Arial"/>
        </w:rPr>
        <w:t>Updates to the Vehicle Emissions Trading Schemes (VETS) Order 2023</w:t>
      </w:r>
      <w:r>
        <w:rPr>
          <w:rFonts w:hint="default" w:ascii="Arial" w:hAnsi="Arial" w:cs="Arial"/>
        </w:rPr>
        <w:t>. Available at: GOV.UK – Vehicle Emissions Trading Schemes.</w:t>
      </w:r>
    </w:p>
    <w:p w14:paraId="68ED949B">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Department for Transport and Office for Zero Emission Vehicles (2026) </w:t>
      </w:r>
      <w:r>
        <w:rPr>
          <w:rStyle w:val="13"/>
          <w:rFonts w:hint="default" w:ascii="Arial" w:hAnsi="Arial" w:cs="Arial"/>
        </w:rPr>
        <w:t>Vehicle Emissions Trading Schemes (VETS): Final Compliance Information 2024</w:t>
      </w:r>
      <w:r>
        <w:rPr>
          <w:rFonts w:hint="default" w:ascii="Arial" w:hAnsi="Arial" w:cs="Arial"/>
        </w:rPr>
        <w:t>. Available at: GOV.UK – VETS Final Compliance Information .</w:t>
      </w:r>
    </w:p>
    <w:p w14:paraId="54FB9C18">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HM Revenue &amp; Customs (2026) </w:t>
      </w:r>
      <w:r>
        <w:rPr>
          <w:rStyle w:val="13"/>
          <w:rFonts w:hint="default" w:ascii="Arial" w:hAnsi="Arial" w:cs="Arial"/>
        </w:rPr>
        <w:t>Vehicle tax for electric, zero and low emission vehicles</w:t>
      </w:r>
      <w:r>
        <w:rPr>
          <w:rFonts w:hint="default" w:ascii="Arial" w:hAnsi="Arial" w:cs="Arial"/>
        </w:rPr>
        <w:t>. Available at: GOV.UK – Vehicle Tax for Electric Vehicles .</w:t>
      </w:r>
    </w:p>
    <w:p w14:paraId="2ED3E183">
      <w:pPr>
        <w:pStyle w:val="16"/>
        <w:keepNext w:val="0"/>
        <w:keepLines w:val="0"/>
        <w:widowControl/>
        <w:numPr>
          <w:ilvl w:val="0"/>
          <w:numId w:val="1"/>
        </w:numPr>
        <w:suppressLineNumbers w:val="0"/>
        <w:spacing w:beforeAutospacing="1" w:line="360" w:lineRule="auto"/>
        <w:ind w:left="420" w:leftChars="0" w:hanging="420" w:firstLineChars="0"/>
        <w:jc w:val="both"/>
        <w:rPr>
          <w:rFonts w:hint="default" w:ascii="Arial" w:hAnsi="Arial" w:cs="Arial"/>
        </w:rPr>
      </w:pPr>
      <w:r>
        <w:rPr>
          <w:rFonts w:hint="default" w:ascii="Arial" w:hAnsi="Arial" w:cs="Arial"/>
        </w:rPr>
        <w:t xml:space="preserve">Office for National Statistics (ONS) (2026) </w:t>
      </w:r>
      <w:r>
        <w:rPr>
          <w:rStyle w:val="13"/>
          <w:rFonts w:hint="default" w:ascii="Arial" w:hAnsi="Arial" w:cs="Arial"/>
        </w:rPr>
        <w:t>Consumer price inflation, UK: June 2026</w:t>
      </w:r>
      <w:r>
        <w:rPr>
          <w:rFonts w:hint="default" w:ascii="Arial" w:hAnsi="Arial" w:cs="Arial"/>
        </w:rPr>
        <w:t>. Available at: ONS – Consumer Price Inflation, June 2026 .</w:t>
      </w:r>
    </w:p>
    <w:p w14:paraId="543B0920">
      <w:pPr>
        <w:rPr>
          <w:rFonts w:hint="default"/>
          <w:lang w:val="en-US"/>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altName w:val="Segoe Print"/>
    <w:panose1 w:val="02040503050203030202"/>
    <w:charset w:val="00"/>
    <w:family w:val="roman"/>
    <w:pitch w:val="default"/>
    <w:sig w:usb0="00000000" w:usb1="00000000" w:usb2="00000000" w:usb3="00000000" w:csb0="00000001"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Geist Fallback">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3159923"/>
      <w:docPartObj>
        <w:docPartGallery w:val="AutoText"/>
      </w:docPartObj>
    </w:sdtPr>
    <w:sdtContent>
      <w:p w14:paraId="60F664FB">
        <w:pPr>
          <w:pStyle w:val="14"/>
          <w:jc w:val="center"/>
        </w:pPr>
        <w:r>
          <w:fldChar w:fldCharType="begin"/>
        </w:r>
        <w:r>
          <w:instrText xml:space="preserve"> PAGE   \* MERGEFORMAT </w:instrText>
        </w:r>
        <w:r>
          <w:fldChar w:fldCharType="separate"/>
        </w:r>
        <w:r>
          <w:t>2</w:t>
        </w:r>
        <w:r>
          <w:fldChar w:fldCharType="end"/>
        </w:r>
      </w:p>
    </w:sdtContent>
  </w:sdt>
  <w:p w14:paraId="678CE28C">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2C739"/>
    <w:multiLevelType w:val="singleLevel"/>
    <w:tmpl w:val="6282C739"/>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210"/>
    <w:rsid w:val="00002060"/>
    <w:rsid w:val="000D5365"/>
    <w:rsid w:val="000F00EB"/>
    <w:rsid w:val="00103D2D"/>
    <w:rsid w:val="002E151D"/>
    <w:rsid w:val="00363E9C"/>
    <w:rsid w:val="003C2495"/>
    <w:rsid w:val="00442077"/>
    <w:rsid w:val="00532901"/>
    <w:rsid w:val="005B4451"/>
    <w:rsid w:val="006A5046"/>
    <w:rsid w:val="006A5190"/>
    <w:rsid w:val="00881D7E"/>
    <w:rsid w:val="0092441B"/>
    <w:rsid w:val="009F4208"/>
    <w:rsid w:val="00A05DB4"/>
    <w:rsid w:val="00A2686D"/>
    <w:rsid w:val="00B57210"/>
    <w:rsid w:val="00BF1D3B"/>
    <w:rsid w:val="00C67AD5"/>
    <w:rsid w:val="00D764EC"/>
    <w:rsid w:val="00DA4553"/>
    <w:rsid w:val="00DD676F"/>
    <w:rsid w:val="00DF5C17"/>
    <w:rsid w:val="00FC1A7D"/>
    <w:rsid w:val="338D6821"/>
    <w:rsid w:val="62D325F2"/>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42"/>
    <w:unhideWhenUsed/>
    <w:uiPriority w:val="99"/>
    <w:pPr>
      <w:tabs>
        <w:tab w:val="center" w:pos="4513"/>
        <w:tab w:val="right" w:pos="9026"/>
      </w:tabs>
      <w:spacing w:after="0" w:line="240" w:lineRule="auto"/>
    </w:pPr>
  </w:style>
  <w:style w:type="paragraph" w:styleId="15">
    <w:name w:val="header"/>
    <w:basedOn w:val="1"/>
    <w:link w:val="41"/>
    <w:unhideWhenUsed/>
    <w:uiPriority w:val="99"/>
    <w:pPr>
      <w:tabs>
        <w:tab w:val="center" w:pos="4513"/>
        <w:tab w:val="right" w:pos="9026"/>
      </w:tabs>
      <w:spacing w:after="0" w:line="240" w:lineRule="auto"/>
    </w:pPr>
  </w:style>
  <w:style w:type="paragraph" w:styleId="16">
    <w:name w:val="Normal (Web)"/>
    <w:basedOn w:val="1"/>
    <w:semiHidden/>
    <w:unhideWhenUsed/>
    <w:uiPriority w:val="99"/>
    <w:rPr>
      <w:rFonts w:ascii="Times New Roman" w:hAnsi="Times New Roman" w:cs="Times New Roman"/>
      <w:sz w:val="24"/>
      <w:szCs w:val="24"/>
    </w:rPr>
  </w:style>
  <w:style w:type="character" w:styleId="17">
    <w:name w:val="Strong"/>
    <w:basedOn w:val="11"/>
    <w:qFormat/>
    <w:uiPriority w:val="22"/>
    <w:rPr>
      <w:b/>
      <w:bCs/>
    </w:rPr>
  </w:style>
  <w:style w:type="paragraph" w:styleId="18">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1">
    <w:name w:val="toc 1"/>
    <w:basedOn w:val="1"/>
    <w:next w:val="1"/>
    <w:semiHidden/>
    <w:unhideWhenUsed/>
    <w:uiPriority w:val="39"/>
  </w:style>
  <w:style w:type="paragraph" w:styleId="22">
    <w:name w:val="toc 2"/>
    <w:basedOn w:val="1"/>
    <w:next w:val="1"/>
    <w:semiHidden/>
    <w:unhideWhenUsed/>
    <w:uiPriority w:val="39"/>
    <w:pPr>
      <w:ind w:left="420" w:leftChars="200"/>
    </w:pPr>
  </w:style>
  <w:style w:type="character" w:customStyle="1" w:styleId="23">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5">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6">
    <w:name w:val="Heading 4 Char"/>
    <w:basedOn w:val="11"/>
    <w:link w:val="5"/>
    <w:semiHidden/>
    <w:qFormat/>
    <w:uiPriority w:val="9"/>
    <w:rPr>
      <w:rFonts w:eastAsiaTheme="majorEastAsia" w:cstheme="majorBidi"/>
      <w:i/>
      <w:iCs/>
      <w:color w:val="2F5597" w:themeColor="accent1" w:themeShade="BF"/>
    </w:rPr>
  </w:style>
  <w:style w:type="character" w:customStyle="1" w:styleId="27">
    <w:name w:val="Heading 5 Char"/>
    <w:basedOn w:val="11"/>
    <w:link w:val="6"/>
    <w:semiHidden/>
    <w:qFormat/>
    <w:uiPriority w:val="9"/>
    <w:rPr>
      <w:rFonts w:eastAsiaTheme="majorEastAsia" w:cstheme="majorBidi"/>
      <w:color w:val="2F5597" w:themeColor="accent1" w:themeShade="BF"/>
    </w:rPr>
  </w:style>
  <w:style w:type="character" w:customStyle="1" w:styleId="28">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3">
    <w:name w:val="Subtitle Char"/>
    <w:basedOn w:val="11"/>
    <w:link w:val="18"/>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Intense Quote Char"/>
    <w:basedOn w:val="11"/>
    <w:link w:val="38"/>
    <w:qFormat/>
    <w:uiPriority w:val="30"/>
    <w:rPr>
      <w:i/>
      <w:iCs/>
      <w:color w:val="2F5597" w:themeColor="accent1" w:themeShade="BF"/>
    </w:rPr>
  </w:style>
  <w:style w:type="character" w:customStyle="1" w:styleId="40">
    <w:name w:val="Intense Reference"/>
    <w:basedOn w:val="11"/>
    <w:qFormat/>
    <w:uiPriority w:val="32"/>
    <w:rPr>
      <w:b/>
      <w:bCs/>
      <w:smallCaps/>
      <w:color w:val="2F5597" w:themeColor="accent1" w:themeShade="BF"/>
      <w:spacing w:val="5"/>
    </w:rPr>
  </w:style>
  <w:style w:type="character" w:customStyle="1" w:styleId="41">
    <w:name w:val="Header Char"/>
    <w:basedOn w:val="11"/>
    <w:link w:val="15"/>
    <w:qFormat/>
    <w:uiPriority w:val="99"/>
  </w:style>
  <w:style w:type="character" w:customStyle="1" w:styleId="42">
    <w:name w:val="Footer Char"/>
    <w:basedOn w:val="11"/>
    <w:link w:val="1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6714</Words>
  <Characters>47223</Characters>
  <Lines>384</Lines>
  <Paragraphs>108</Paragraphs>
  <TotalTime>29</TotalTime>
  <ScaleCrop>false</ScaleCrop>
  <LinksUpToDate>false</LinksUpToDate>
  <CharactersWithSpaces>53335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2026-08-08T06:46:00Z</dcterms:created>
  <dc:creator>Arpit Verma</dc:creator>
  <cp:lastModifiedBy>Mohdsaqibkhan</cp:lastModifiedBy>
  <dcterms:modified xsi:type="dcterms:W3CDTF">2026-08-11T09:58:34Z</dcterms:modified>
  <dc:subject>Strategic Management – LCMB7003</dc:subject>
  <dc:title>Strategic Management Report: Rolls-Royce Phantom VIII (Series II)</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eyJoZGlkIjoiZWI0MWYxNTMxMTVhYzdmZjZhZmFjYWNiMTg2NzZmMDciLCJ1c2VySWQiOiIzODQ4MjkxOTg3ODQyIn0=</vt:lpwstr>
  </property>
  <property fmtid="{D5CDD505-2E9C-101B-9397-08002B2CF9AE}" pid="3" name="KSOProductBuildVer">
    <vt:lpwstr>1033-12.1.0.28032</vt:lpwstr>
  </property>
  <property fmtid="{D5CDD505-2E9C-101B-9397-08002B2CF9AE}" pid="4" name="ICV">
    <vt:lpwstr>58B3403C6328474DB0E4C696F95F8548_13</vt:lpwstr>
  </property>
</Properties>
</file>