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8B2A5" w14:textId="7D759F50" w:rsidR="00B554C7" w:rsidRPr="00722436" w:rsidRDefault="00136845" w:rsidP="00F960BA">
      <w:pPr>
        <w:pStyle w:val="mb-25"/>
        <w:jc w:val="both"/>
        <w:rPr>
          <w:rFonts w:ascii="Arial" w:hAnsi="Arial" w:cs="Arial"/>
        </w:rPr>
      </w:pPr>
      <w:r w:rsidRPr="00722436">
        <w:rPr>
          <w:rFonts w:ascii="Arial" w:hAnsi="Arial" w:cs="Arial"/>
        </w:rPr>
        <w:t>In England and Wales, civil litigation changed fundamentally in April 1999 with the introduction of the Civil Procedure Rules 1998 (CPR 1998) (SI 1998/3132). These rules represent the courts' efforts to implement the 'Woolf Reforms' in Lord Woolf's 1996 report, Access to Justice. According to this report, the litigation system at the time was too expensive, slow, and confusing for many litigants. Further changes were introduced in April 2013, following a comprehensive review of the system by Lord Justice Jackson. These changes were made to enable the courts to control litigation costs and to allow different forms of funding.</w:t>
      </w:r>
      <w:r w:rsidR="00F960BA" w:rsidRPr="00722436">
        <w:rPr>
          <w:rFonts w:ascii="Arial" w:hAnsi="Arial" w:cs="Arial"/>
        </w:rPr>
        <w:t xml:space="preserve"> </w:t>
      </w:r>
      <w:r w:rsidR="00D47E43" w:rsidRPr="00722436">
        <w:rPr>
          <w:rFonts w:ascii="Arial" w:hAnsi="Arial" w:cs="Arial"/>
        </w:rPr>
        <w:t>As part of civil procedure rules introduced in 1998, three "tracks" were established to expedite and fairly process claims</w:t>
      </w:r>
      <w:r w:rsidR="00B554C7" w:rsidRPr="00722436">
        <w:rPr>
          <w:rFonts w:ascii="Arial" w:hAnsi="Arial" w:cs="Arial"/>
        </w:rPr>
        <w:t>. These tracks are named the Small Claims Track, the Fast Track, and the Multi Track. A small claim is defined as a dispute between two parties involving less than £10,000 in damages or £1,000 in medical expenses. This is according to the Small Claims Procedure in the United Kingdom which has been in existence since 1998</w:t>
      </w:r>
      <w:r w:rsidR="00D628D5" w:rsidRPr="00722436">
        <w:rPr>
          <w:rFonts w:ascii="Arial" w:hAnsi="Arial" w:cs="Arial"/>
        </w:rPr>
        <w:t xml:space="preserve"> (</w:t>
      </w:r>
      <w:r w:rsidR="0076328C" w:rsidRPr="00722436">
        <w:rPr>
          <w:rFonts w:ascii="Arial" w:hAnsi="Arial" w:cs="Arial"/>
        </w:rPr>
        <w:t xml:space="preserve">Browne and </w:t>
      </w:r>
      <w:proofErr w:type="spellStart"/>
      <w:r w:rsidR="0076328C" w:rsidRPr="00722436">
        <w:rPr>
          <w:rFonts w:ascii="Arial" w:hAnsi="Arial" w:cs="Arial"/>
        </w:rPr>
        <w:t>Catlow</w:t>
      </w:r>
      <w:proofErr w:type="spellEnd"/>
      <w:r w:rsidR="00922B0C" w:rsidRPr="00722436">
        <w:rPr>
          <w:rFonts w:ascii="Arial" w:hAnsi="Arial" w:cs="Arial"/>
        </w:rPr>
        <w:t xml:space="preserve">, 2021, </w:t>
      </w:r>
      <w:r w:rsidR="00EE1167" w:rsidRPr="00722436">
        <w:rPr>
          <w:rFonts w:ascii="Arial" w:hAnsi="Arial" w:cs="Arial"/>
        </w:rPr>
        <w:t>p.35-36</w:t>
      </w:r>
      <w:r w:rsidR="00066407" w:rsidRPr="00722436">
        <w:rPr>
          <w:rFonts w:ascii="Arial" w:hAnsi="Arial" w:cs="Arial"/>
        </w:rPr>
        <w:t>)</w:t>
      </w:r>
      <w:r w:rsidR="00B554C7" w:rsidRPr="00722436">
        <w:rPr>
          <w:rFonts w:ascii="Arial" w:hAnsi="Arial" w:cs="Arial"/>
        </w:rPr>
        <w:t>.</w:t>
      </w:r>
      <w:r w:rsidR="00055BBE" w:rsidRPr="00722436">
        <w:rPr>
          <w:rFonts w:ascii="Arial" w:hAnsi="Arial" w:cs="Arial"/>
        </w:rPr>
        <w:t xml:space="preserve"> </w:t>
      </w:r>
    </w:p>
    <w:p w14:paraId="2B4420B8" w14:textId="58CD3B0E" w:rsidR="007042CD" w:rsidRPr="00722436" w:rsidRDefault="00701A9D" w:rsidP="001A14B6">
      <w:pPr>
        <w:pStyle w:val="mb-25"/>
        <w:jc w:val="both"/>
        <w:rPr>
          <w:rFonts w:ascii="Arial" w:hAnsi="Arial" w:cs="Arial"/>
        </w:rPr>
      </w:pPr>
      <w:r w:rsidRPr="00722436">
        <w:rPr>
          <w:rFonts w:ascii="Arial" w:hAnsi="Arial" w:cs="Arial"/>
        </w:rPr>
        <w:t xml:space="preserve">On 31 May 2021, low-value injury claims were introduced for people in road traffic accidents (RTAs). Claimants will receive less compensation due to the following changes: a) Injuries that last up to two years from RTAs. b) </w:t>
      </w:r>
      <w:r w:rsidR="00304DDF" w:rsidRPr="00722436">
        <w:rPr>
          <w:rFonts w:ascii="Arial" w:hAnsi="Arial" w:cs="Arial"/>
        </w:rPr>
        <w:t>claims can be made</w:t>
      </w:r>
      <w:r w:rsidRPr="00722436">
        <w:rPr>
          <w:rFonts w:ascii="Arial" w:hAnsi="Arial" w:cs="Arial"/>
        </w:rPr>
        <w:t xml:space="preserve"> for £5,000 instead of the previous £1,000 limit. c)</w:t>
      </w:r>
      <w:r w:rsidR="00D82711" w:rsidRPr="00722436">
        <w:rPr>
          <w:rFonts w:ascii="Arial" w:hAnsi="Arial" w:cs="Arial"/>
        </w:rPr>
        <w:t xml:space="preserve"> t</w:t>
      </w:r>
      <w:r w:rsidRPr="00722436">
        <w:rPr>
          <w:rFonts w:ascii="Arial" w:hAnsi="Arial" w:cs="Arial"/>
        </w:rPr>
        <w:t>he Official Injury Claim Service is a new online portal. Furthermore, the Official Injury Claim Service will not handle claims for children.</w:t>
      </w:r>
      <w:r w:rsidR="001F070C" w:rsidRPr="00722436">
        <w:rPr>
          <w:rFonts w:ascii="Arial" w:hAnsi="Arial" w:cs="Arial"/>
        </w:rPr>
        <w:t xml:space="preserve"> </w:t>
      </w:r>
      <w:r w:rsidRPr="00722436">
        <w:rPr>
          <w:rFonts w:ascii="Arial" w:hAnsi="Arial" w:cs="Arial"/>
        </w:rPr>
        <w:t>No matter how much the claim is worth, it will be fast tracked. In addition, the 2018 Civil Liability Act contributed to reforms. There are two regulations underlying these reforms: the Whiplash Injury Regulations 2021 and the Civil Procedure Amendment No. 2 Rules 2021.</w:t>
      </w:r>
      <w:r w:rsidR="00960D74" w:rsidRPr="00722436">
        <w:rPr>
          <w:rFonts w:ascii="Arial" w:hAnsi="Arial" w:cs="Arial"/>
        </w:rPr>
        <w:t xml:space="preserve"> </w:t>
      </w:r>
      <w:r w:rsidR="00822408" w:rsidRPr="00722436">
        <w:rPr>
          <w:rFonts w:ascii="Arial" w:hAnsi="Arial" w:cs="Arial"/>
        </w:rPr>
        <w:t>Many</w:t>
      </w:r>
      <w:r w:rsidR="00960D74" w:rsidRPr="00722436">
        <w:rPr>
          <w:rFonts w:ascii="Arial" w:hAnsi="Arial" w:cs="Arial"/>
        </w:rPr>
        <w:t xml:space="preserve"> cases will be processed as small claims due to an increase in the small claims limit and </w:t>
      </w:r>
      <w:r w:rsidR="00960D74" w:rsidRPr="00722436">
        <w:rPr>
          <w:rStyle w:val="issue-underline"/>
          <w:rFonts w:ascii="Arial" w:hAnsi="Arial" w:cs="Arial"/>
        </w:rPr>
        <w:t>new</w:t>
      </w:r>
      <w:r w:rsidR="00960D74" w:rsidRPr="00722436">
        <w:rPr>
          <w:rFonts w:ascii="Arial" w:hAnsi="Arial" w:cs="Arial"/>
        </w:rPr>
        <w:t xml:space="preserve"> tariffs. Thus, claimants have </w:t>
      </w:r>
      <w:r w:rsidR="00960D74" w:rsidRPr="00722436">
        <w:rPr>
          <w:rStyle w:val="issue-underline"/>
          <w:rFonts w:ascii="Arial" w:hAnsi="Arial" w:cs="Arial"/>
        </w:rPr>
        <w:t>little</w:t>
      </w:r>
      <w:r w:rsidR="00960D74" w:rsidRPr="00722436">
        <w:rPr>
          <w:rFonts w:ascii="Arial" w:hAnsi="Arial" w:cs="Arial"/>
        </w:rPr>
        <w:t xml:space="preserve"> chance of </w:t>
      </w:r>
      <w:r w:rsidR="00960D74" w:rsidRPr="00722436">
        <w:rPr>
          <w:rStyle w:val="issue-underline"/>
          <w:rFonts w:ascii="Arial" w:hAnsi="Arial" w:cs="Arial"/>
        </w:rPr>
        <w:t>recovering legal</w:t>
      </w:r>
      <w:r w:rsidR="00960D74" w:rsidRPr="00722436">
        <w:rPr>
          <w:rFonts w:ascii="Arial" w:hAnsi="Arial" w:cs="Arial"/>
        </w:rPr>
        <w:t xml:space="preserve"> costs. The Official Injury Claim portal may be the only option for many and in some </w:t>
      </w:r>
      <w:r w:rsidR="00822408" w:rsidRPr="00722436">
        <w:rPr>
          <w:rFonts w:ascii="Arial" w:hAnsi="Arial" w:cs="Arial"/>
        </w:rPr>
        <w:t>cases,</w:t>
      </w:r>
      <w:r w:rsidR="00960D74" w:rsidRPr="00722436">
        <w:rPr>
          <w:rFonts w:ascii="Arial" w:hAnsi="Arial" w:cs="Arial"/>
        </w:rPr>
        <w:t xml:space="preserve"> they need to represent themselves</w:t>
      </w:r>
      <w:r w:rsidR="00EB00D9" w:rsidRPr="00722436">
        <w:rPr>
          <w:rFonts w:ascii="Arial" w:hAnsi="Arial" w:cs="Arial"/>
        </w:rPr>
        <w:t xml:space="preserve"> </w:t>
      </w:r>
      <w:r w:rsidR="00E62598" w:rsidRPr="00722436">
        <w:rPr>
          <w:rFonts w:ascii="Arial" w:hAnsi="Arial" w:cs="Arial"/>
        </w:rPr>
        <w:t>(</w:t>
      </w:r>
      <w:proofErr w:type="spellStart"/>
      <w:r w:rsidR="00E62598" w:rsidRPr="00722436">
        <w:rPr>
          <w:rFonts w:ascii="Arial" w:hAnsi="Arial" w:cs="Arial"/>
        </w:rPr>
        <w:t>Lawsociety</w:t>
      </w:r>
      <w:proofErr w:type="spellEnd"/>
      <w:r w:rsidR="00E62598" w:rsidRPr="00722436">
        <w:rPr>
          <w:rFonts w:ascii="Arial" w:hAnsi="Arial" w:cs="Arial"/>
        </w:rPr>
        <w:t>, 2022</w:t>
      </w:r>
      <w:r w:rsidR="00A21958" w:rsidRPr="00722436">
        <w:rPr>
          <w:rFonts w:ascii="Arial" w:hAnsi="Arial" w:cs="Arial"/>
        </w:rPr>
        <w:t>a</w:t>
      </w:r>
      <w:r w:rsidR="00E62598" w:rsidRPr="00722436">
        <w:rPr>
          <w:rFonts w:ascii="Arial" w:hAnsi="Arial" w:cs="Arial"/>
        </w:rPr>
        <w:t>)</w:t>
      </w:r>
      <w:r w:rsidR="00960D74" w:rsidRPr="00722436">
        <w:rPr>
          <w:rFonts w:ascii="Arial" w:hAnsi="Arial" w:cs="Arial"/>
        </w:rPr>
        <w:t xml:space="preserve">. </w:t>
      </w:r>
    </w:p>
    <w:p w14:paraId="670593A5" w14:textId="11BD7428" w:rsidR="007042CD" w:rsidRPr="00722436" w:rsidRDefault="007042CD" w:rsidP="007042CD">
      <w:pPr>
        <w:spacing w:after="0" w:line="240" w:lineRule="auto"/>
        <w:jc w:val="both"/>
        <w:rPr>
          <w:rFonts w:ascii="Arial" w:hAnsi="Arial" w:cs="Arial"/>
          <w:sz w:val="24"/>
          <w:szCs w:val="24"/>
        </w:rPr>
      </w:pPr>
      <w:r w:rsidRPr="00722436">
        <w:rPr>
          <w:rFonts w:ascii="Arial" w:hAnsi="Arial" w:cs="Arial"/>
          <w:sz w:val="24"/>
          <w:szCs w:val="24"/>
        </w:rPr>
        <w:t>Whiplash Injury Regulations 2021 establish prices for whiplash injuries lasting up to 24 months. In addition, the regulations provide that an extra amount of compensation will be applied to the whiplash tariff if the claimant has experienced a slight psychological harm (</w:t>
      </w:r>
      <w:r w:rsidR="00785BEA" w:rsidRPr="00722436">
        <w:rPr>
          <w:rFonts w:ascii="Arial" w:hAnsi="Arial" w:cs="Arial"/>
          <w:sz w:val="24"/>
          <w:szCs w:val="24"/>
        </w:rPr>
        <w:t>Legislation</w:t>
      </w:r>
      <w:r w:rsidR="00292FAA" w:rsidRPr="00722436">
        <w:rPr>
          <w:rFonts w:ascii="Arial" w:hAnsi="Arial" w:cs="Arial"/>
          <w:sz w:val="24"/>
          <w:szCs w:val="24"/>
        </w:rPr>
        <w:t xml:space="preserve">.gov.uk, </w:t>
      </w:r>
      <w:r w:rsidR="00145B1F" w:rsidRPr="00722436">
        <w:rPr>
          <w:rFonts w:ascii="Arial" w:hAnsi="Arial" w:cs="Arial"/>
          <w:sz w:val="24"/>
          <w:szCs w:val="24"/>
        </w:rPr>
        <w:t>2021</w:t>
      </w:r>
      <w:r w:rsidRPr="00722436">
        <w:rPr>
          <w:rFonts w:ascii="Arial" w:hAnsi="Arial" w:cs="Arial"/>
          <w:sz w:val="24"/>
          <w:szCs w:val="24"/>
        </w:rPr>
        <w:t xml:space="preserve">). Additionally, the compensation for the psychological impairment will depend on the length of the harm. The </w:t>
      </w:r>
      <w:r w:rsidR="006E455E" w:rsidRPr="00722436">
        <w:rPr>
          <w:rFonts w:ascii="Arial" w:hAnsi="Arial" w:cs="Arial"/>
          <w:sz w:val="24"/>
          <w:szCs w:val="24"/>
        </w:rPr>
        <w:t>r</w:t>
      </w:r>
      <w:r w:rsidRPr="00722436">
        <w:rPr>
          <w:rFonts w:ascii="Arial" w:hAnsi="Arial" w:cs="Arial"/>
          <w:sz w:val="24"/>
          <w:szCs w:val="24"/>
        </w:rPr>
        <w:t>egulations reaffirm that the Court can, in some situations, raise the tariff amount if the severity of the whiplash injury or the person's unusual circumstances warrant it and the degree of PSLA warrants the use of the higher amount. The increase may be applied to claims involving simply whiplash, only mild psychological injury, or only the whiplash component of a claim including several injuries. According to the rules, the uplift cannot be more than 20% more than the tariff</w:t>
      </w:r>
      <w:r w:rsidR="006019FA" w:rsidRPr="00722436">
        <w:rPr>
          <w:rFonts w:ascii="Arial" w:hAnsi="Arial" w:cs="Arial"/>
          <w:sz w:val="24"/>
          <w:szCs w:val="24"/>
        </w:rPr>
        <w:t xml:space="preserve"> (Gold, 2021, p.15)</w:t>
      </w:r>
      <w:r w:rsidRPr="00722436">
        <w:rPr>
          <w:rFonts w:ascii="Arial" w:hAnsi="Arial" w:cs="Arial"/>
          <w:sz w:val="24"/>
          <w:szCs w:val="24"/>
        </w:rPr>
        <w:t>.</w:t>
      </w:r>
    </w:p>
    <w:p w14:paraId="5067A6A7" w14:textId="20016A75" w:rsidR="00A8528C" w:rsidRPr="00722436" w:rsidRDefault="00FD1035" w:rsidP="00A8528C">
      <w:pPr>
        <w:pStyle w:val="mb-25"/>
        <w:jc w:val="both"/>
        <w:rPr>
          <w:rFonts w:ascii="Arial" w:hAnsi="Arial" w:cs="Arial"/>
        </w:rPr>
      </w:pPr>
      <w:r w:rsidRPr="00722436">
        <w:rPr>
          <w:rFonts w:ascii="Arial" w:hAnsi="Arial" w:cs="Arial"/>
        </w:rPr>
        <w:t>Each case must adhere to a set of procedures before any legal action may be taken. The purpose of the protocols is to increase the likelihood that disputes may be resolved amicably and, failing that, to facilitate a deeper knowledge of the issues at play on both sides</w:t>
      </w:r>
      <w:r w:rsidR="00737700" w:rsidRPr="00722436">
        <w:rPr>
          <w:rFonts w:ascii="Arial" w:hAnsi="Arial" w:cs="Arial"/>
        </w:rPr>
        <w:t xml:space="preserve">. </w:t>
      </w:r>
      <w:r w:rsidRPr="00722436">
        <w:rPr>
          <w:rFonts w:ascii="Arial" w:hAnsi="Arial" w:cs="Arial"/>
        </w:rPr>
        <w:t>Despite the merits of adhering to the guidelines, failing to do so may result in condemnation from the court and maybe even financial consequences.</w:t>
      </w:r>
      <w:r w:rsidR="00204E8A" w:rsidRPr="00722436">
        <w:rPr>
          <w:rFonts w:ascii="Arial" w:hAnsi="Arial" w:cs="Arial"/>
        </w:rPr>
        <w:t xml:space="preserve"> </w:t>
      </w:r>
      <w:r w:rsidRPr="00722436">
        <w:rPr>
          <w:rFonts w:ascii="Arial" w:hAnsi="Arial" w:cs="Arial"/>
        </w:rPr>
        <w:t>Since there is no separate protocol for minor claims, the case will either be handled in accordance with the general practice direction or one of the topic specific protocols, such as those for debt claims or construction disputes.</w:t>
      </w:r>
      <w:r w:rsidR="00A8528C" w:rsidRPr="00722436">
        <w:rPr>
          <w:rFonts w:ascii="Arial" w:hAnsi="Arial" w:cs="Arial"/>
        </w:rPr>
        <w:t xml:space="preserve"> Furthermore, Statutory limitation periods are not altered by pre-action protocols. In this case even if someone does not comply with </w:t>
      </w:r>
      <w:r w:rsidR="00A8528C" w:rsidRPr="00722436">
        <w:rPr>
          <w:rFonts w:ascii="Arial" w:hAnsi="Arial" w:cs="Arial"/>
        </w:rPr>
        <w:lastRenderedPageBreak/>
        <w:t>a relevant protocol, he should still file a claim before the limitation period expires (</w:t>
      </w:r>
      <w:r w:rsidR="00EA2F9F" w:rsidRPr="00722436">
        <w:rPr>
          <w:rFonts w:ascii="Arial" w:hAnsi="Arial" w:cs="Arial"/>
        </w:rPr>
        <w:t xml:space="preserve">Loughlin </w:t>
      </w:r>
      <w:r w:rsidR="00494696" w:rsidRPr="00722436">
        <w:rPr>
          <w:rFonts w:ascii="Arial" w:hAnsi="Arial" w:cs="Arial"/>
        </w:rPr>
        <w:t xml:space="preserve">and Gerlis, </w:t>
      </w:r>
      <w:r w:rsidR="00A84EB3" w:rsidRPr="00722436">
        <w:rPr>
          <w:rFonts w:ascii="Arial" w:hAnsi="Arial" w:cs="Arial"/>
        </w:rPr>
        <w:t xml:space="preserve">2004a, p.77-80). </w:t>
      </w:r>
    </w:p>
    <w:p w14:paraId="3B4670F5" w14:textId="2894C38C" w:rsidR="00BB4548" w:rsidRPr="00722436" w:rsidRDefault="009D6D4C" w:rsidP="00370FE7">
      <w:pPr>
        <w:pStyle w:val="mb-25"/>
        <w:jc w:val="both"/>
        <w:rPr>
          <w:rFonts w:ascii="Arial" w:hAnsi="Arial" w:cs="Arial"/>
        </w:rPr>
      </w:pPr>
      <w:r w:rsidRPr="00722436">
        <w:rPr>
          <w:rStyle w:val="issue-underline"/>
          <w:rFonts w:ascii="Arial" w:hAnsi="Arial" w:cs="Arial"/>
        </w:rPr>
        <w:t>Pre</w:t>
      </w:r>
      <w:r w:rsidR="001914ED" w:rsidRPr="00722436">
        <w:rPr>
          <w:rStyle w:val="issue-underline"/>
          <w:rFonts w:ascii="Arial" w:hAnsi="Arial" w:cs="Arial"/>
        </w:rPr>
        <w:t>-</w:t>
      </w:r>
      <w:r w:rsidRPr="00722436">
        <w:rPr>
          <w:rStyle w:val="issue-underline"/>
          <w:rFonts w:ascii="Arial" w:hAnsi="Arial" w:cs="Arial"/>
        </w:rPr>
        <w:t>Action</w:t>
      </w:r>
      <w:r w:rsidR="001914ED" w:rsidRPr="00722436">
        <w:rPr>
          <w:rFonts w:ascii="Arial" w:hAnsi="Arial" w:cs="Arial"/>
        </w:rPr>
        <w:t xml:space="preserve"> </w:t>
      </w:r>
      <w:r w:rsidRPr="00722436">
        <w:rPr>
          <w:rFonts w:ascii="Arial" w:hAnsi="Arial" w:cs="Arial"/>
        </w:rPr>
        <w:t>Protocol for Personal Injury Claims was the first pre-action protocol to be drafted.</w:t>
      </w:r>
      <w:r w:rsidR="00404777" w:rsidRPr="00722436">
        <w:rPr>
          <w:rFonts w:ascii="Arial" w:hAnsi="Arial" w:cs="Arial"/>
        </w:rPr>
        <w:t xml:space="preserve"> The Protocol is intended primarily for road traffic, tripping, slipping, and workplace accident cases with a value of less than £15,000 that may be classified as fast track cases.</w:t>
      </w:r>
      <w:r w:rsidR="00BB4548" w:rsidRPr="00722436">
        <w:rPr>
          <w:rFonts w:ascii="Arial" w:hAnsi="Arial" w:cs="Arial"/>
        </w:rPr>
        <w:t xml:space="preserve"> This is based on the assertion that, owing to the short deadline of 30 weeks between the commencement of proceedings and the trial on fast track, for the case to be ready for trial, the parties must exchange relevant information and narrow the issues between them before proceedings are initiated</w:t>
      </w:r>
      <w:r w:rsidR="00370FE7" w:rsidRPr="00722436">
        <w:rPr>
          <w:rFonts w:ascii="Arial" w:hAnsi="Arial" w:cs="Arial"/>
        </w:rPr>
        <w:t xml:space="preserve"> (Loughlin and Gerlis, 2004a, p.82-86).</w:t>
      </w:r>
      <w:r w:rsidR="005A19FC" w:rsidRPr="00722436">
        <w:rPr>
          <w:rFonts w:ascii="Arial" w:hAnsi="Arial" w:cs="Arial"/>
        </w:rPr>
        <w:t xml:space="preserve"> </w:t>
      </w:r>
      <w:r w:rsidR="006E3BB5" w:rsidRPr="00722436">
        <w:rPr>
          <w:rFonts w:ascii="Arial" w:hAnsi="Arial" w:cs="Arial"/>
        </w:rPr>
        <w:t xml:space="preserve">Furthermore, </w:t>
      </w:r>
      <w:r w:rsidR="00857DC9" w:rsidRPr="00722436">
        <w:rPr>
          <w:rFonts w:ascii="Arial" w:hAnsi="Arial" w:cs="Arial"/>
        </w:rPr>
        <w:t>if there is no legal representative, a party to the claim should still comply with this Protocol to the best of their abilities. The legal representative of a claimant will also be referred to as a claimant in this Protocol</w:t>
      </w:r>
      <w:r w:rsidR="008B1091" w:rsidRPr="00722436">
        <w:rPr>
          <w:rFonts w:ascii="Arial" w:hAnsi="Arial" w:cs="Arial"/>
        </w:rPr>
        <w:t xml:space="preserve"> </w:t>
      </w:r>
      <w:r w:rsidR="001C0EBE" w:rsidRPr="00722436">
        <w:rPr>
          <w:rFonts w:ascii="Arial" w:hAnsi="Arial" w:cs="Arial"/>
        </w:rPr>
        <w:t>(</w:t>
      </w:r>
      <w:r w:rsidR="008B1091" w:rsidRPr="00722436">
        <w:rPr>
          <w:rFonts w:ascii="Arial" w:hAnsi="Arial" w:cs="Arial"/>
        </w:rPr>
        <w:t>Justice</w:t>
      </w:r>
      <w:r w:rsidR="001C0EBE" w:rsidRPr="00722436">
        <w:rPr>
          <w:rFonts w:ascii="Arial" w:hAnsi="Arial" w:cs="Arial"/>
        </w:rPr>
        <w:t>, 2021).</w:t>
      </w:r>
    </w:p>
    <w:p w14:paraId="18D1AC9A" w14:textId="7DBACDC4" w:rsidR="00556564" w:rsidRPr="00722436" w:rsidRDefault="0098741C" w:rsidP="00556564">
      <w:pPr>
        <w:pStyle w:val="mb-25"/>
        <w:jc w:val="both"/>
        <w:rPr>
          <w:rFonts w:ascii="Arial" w:hAnsi="Arial" w:cs="Arial"/>
        </w:rPr>
      </w:pPr>
      <w:r w:rsidRPr="00722436">
        <w:rPr>
          <w:rFonts w:ascii="Arial" w:hAnsi="Arial" w:cs="Arial"/>
        </w:rPr>
        <w:t xml:space="preserve">The CPR Pre-Action Protocol for Personal Injury Claims was applied in Carlson v Townsend [2001] EWCA </w:t>
      </w:r>
      <w:proofErr w:type="spellStart"/>
      <w:r w:rsidRPr="00722436">
        <w:rPr>
          <w:rFonts w:ascii="Arial" w:hAnsi="Arial" w:cs="Arial"/>
        </w:rPr>
        <w:t>Civ</w:t>
      </w:r>
      <w:proofErr w:type="spellEnd"/>
      <w:r w:rsidRPr="00722436">
        <w:rPr>
          <w:rFonts w:ascii="Arial" w:hAnsi="Arial" w:cs="Arial"/>
        </w:rPr>
        <w:t xml:space="preserve"> 511</w:t>
      </w:r>
      <w:r w:rsidR="00D05C4B" w:rsidRPr="00722436">
        <w:rPr>
          <w:rFonts w:ascii="Arial" w:hAnsi="Arial" w:cs="Arial"/>
        </w:rPr>
        <w:t xml:space="preserve"> because f</w:t>
      </w:r>
      <w:r w:rsidRPr="00722436">
        <w:rPr>
          <w:rFonts w:ascii="Arial" w:hAnsi="Arial" w:cs="Arial"/>
        </w:rPr>
        <w:t xml:space="preserve">ollowing the change of experts, the other party requested a copy of the first report. According to the court, the protocol was not intended to </w:t>
      </w:r>
      <w:r w:rsidRPr="00722436">
        <w:rPr>
          <w:rStyle w:val="issue-underline"/>
          <w:rFonts w:ascii="Arial" w:hAnsi="Arial" w:cs="Arial"/>
        </w:rPr>
        <w:t>'deprive</w:t>
      </w:r>
      <w:r w:rsidRPr="00722436">
        <w:rPr>
          <w:rFonts w:ascii="Arial" w:hAnsi="Arial" w:cs="Arial"/>
        </w:rPr>
        <w:t xml:space="preserve"> a claimant of the opportunity to obtain confidential pre-action advice about the viability of his claim, which he can discard undisclosed if he does not accept it. Therefore, the court was unable to violate the claimant's right to the first expert's report.</w:t>
      </w:r>
      <w:r w:rsidR="00556564" w:rsidRPr="00722436">
        <w:rPr>
          <w:rFonts w:ascii="Arial" w:hAnsi="Arial" w:cs="Arial"/>
        </w:rPr>
        <w:t xml:space="preserve"> Another case involving a pre-action protocol claim</w:t>
      </w:r>
      <w:r w:rsidR="005D7844" w:rsidRPr="00722436">
        <w:rPr>
          <w:rFonts w:ascii="Arial" w:hAnsi="Arial" w:cs="Arial"/>
        </w:rPr>
        <w:t xml:space="preserve"> is</w:t>
      </w:r>
      <w:r w:rsidR="00556564" w:rsidRPr="00722436">
        <w:rPr>
          <w:rFonts w:ascii="Arial" w:hAnsi="Arial" w:cs="Arial"/>
        </w:rPr>
        <w:t xml:space="preserve"> Edwards-Tubb v J D Wetherspoon plc [2011] EWCA </w:t>
      </w:r>
      <w:proofErr w:type="spellStart"/>
      <w:r w:rsidR="00556564" w:rsidRPr="00722436">
        <w:rPr>
          <w:rFonts w:ascii="Arial" w:hAnsi="Arial" w:cs="Arial"/>
        </w:rPr>
        <w:t>Civ</w:t>
      </w:r>
      <w:proofErr w:type="spellEnd"/>
      <w:r w:rsidR="00556564" w:rsidRPr="00722436">
        <w:rPr>
          <w:rFonts w:ascii="Arial" w:hAnsi="Arial" w:cs="Arial"/>
        </w:rPr>
        <w:t xml:space="preserve"> 136</w:t>
      </w:r>
      <w:r w:rsidR="00C45871" w:rsidRPr="00722436">
        <w:rPr>
          <w:rFonts w:ascii="Arial" w:hAnsi="Arial" w:cs="Arial"/>
        </w:rPr>
        <w:t xml:space="preserve"> </w:t>
      </w:r>
      <w:r w:rsidR="00556564" w:rsidRPr="00722436">
        <w:rPr>
          <w:rFonts w:ascii="Arial" w:hAnsi="Arial" w:cs="Arial"/>
        </w:rPr>
        <w:t>Upon filing proceedings, however, a report from a different expert was attached, which revealed that the claimant had previously seen another expert, an orthopaedic surgeon. Reports from the earlier expert were sought by the defendant.</w:t>
      </w:r>
    </w:p>
    <w:p w14:paraId="16FB59B6" w14:textId="65B7AA27" w:rsidR="00FB6E97" w:rsidRPr="00722436" w:rsidRDefault="00F32871" w:rsidP="00FB6E97">
      <w:pPr>
        <w:pStyle w:val="mb-25"/>
        <w:jc w:val="both"/>
        <w:rPr>
          <w:rFonts w:ascii="Arial" w:hAnsi="Arial" w:cs="Arial"/>
        </w:rPr>
      </w:pPr>
      <w:r w:rsidRPr="00722436">
        <w:rPr>
          <w:rFonts w:ascii="Arial" w:hAnsi="Arial" w:cs="Arial"/>
        </w:rPr>
        <w:t xml:space="preserve">These changes came into force on 06 April 2021. By making the amendment, it is clarified that a case must be handled in a fair and equitable </w:t>
      </w:r>
      <w:r w:rsidRPr="00722436">
        <w:rPr>
          <w:rStyle w:val="issue-underline"/>
          <w:rFonts w:ascii="Arial" w:hAnsi="Arial" w:cs="Arial"/>
        </w:rPr>
        <w:t>manner, ensuring</w:t>
      </w:r>
      <w:r w:rsidRPr="00722436">
        <w:rPr>
          <w:rFonts w:ascii="Arial" w:hAnsi="Arial" w:cs="Arial"/>
        </w:rPr>
        <w:t xml:space="preserve"> that all parties and witnesses are equally able to participate fully and provide their </w:t>
      </w:r>
      <w:r w:rsidRPr="00722436">
        <w:rPr>
          <w:rStyle w:val="issue-underline"/>
          <w:rFonts w:ascii="Arial" w:hAnsi="Arial" w:cs="Arial"/>
        </w:rPr>
        <w:t>best</w:t>
      </w:r>
      <w:r w:rsidRPr="00722436">
        <w:rPr>
          <w:rFonts w:ascii="Arial" w:hAnsi="Arial" w:cs="Arial"/>
        </w:rPr>
        <w:t xml:space="preserve"> testimony. Furthermore, it addresses the additional expenses or costs incurred because of a party's or witness' vulnerability (instead of Fixed Recoverable Costs).</w:t>
      </w:r>
      <w:r w:rsidR="008165F7" w:rsidRPr="00722436">
        <w:rPr>
          <w:rFonts w:ascii="Arial" w:hAnsi="Arial" w:cs="Arial"/>
        </w:rPr>
        <w:t xml:space="preserve"> According to this amendment, when a claim form is served outside the UK following Brexit, no permission is required to serve it in cross-border civil and commercial proceedings where the applicant wishes to rely on the 'Choice of Court Agreements' which deal with reciprocal arrangements for venue and enforcement of a claim</w:t>
      </w:r>
      <w:r w:rsidR="0033174D" w:rsidRPr="00722436">
        <w:rPr>
          <w:rFonts w:ascii="Arial" w:hAnsi="Arial" w:cs="Arial"/>
        </w:rPr>
        <w:t xml:space="preserve"> (G</w:t>
      </w:r>
      <w:r w:rsidR="00130D17" w:rsidRPr="00722436">
        <w:rPr>
          <w:rFonts w:ascii="Arial" w:hAnsi="Arial" w:cs="Arial"/>
        </w:rPr>
        <w:t>OV</w:t>
      </w:r>
      <w:r w:rsidR="0033174D" w:rsidRPr="00722436">
        <w:rPr>
          <w:rFonts w:ascii="Arial" w:hAnsi="Arial" w:cs="Arial"/>
        </w:rPr>
        <w:t>.</w:t>
      </w:r>
      <w:r w:rsidR="00130D17" w:rsidRPr="00722436">
        <w:rPr>
          <w:rFonts w:ascii="Arial" w:hAnsi="Arial" w:cs="Arial"/>
        </w:rPr>
        <w:t>UK</w:t>
      </w:r>
      <w:r w:rsidR="0033174D" w:rsidRPr="00722436">
        <w:rPr>
          <w:rFonts w:ascii="Arial" w:hAnsi="Arial" w:cs="Arial"/>
        </w:rPr>
        <w:t>, 2021)</w:t>
      </w:r>
      <w:r w:rsidR="008165F7" w:rsidRPr="00722436">
        <w:rPr>
          <w:rFonts w:ascii="Arial" w:hAnsi="Arial" w:cs="Arial"/>
        </w:rPr>
        <w:t>.</w:t>
      </w:r>
      <w:r w:rsidR="00FB6E97" w:rsidRPr="00722436">
        <w:rPr>
          <w:rFonts w:ascii="Arial" w:hAnsi="Arial" w:cs="Arial"/>
        </w:rPr>
        <w:t xml:space="preserve"> </w:t>
      </w:r>
    </w:p>
    <w:p w14:paraId="274C0088" w14:textId="0C49792C" w:rsidR="00B25C85" w:rsidRPr="00722436" w:rsidRDefault="00E02218" w:rsidP="00321F98">
      <w:pPr>
        <w:pStyle w:val="mb-25"/>
        <w:jc w:val="both"/>
        <w:rPr>
          <w:rFonts w:ascii="Arial" w:hAnsi="Arial" w:cs="Arial"/>
        </w:rPr>
      </w:pPr>
      <w:r w:rsidRPr="00722436">
        <w:rPr>
          <w:rFonts w:ascii="Arial" w:hAnsi="Arial" w:cs="Arial"/>
        </w:rPr>
        <w:t>Moreover, a</w:t>
      </w:r>
      <w:r w:rsidR="00321F98" w:rsidRPr="00722436">
        <w:rPr>
          <w:rFonts w:ascii="Arial" w:hAnsi="Arial" w:cs="Arial"/>
        </w:rPr>
        <w:t xml:space="preserve"> county court sends a claim for a specific amount of money only if a hearing is required under part 26 of the CPR Case Management - preliminary stage </w:t>
      </w:r>
      <w:r w:rsidRPr="00722436">
        <w:rPr>
          <w:rFonts w:ascii="Arial" w:hAnsi="Arial" w:cs="Arial"/>
        </w:rPr>
        <w:t>amendments</w:t>
      </w:r>
      <w:r w:rsidR="00321F98" w:rsidRPr="00722436">
        <w:rPr>
          <w:rFonts w:ascii="Arial" w:hAnsi="Arial" w:cs="Arial"/>
        </w:rPr>
        <w:t xml:space="preserve">. </w:t>
      </w:r>
      <w:r w:rsidR="00B25C85" w:rsidRPr="00722436">
        <w:rPr>
          <w:rFonts w:ascii="Arial" w:hAnsi="Arial" w:cs="Arial"/>
        </w:rPr>
        <w:t>All other claims will be sent to the claimant's preferred hearing cent</w:t>
      </w:r>
      <w:r w:rsidR="000B3B34" w:rsidRPr="00722436">
        <w:rPr>
          <w:rFonts w:ascii="Arial" w:hAnsi="Arial" w:cs="Arial"/>
        </w:rPr>
        <w:t>re</w:t>
      </w:r>
      <w:r w:rsidR="00B25C85" w:rsidRPr="00722436">
        <w:rPr>
          <w:rFonts w:ascii="Arial" w:hAnsi="Arial" w:cs="Arial"/>
        </w:rPr>
        <w:t xml:space="preserve"> specified on their claim form or directions questionnaire. Moreover, the same rule is amended to clarify where claims must be sent when a claimant indicates an alternative hearing cent</w:t>
      </w:r>
      <w:r w:rsidR="000B3B34" w:rsidRPr="00722436">
        <w:rPr>
          <w:rFonts w:ascii="Arial" w:hAnsi="Arial" w:cs="Arial"/>
        </w:rPr>
        <w:t>re</w:t>
      </w:r>
      <w:r w:rsidR="00B25C85" w:rsidRPr="00722436">
        <w:rPr>
          <w:rFonts w:ascii="Arial" w:hAnsi="Arial" w:cs="Arial"/>
        </w:rPr>
        <w:t xml:space="preserve"> on the directions questionnaire to that indicated on the claim form; and where a defendant indicates on the directions questionnaire a hearing cent</w:t>
      </w:r>
      <w:r w:rsidR="00590497" w:rsidRPr="00722436">
        <w:rPr>
          <w:rFonts w:ascii="Arial" w:hAnsi="Arial" w:cs="Arial"/>
        </w:rPr>
        <w:t>re</w:t>
      </w:r>
      <w:r w:rsidR="00B25C85" w:rsidRPr="00722436">
        <w:rPr>
          <w:rFonts w:ascii="Arial" w:hAnsi="Arial" w:cs="Arial"/>
        </w:rPr>
        <w:t xml:space="preserve"> other than the local hearing cent</w:t>
      </w:r>
      <w:r w:rsidR="000B3B34" w:rsidRPr="00722436">
        <w:rPr>
          <w:rFonts w:ascii="Arial" w:hAnsi="Arial" w:cs="Arial"/>
        </w:rPr>
        <w:t>re</w:t>
      </w:r>
      <w:r w:rsidR="00B25C85" w:rsidRPr="00722436">
        <w:rPr>
          <w:rFonts w:ascii="Arial" w:hAnsi="Arial" w:cs="Arial"/>
        </w:rPr>
        <w:t>. Amendments came into effect on 3rd December 2015</w:t>
      </w:r>
      <w:r w:rsidRPr="00722436">
        <w:rPr>
          <w:rFonts w:ascii="Arial" w:hAnsi="Arial" w:cs="Arial"/>
        </w:rPr>
        <w:t xml:space="preserve"> (</w:t>
      </w:r>
      <w:r w:rsidR="005D106C" w:rsidRPr="00722436">
        <w:rPr>
          <w:rFonts w:ascii="Arial" w:hAnsi="Arial" w:cs="Arial"/>
        </w:rPr>
        <w:t>Justice, 2022)</w:t>
      </w:r>
      <w:r w:rsidR="00B25C85" w:rsidRPr="00722436">
        <w:rPr>
          <w:rFonts w:ascii="Arial" w:hAnsi="Arial" w:cs="Arial"/>
        </w:rPr>
        <w:t>.</w:t>
      </w:r>
    </w:p>
    <w:p w14:paraId="56D18ECF" w14:textId="249C296F" w:rsidR="00630F7D" w:rsidRPr="00722436" w:rsidRDefault="002C377F" w:rsidP="00630F7D">
      <w:pPr>
        <w:pStyle w:val="mb-25"/>
        <w:jc w:val="both"/>
        <w:rPr>
          <w:rFonts w:ascii="Arial" w:hAnsi="Arial" w:cs="Arial"/>
        </w:rPr>
      </w:pPr>
      <w:r w:rsidRPr="00722436">
        <w:rPr>
          <w:rFonts w:ascii="Arial" w:hAnsi="Arial" w:cs="Arial"/>
        </w:rPr>
        <w:t>The procedure is provided for small claims in Human Right sectors as well</w:t>
      </w:r>
      <w:r w:rsidR="008F2382" w:rsidRPr="00722436">
        <w:rPr>
          <w:rFonts w:ascii="Arial" w:hAnsi="Arial" w:cs="Arial"/>
        </w:rPr>
        <w:t xml:space="preserve">. </w:t>
      </w:r>
      <w:r w:rsidR="006A5CE3" w:rsidRPr="00722436">
        <w:rPr>
          <w:rFonts w:ascii="Arial" w:hAnsi="Arial" w:cs="Arial"/>
        </w:rPr>
        <w:t>A litigant can argue that his Convention rights have been violated under the Human Rights Act 1998.</w:t>
      </w:r>
      <w:r w:rsidR="00987071" w:rsidRPr="00722436">
        <w:rPr>
          <w:rFonts w:ascii="Arial" w:hAnsi="Arial" w:cs="Arial"/>
        </w:rPr>
        <w:t xml:space="preserve"> In addition, the Act requires courts to interpret common law and exercise </w:t>
      </w:r>
      <w:r w:rsidR="00987071" w:rsidRPr="00722436">
        <w:rPr>
          <w:rFonts w:ascii="Arial" w:hAnsi="Arial" w:cs="Arial"/>
        </w:rPr>
        <w:lastRenderedPageBreak/>
        <w:t>discretion in a way that respects Convention rights s</w:t>
      </w:r>
      <w:r w:rsidR="001521B0" w:rsidRPr="00722436">
        <w:rPr>
          <w:rFonts w:ascii="Arial" w:hAnsi="Arial" w:cs="Arial"/>
        </w:rPr>
        <w:t>.</w:t>
      </w:r>
      <w:r w:rsidR="00987071" w:rsidRPr="00722436">
        <w:rPr>
          <w:rFonts w:ascii="Arial" w:hAnsi="Arial" w:cs="Arial"/>
        </w:rPr>
        <w:t xml:space="preserve"> 6(1) of the HRA 1998</w:t>
      </w:r>
      <w:r w:rsidR="003B5C4D" w:rsidRPr="00722436">
        <w:rPr>
          <w:rFonts w:ascii="Arial" w:hAnsi="Arial" w:cs="Arial"/>
        </w:rPr>
        <w:t xml:space="preserve"> (Crone et al, 2002, p.269-281</w:t>
      </w:r>
      <w:r w:rsidR="001521B0" w:rsidRPr="00722436">
        <w:rPr>
          <w:rFonts w:ascii="Arial" w:hAnsi="Arial" w:cs="Arial"/>
        </w:rPr>
        <w:t>)</w:t>
      </w:r>
      <w:r w:rsidR="00987071" w:rsidRPr="00722436">
        <w:rPr>
          <w:rFonts w:ascii="Arial" w:hAnsi="Arial" w:cs="Arial"/>
        </w:rPr>
        <w:t>.</w:t>
      </w:r>
      <w:r w:rsidR="00630F7D" w:rsidRPr="00722436">
        <w:rPr>
          <w:rFonts w:ascii="Arial" w:hAnsi="Arial" w:cs="Arial"/>
        </w:rPr>
        <w:t xml:space="preserve"> </w:t>
      </w:r>
      <w:r w:rsidR="00630F7D" w:rsidRPr="00722436">
        <w:rPr>
          <w:rFonts w:ascii="Arial" w:eastAsiaTheme="minorHAnsi" w:hAnsi="Arial" w:cs="Arial"/>
          <w:lang w:eastAsia="en-US"/>
        </w:rPr>
        <w:t>It is important to remember that limitation periods limit the time within which a claim may be brought. Laws are enacted by statute, primarily the Limitation Act 1980</w:t>
      </w:r>
      <w:r w:rsidR="00FC0017" w:rsidRPr="00722436">
        <w:rPr>
          <w:rFonts w:ascii="Arial" w:eastAsiaTheme="minorHAnsi" w:hAnsi="Arial" w:cs="Arial"/>
          <w:lang w:eastAsia="en-US"/>
        </w:rPr>
        <w:t xml:space="preserve"> (legislation.gov.uk, </w:t>
      </w:r>
      <w:r w:rsidR="00E90CCC" w:rsidRPr="00722436">
        <w:rPr>
          <w:rFonts w:ascii="Arial" w:eastAsiaTheme="minorHAnsi" w:hAnsi="Arial" w:cs="Arial"/>
          <w:lang w:eastAsia="en-US"/>
        </w:rPr>
        <w:t xml:space="preserve">2022). </w:t>
      </w:r>
    </w:p>
    <w:p w14:paraId="14552F24" w14:textId="679E242E" w:rsidR="007F2B48" w:rsidRPr="00722436" w:rsidRDefault="007F2B48" w:rsidP="007F2B48">
      <w:pPr>
        <w:spacing w:after="0" w:line="240" w:lineRule="auto"/>
        <w:jc w:val="both"/>
        <w:rPr>
          <w:rFonts w:ascii="Arial" w:hAnsi="Arial" w:cs="Arial"/>
          <w:sz w:val="24"/>
          <w:szCs w:val="24"/>
        </w:rPr>
      </w:pPr>
      <w:r w:rsidRPr="00722436">
        <w:rPr>
          <w:rFonts w:ascii="Arial" w:hAnsi="Arial" w:cs="Arial"/>
          <w:sz w:val="24"/>
          <w:szCs w:val="24"/>
        </w:rPr>
        <w:t>In 2013, Part 2 of the LASPO Act 2012 removed the possibility of successful claimants to collect from the opposing side their solicitor's "success fee" under a conditional fee agreement (CFA) and prevented attorneys from paying referral fees to third parties. The Memorandum only specifies the supplementary actions to decrease civil litigation costs that were implemented alongside or shortly after the Part 2 modifications, whereas the Administration's evaluation of Part 1 is more comprehensive</w:t>
      </w:r>
      <w:r w:rsidR="00A21958" w:rsidRPr="00722436">
        <w:rPr>
          <w:rFonts w:ascii="Arial" w:hAnsi="Arial" w:cs="Arial"/>
          <w:sz w:val="24"/>
          <w:szCs w:val="24"/>
        </w:rPr>
        <w:t xml:space="preserve"> (</w:t>
      </w:r>
      <w:proofErr w:type="spellStart"/>
      <w:r w:rsidR="00A21958" w:rsidRPr="00722436">
        <w:rPr>
          <w:rFonts w:ascii="Arial" w:hAnsi="Arial" w:cs="Arial"/>
          <w:sz w:val="24"/>
          <w:szCs w:val="24"/>
        </w:rPr>
        <w:t>Lawsociety</w:t>
      </w:r>
      <w:proofErr w:type="spellEnd"/>
      <w:r w:rsidR="00A21958" w:rsidRPr="00722436">
        <w:rPr>
          <w:rFonts w:ascii="Arial" w:hAnsi="Arial" w:cs="Arial"/>
          <w:sz w:val="24"/>
          <w:szCs w:val="24"/>
        </w:rPr>
        <w:t>, 2022b)</w:t>
      </w:r>
      <w:r w:rsidRPr="00722436">
        <w:rPr>
          <w:rFonts w:ascii="Arial" w:hAnsi="Arial" w:cs="Arial"/>
          <w:sz w:val="24"/>
          <w:szCs w:val="24"/>
        </w:rPr>
        <w:t>.</w:t>
      </w:r>
    </w:p>
    <w:p w14:paraId="7D65A08E" w14:textId="586A586F" w:rsidR="00F32871" w:rsidRPr="00722436" w:rsidRDefault="00F32871" w:rsidP="006E103F">
      <w:pPr>
        <w:pStyle w:val="cpe2"/>
        <w:jc w:val="both"/>
        <w:rPr>
          <w:rFonts w:ascii="Arial" w:hAnsi="Arial" w:cs="Arial"/>
          <w:b w:val="0"/>
          <w:bCs/>
          <w:sz w:val="24"/>
          <w:szCs w:val="24"/>
        </w:rPr>
      </w:pPr>
    </w:p>
    <w:p w14:paraId="6DA25E7B" w14:textId="3C710449" w:rsidR="00AA1B42" w:rsidRPr="00722436" w:rsidRDefault="00AA1B42" w:rsidP="00CF7EF4">
      <w:pPr>
        <w:spacing w:after="0" w:line="240" w:lineRule="auto"/>
        <w:jc w:val="both"/>
        <w:rPr>
          <w:rFonts w:ascii="Arial" w:hAnsi="Arial" w:cs="Arial"/>
          <w:sz w:val="24"/>
          <w:szCs w:val="24"/>
        </w:rPr>
      </w:pPr>
      <w:r w:rsidRPr="00722436">
        <w:rPr>
          <w:rFonts w:ascii="Arial" w:hAnsi="Arial" w:cs="Arial"/>
          <w:sz w:val="24"/>
          <w:szCs w:val="24"/>
        </w:rPr>
        <w:t>The Ministry of Justice has launched the Official Injury Claim site (OIC) to make self-representation in court simpler. Since this is a new system that has had less than a year to "bed-in," it is impossible to determine whether it will succeed or need to be amended, but if one does not want to hire a solicitor to handle the claim, one will have to utilize the OIC site and hope for the best</w:t>
      </w:r>
      <w:r w:rsidR="001026EF" w:rsidRPr="00722436">
        <w:rPr>
          <w:rFonts w:ascii="Arial" w:hAnsi="Arial" w:cs="Arial"/>
          <w:sz w:val="24"/>
          <w:szCs w:val="24"/>
        </w:rPr>
        <w:t xml:space="preserve"> </w:t>
      </w:r>
      <w:r w:rsidR="00DE1FAA" w:rsidRPr="00722436">
        <w:rPr>
          <w:rFonts w:ascii="Arial" w:hAnsi="Arial" w:cs="Arial"/>
          <w:sz w:val="24"/>
          <w:szCs w:val="24"/>
        </w:rPr>
        <w:t xml:space="preserve">(Official Injury Claim, 2021). </w:t>
      </w:r>
    </w:p>
    <w:p w14:paraId="64CC23F1" w14:textId="72F754D3" w:rsidR="00C67981" w:rsidRPr="00722436" w:rsidRDefault="00766CF5" w:rsidP="00C67981">
      <w:pPr>
        <w:pStyle w:val="mb-25"/>
        <w:jc w:val="both"/>
        <w:rPr>
          <w:rStyle w:val="Emphasis"/>
          <w:rFonts w:ascii="Arial" w:hAnsi="Arial" w:cs="Arial"/>
          <w:i w:val="0"/>
          <w:iCs w:val="0"/>
        </w:rPr>
      </w:pPr>
      <w:r w:rsidRPr="00722436">
        <w:rPr>
          <w:rFonts w:ascii="Arial" w:hAnsi="Arial" w:cs="Arial"/>
        </w:rPr>
        <w:t>People without legal representation can be called 'litigants in person' (</w:t>
      </w:r>
      <w:proofErr w:type="spellStart"/>
      <w:r w:rsidRPr="00722436">
        <w:rPr>
          <w:rFonts w:ascii="Arial" w:hAnsi="Arial" w:cs="Arial"/>
        </w:rPr>
        <w:t>LiPs</w:t>
      </w:r>
      <w:proofErr w:type="spellEnd"/>
      <w:r w:rsidRPr="00722436">
        <w:rPr>
          <w:rFonts w:ascii="Arial" w:hAnsi="Arial" w:cs="Arial"/>
        </w:rPr>
        <w:t>) or unrepresented parties.</w:t>
      </w:r>
      <w:r w:rsidR="00EB79CF" w:rsidRPr="00722436">
        <w:rPr>
          <w:rFonts w:ascii="Arial" w:hAnsi="Arial" w:cs="Arial"/>
        </w:rPr>
        <w:t xml:space="preserve"> Many people choose to be a </w:t>
      </w:r>
      <w:proofErr w:type="spellStart"/>
      <w:r w:rsidR="00EB79CF" w:rsidRPr="00722436">
        <w:rPr>
          <w:rFonts w:ascii="Arial" w:hAnsi="Arial" w:cs="Arial"/>
        </w:rPr>
        <w:t>LiP</w:t>
      </w:r>
      <w:proofErr w:type="spellEnd"/>
      <w:r w:rsidR="00EB79CF" w:rsidRPr="00722436">
        <w:rPr>
          <w:rFonts w:ascii="Arial" w:hAnsi="Arial" w:cs="Arial"/>
        </w:rPr>
        <w:t xml:space="preserve"> because they believe it is better to speak directly to a judge, </w:t>
      </w:r>
      <w:proofErr w:type="gramStart"/>
      <w:r w:rsidR="00EB79CF" w:rsidRPr="00722436">
        <w:rPr>
          <w:rFonts w:ascii="Arial" w:hAnsi="Arial" w:cs="Arial"/>
        </w:rPr>
        <w:t>jury</w:t>
      </w:r>
      <w:proofErr w:type="gramEnd"/>
      <w:r w:rsidR="00EB79CF" w:rsidRPr="00722436">
        <w:rPr>
          <w:rFonts w:ascii="Arial" w:hAnsi="Arial" w:cs="Arial"/>
        </w:rPr>
        <w:t xml:space="preserve"> or magistrate, however in most cases this is due to financial difficulties.</w:t>
      </w:r>
      <w:r w:rsidR="00737929" w:rsidRPr="00722436">
        <w:rPr>
          <w:rFonts w:ascii="Arial" w:hAnsi="Arial" w:cs="Arial"/>
        </w:rPr>
        <w:t xml:space="preserve"> Depending on the Judge's discretion, litigants in person may have a 'McKenzie Friend' in court with them. They can take notes and give advice but cannot speak on your behalf, sign </w:t>
      </w:r>
      <w:r w:rsidR="00D74D99" w:rsidRPr="00722436">
        <w:rPr>
          <w:rFonts w:ascii="Arial" w:hAnsi="Arial" w:cs="Arial"/>
        </w:rPr>
        <w:t>documents,</w:t>
      </w:r>
      <w:r w:rsidR="00737929" w:rsidRPr="00722436">
        <w:rPr>
          <w:rFonts w:ascii="Arial" w:hAnsi="Arial" w:cs="Arial"/>
        </w:rPr>
        <w:t xml:space="preserve"> or interfere with proceedings. Increasing McKenzie Friends has been promoted by the government due to the decline in legal aid availability. This has prompted a change in the courts' approach.</w:t>
      </w:r>
      <w:r w:rsidR="00C278FA" w:rsidRPr="00722436">
        <w:rPr>
          <w:rFonts w:ascii="Arial" w:hAnsi="Arial" w:cs="Arial"/>
        </w:rPr>
        <w:t xml:space="preserve"> Moreover, it is important to keep in mind that courts may not always take your lack of legal knowledge into account when you represent yourself</w:t>
      </w:r>
      <w:r w:rsidR="009F5278" w:rsidRPr="00722436">
        <w:rPr>
          <w:rFonts w:ascii="Arial" w:hAnsi="Arial" w:cs="Arial"/>
        </w:rPr>
        <w:t xml:space="preserve"> (</w:t>
      </w:r>
      <w:r w:rsidR="00A62866" w:rsidRPr="00722436">
        <w:rPr>
          <w:rFonts w:ascii="Arial" w:hAnsi="Arial" w:cs="Arial"/>
        </w:rPr>
        <w:t>Judiciary.uk (2022).</w:t>
      </w:r>
      <w:r w:rsidR="00C67981" w:rsidRPr="00722436">
        <w:rPr>
          <w:rFonts w:ascii="Arial" w:hAnsi="Arial" w:cs="Arial"/>
          <w:i/>
          <w:iCs/>
        </w:rPr>
        <w:t xml:space="preserve"> </w:t>
      </w:r>
      <w:r w:rsidR="00C67981" w:rsidRPr="00722436">
        <w:rPr>
          <w:rStyle w:val="Emphasis"/>
          <w:rFonts w:ascii="Arial" w:hAnsi="Arial" w:cs="Arial"/>
          <w:i w:val="0"/>
          <w:iCs w:val="0"/>
        </w:rPr>
        <w:t>In the case Barton v Wright Hassall [2018] of that case, it was held that litigants in person are not entitled to special dispensations.</w:t>
      </w:r>
    </w:p>
    <w:p w14:paraId="5C34DE2E" w14:textId="16A15215" w:rsidR="00B4440E" w:rsidRPr="00722436" w:rsidRDefault="008F7867" w:rsidP="00EF0227">
      <w:pPr>
        <w:pStyle w:val="mb-25"/>
        <w:jc w:val="both"/>
        <w:rPr>
          <w:rFonts w:ascii="Arial" w:hAnsi="Arial" w:cs="Arial"/>
        </w:rPr>
      </w:pPr>
      <w:r w:rsidRPr="00722436">
        <w:rPr>
          <w:rFonts w:ascii="Arial" w:hAnsi="Arial" w:cs="Arial"/>
        </w:rPr>
        <w:t>I</w:t>
      </w:r>
      <w:r w:rsidR="004672A3" w:rsidRPr="00722436">
        <w:rPr>
          <w:rFonts w:ascii="Arial" w:hAnsi="Arial" w:cs="Arial"/>
        </w:rPr>
        <w:t xml:space="preserve">n </w:t>
      </w:r>
      <w:r w:rsidR="0005173A" w:rsidRPr="00722436">
        <w:rPr>
          <w:rFonts w:ascii="Arial" w:hAnsi="Arial" w:cs="Arial"/>
        </w:rPr>
        <w:t>s</w:t>
      </w:r>
      <w:r w:rsidR="004672A3" w:rsidRPr="00722436">
        <w:rPr>
          <w:rFonts w:ascii="Arial" w:hAnsi="Arial" w:cs="Arial"/>
        </w:rPr>
        <w:t xml:space="preserve">mall </w:t>
      </w:r>
      <w:r w:rsidR="0005173A" w:rsidRPr="00722436">
        <w:rPr>
          <w:rFonts w:ascii="Arial" w:hAnsi="Arial" w:cs="Arial"/>
        </w:rPr>
        <w:t>c</w:t>
      </w:r>
      <w:r w:rsidR="004672A3" w:rsidRPr="00722436">
        <w:rPr>
          <w:rFonts w:ascii="Arial" w:hAnsi="Arial" w:cs="Arial"/>
        </w:rPr>
        <w:t xml:space="preserve">laims </w:t>
      </w:r>
      <w:r w:rsidR="0005173A" w:rsidRPr="00722436">
        <w:rPr>
          <w:rFonts w:ascii="Arial" w:hAnsi="Arial" w:cs="Arial"/>
        </w:rPr>
        <w:t>c</w:t>
      </w:r>
      <w:r w:rsidR="004672A3" w:rsidRPr="00722436">
        <w:rPr>
          <w:rFonts w:ascii="Arial" w:hAnsi="Arial" w:cs="Arial"/>
        </w:rPr>
        <w:t xml:space="preserve">ourt, the rules and processes were created to make it easy for </w:t>
      </w:r>
      <w:r w:rsidR="00386023" w:rsidRPr="00722436">
        <w:rPr>
          <w:rFonts w:ascii="Arial" w:hAnsi="Arial" w:cs="Arial"/>
        </w:rPr>
        <w:t>ordinar</w:t>
      </w:r>
      <w:r w:rsidR="00BD49E3" w:rsidRPr="00722436">
        <w:rPr>
          <w:rFonts w:ascii="Arial" w:hAnsi="Arial" w:cs="Arial"/>
        </w:rPr>
        <w:t>y citizens</w:t>
      </w:r>
      <w:r w:rsidR="004672A3" w:rsidRPr="00722436">
        <w:rPr>
          <w:rFonts w:ascii="Arial" w:hAnsi="Arial" w:cs="Arial"/>
        </w:rPr>
        <w:t xml:space="preserve"> to resolve their disputes without lawyers or paralegals. Despite this, many self-represented litigants continue to face significant challenges when attempting to access justice through Small Claims Court.</w:t>
      </w:r>
      <w:r w:rsidR="00316278" w:rsidRPr="00722436">
        <w:rPr>
          <w:rFonts w:ascii="Arial" w:hAnsi="Arial" w:cs="Arial"/>
        </w:rPr>
        <w:t xml:space="preserve"> </w:t>
      </w:r>
      <w:r w:rsidR="00455E87" w:rsidRPr="00722436">
        <w:rPr>
          <w:rFonts w:ascii="Arial" w:hAnsi="Arial" w:cs="Arial"/>
        </w:rPr>
        <w:t>Moreover, e</w:t>
      </w:r>
      <w:r w:rsidR="00316278" w:rsidRPr="00722436">
        <w:rPr>
          <w:rFonts w:ascii="Arial" w:hAnsi="Arial" w:cs="Arial"/>
        </w:rPr>
        <w:t xml:space="preserve">veryone in small claims court represents themselves because they </w:t>
      </w:r>
      <w:r w:rsidR="00924153" w:rsidRPr="00722436">
        <w:rPr>
          <w:rFonts w:ascii="Arial" w:hAnsi="Arial" w:cs="Arial"/>
        </w:rPr>
        <w:t>cannot afford</w:t>
      </w:r>
      <w:r w:rsidR="00316278" w:rsidRPr="00722436">
        <w:rPr>
          <w:rFonts w:ascii="Arial" w:hAnsi="Arial" w:cs="Arial"/>
        </w:rPr>
        <w:t xml:space="preserve"> to have a lawyer.</w:t>
      </w:r>
      <w:r w:rsidR="0088041F" w:rsidRPr="00722436">
        <w:rPr>
          <w:rFonts w:ascii="Arial" w:hAnsi="Arial" w:cs="Arial"/>
        </w:rPr>
        <w:t xml:space="preserve"> </w:t>
      </w:r>
      <w:r w:rsidR="00F128F0" w:rsidRPr="00722436">
        <w:rPr>
          <w:rFonts w:ascii="Arial" w:hAnsi="Arial" w:cs="Arial"/>
        </w:rPr>
        <w:t>However, self-representing yourself has the biggest risk of losing your case if you do not comply with the required procedures to bring your case to trial, or if you fail to meet all the technical requirements to prove your case once you are in court. Furthermore, if you lose your case, the judge is likely to order you to pay the other side's court costs and attorney's fees, which can be significant. There are times when the costs of suing exceed the amount sought. Also, a judgment will be entered against you</w:t>
      </w:r>
      <w:r w:rsidR="0031059A" w:rsidRPr="00722436">
        <w:rPr>
          <w:rStyle w:val="markedcontent"/>
          <w:rFonts w:ascii="Arial" w:hAnsi="Arial" w:cs="Arial"/>
        </w:rPr>
        <w:t xml:space="preserve"> (Courts and</w:t>
      </w:r>
      <w:r w:rsidR="0031059A" w:rsidRPr="00722436">
        <w:rPr>
          <w:rFonts w:ascii="Arial" w:hAnsi="Arial" w:cs="Arial"/>
        </w:rPr>
        <w:t xml:space="preserve"> </w:t>
      </w:r>
      <w:r w:rsidR="0031059A" w:rsidRPr="00722436">
        <w:rPr>
          <w:rStyle w:val="markedcontent"/>
          <w:rFonts w:ascii="Arial" w:hAnsi="Arial" w:cs="Arial"/>
        </w:rPr>
        <w:t>Tribunals Judiciary, 2022)</w:t>
      </w:r>
      <w:r w:rsidR="00F128F0" w:rsidRPr="00722436">
        <w:rPr>
          <w:rFonts w:ascii="Arial" w:hAnsi="Arial" w:cs="Arial"/>
        </w:rPr>
        <w:t>.</w:t>
      </w:r>
    </w:p>
    <w:p w14:paraId="1B20089A" w14:textId="689C7502" w:rsidR="003D5405" w:rsidRPr="007D416F" w:rsidRDefault="00C965B0" w:rsidP="007D416F">
      <w:pPr>
        <w:pStyle w:val="mb-25"/>
        <w:jc w:val="both"/>
        <w:rPr>
          <w:rFonts w:ascii="Arial" w:hAnsi="Arial" w:cs="Arial"/>
        </w:rPr>
      </w:pPr>
      <w:r w:rsidRPr="00722436">
        <w:rPr>
          <w:rFonts w:ascii="Arial" w:hAnsi="Arial" w:cs="Arial"/>
        </w:rPr>
        <w:t xml:space="preserve">To sum up, this essay talks about Personal Injury Small Claims by litigants in person without a legal representative. My finding shows that </w:t>
      </w:r>
      <w:r w:rsidR="00F7718B" w:rsidRPr="00722436">
        <w:rPr>
          <w:rFonts w:ascii="Arial" w:hAnsi="Arial" w:cs="Arial"/>
        </w:rPr>
        <w:t>although</w:t>
      </w:r>
      <w:r w:rsidR="003D5405" w:rsidRPr="00722436">
        <w:rPr>
          <w:rFonts w:ascii="Arial" w:hAnsi="Arial" w:cs="Arial"/>
        </w:rPr>
        <w:t xml:space="preserve"> representing yourself in court may seem like a cost-effective way to save money on legal fees, it can be risky, as you may become defensive, </w:t>
      </w:r>
      <w:proofErr w:type="gramStart"/>
      <w:r w:rsidR="003D5405" w:rsidRPr="00722436">
        <w:rPr>
          <w:rFonts w:ascii="Arial" w:hAnsi="Arial" w:cs="Arial"/>
        </w:rPr>
        <w:t>angry</w:t>
      </w:r>
      <w:proofErr w:type="gramEnd"/>
      <w:r w:rsidR="003D5405" w:rsidRPr="00722436">
        <w:rPr>
          <w:rFonts w:ascii="Arial" w:hAnsi="Arial" w:cs="Arial"/>
        </w:rPr>
        <w:t xml:space="preserve"> and upset when the charges or evidence are presented to the court. </w:t>
      </w:r>
      <w:r w:rsidR="00880498" w:rsidRPr="00722436">
        <w:rPr>
          <w:rFonts w:ascii="Arial" w:hAnsi="Arial" w:cs="Arial"/>
        </w:rPr>
        <w:t>Moreover</w:t>
      </w:r>
      <w:r w:rsidR="00C96804" w:rsidRPr="00722436">
        <w:rPr>
          <w:rFonts w:ascii="Arial" w:hAnsi="Arial" w:cs="Arial"/>
        </w:rPr>
        <w:t>, represent</w:t>
      </w:r>
      <w:r w:rsidR="00E661D4" w:rsidRPr="00722436">
        <w:rPr>
          <w:rFonts w:ascii="Arial" w:hAnsi="Arial" w:cs="Arial"/>
        </w:rPr>
        <w:t>ing</w:t>
      </w:r>
      <w:r w:rsidR="00C96804" w:rsidRPr="00722436">
        <w:rPr>
          <w:rFonts w:ascii="Arial" w:hAnsi="Arial" w:cs="Arial"/>
        </w:rPr>
        <w:t xml:space="preserve"> oneself in the court may </w:t>
      </w:r>
      <w:r w:rsidR="00E2402A" w:rsidRPr="00722436">
        <w:rPr>
          <w:rFonts w:ascii="Arial" w:hAnsi="Arial" w:cs="Arial"/>
        </w:rPr>
        <w:t xml:space="preserve">be expensive </w:t>
      </w:r>
      <w:r w:rsidR="00E2402A" w:rsidRPr="00722436">
        <w:rPr>
          <w:rFonts w:ascii="Arial" w:hAnsi="Arial" w:cs="Arial"/>
        </w:rPr>
        <w:lastRenderedPageBreak/>
        <w:t xml:space="preserve">instead of being cost effective as the judge may order one to pay the other </w:t>
      </w:r>
      <w:r w:rsidR="00E661D4" w:rsidRPr="00722436">
        <w:rPr>
          <w:rFonts w:ascii="Arial" w:hAnsi="Arial" w:cs="Arial"/>
        </w:rPr>
        <w:t>parties</w:t>
      </w:r>
      <w:r w:rsidR="00E2402A" w:rsidRPr="00722436">
        <w:rPr>
          <w:rFonts w:ascii="Arial" w:hAnsi="Arial" w:cs="Arial"/>
        </w:rPr>
        <w:t xml:space="preserve"> court and attorney fees. </w:t>
      </w:r>
      <w:r w:rsidR="00AC0F2A" w:rsidRPr="00722436">
        <w:rPr>
          <w:rFonts w:ascii="Arial" w:hAnsi="Arial" w:cs="Arial"/>
        </w:rPr>
        <w:t>Furthermore, d</w:t>
      </w:r>
      <w:r w:rsidR="003D5405" w:rsidRPr="00722436">
        <w:rPr>
          <w:rFonts w:ascii="Arial" w:hAnsi="Arial" w:cs="Arial"/>
        </w:rPr>
        <w:t xml:space="preserve">uring a trial every word, action and expression will be scrutinized, and your response may influence the judge or jury's decision. </w:t>
      </w:r>
      <w:r w:rsidR="00C51392" w:rsidRPr="00722436">
        <w:rPr>
          <w:rFonts w:ascii="Arial" w:hAnsi="Arial" w:cs="Arial"/>
        </w:rPr>
        <w:t>Therefore, i</w:t>
      </w:r>
      <w:r w:rsidR="003D5405" w:rsidRPr="00722436">
        <w:rPr>
          <w:rFonts w:ascii="Arial" w:hAnsi="Arial" w:cs="Arial"/>
        </w:rPr>
        <w:t xml:space="preserve">t's a wise idea to hire a lawyer who has experience dealing with other lawyers, police officers, prosecutors, judges, and juries. Their strategy will ensure you get the </w:t>
      </w:r>
      <w:r w:rsidR="003D5405" w:rsidRPr="00722436">
        <w:rPr>
          <w:rStyle w:val="issue-underline"/>
          <w:rFonts w:ascii="Arial" w:hAnsi="Arial" w:cs="Arial"/>
        </w:rPr>
        <w:t>best</w:t>
      </w:r>
      <w:r w:rsidR="003D5405" w:rsidRPr="00722436">
        <w:rPr>
          <w:rFonts w:ascii="Arial" w:hAnsi="Arial" w:cs="Arial"/>
        </w:rPr>
        <w:t xml:space="preserve"> defence possible as they know what makes them tick.</w:t>
      </w:r>
      <w:r w:rsidR="003D5405" w:rsidRPr="007D416F">
        <w:rPr>
          <w:rFonts w:ascii="Arial" w:hAnsi="Arial" w:cs="Arial"/>
        </w:rPr>
        <w:t xml:space="preserve"> </w:t>
      </w:r>
    </w:p>
    <w:p w14:paraId="72282751" w14:textId="36F6B9E9" w:rsidR="003F74C0" w:rsidRPr="0011696A" w:rsidRDefault="003F74C0" w:rsidP="00EF0227">
      <w:pPr>
        <w:pStyle w:val="mb-25"/>
        <w:jc w:val="both"/>
        <w:rPr>
          <w:rFonts w:ascii="Arial" w:hAnsi="Arial" w:cs="Arial"/>
        </w:rPr>
      </w:pPr>
    </w:p>
    <w:p w14:paraId="6DE494CB" w14:textId="3AE36521" w:rsidR="000F2C7E" w:rsidRPr="0011696A" w:rsidRDefault="000F2C7E">
      <w:pPr>
        <w:rPr>
          <w:rFonts w:ascii="Arial" w:hAnsi="Arial" w:cs="Arial"/>
          <w:b/>
          <w:bCs/>
          <w:sz w:val="24"/>
          <w:szCs w:val="24"/>
        </w:rPr>
      </w:pPr>
    </w:p>
    <w:p w14:paraId="40AB8751" w14:textId="4FBBE08A" w:rsidR="00B24C66" w:rsidRDefault="00B24C66">
      <w:pPr>
        <w:rPr>
          <w:rFonts w:ascii="Arial" w:hAnsi="Arial" w:cs="Arial"/>
          <w:b/>
          <w:bCs/>
          <w:sz w:val="24"/>
          <w:szCs w:val="24"/>
        </w:rPr>
      </w:pPr>
    </w:p>
    <w:p w14:paraId="75A1ED10" w14:textId="60108455" w:rsidR="00AC7A47" w:rsidRDefault="00AC7A47">
      <w:pPr>
        <w:rPr>
          <w:rFonts w:ascii="Arial" w:hAnsi="Arial" w:cs="Arial"/>
          <w:b/>
          <w:bCs/>
          <w:sz w:val="24"/>
          <w:szCs w:val="24"/>
        </w:rPr>
      </w:pPr>
    </w:p>
    <w:p w14:paraId="74B1A517" w14:textId="5E1758FE" w:rsidR="00AC7A47" w:rsidRDefault="00AC7A47">
      <w:pPr>
        <w:rPr>
          <w:rFonts w:ascii="Arial" w:hAnsi="Arial" w:cs="Arial"/>
          <w:b/>
          <w:bCs/>
          <w:sz w:val="24"/>
          <w:szCs w:val="24"/>
        </w:rPr>
      </w:pPr>
    </w:p>
    <w:p w14:paraId="40BDE902" w14:textId="50A0B84F" w:rsidR="00AC7A47" w:rsidRDefault="00AC7A47">
      <w:pPr>
        <w:rPr>
          <w:rFonts w:ascii="Arial" w:hAnsi="Arial" w:cs="Arial"/>
          <w:b/>
          <w:bCs/>
          <w:sz w:val="24"/>
          <w:szCs w:val="24"/>
        </w:rPr>
      </w:pPr>
    </w:p>
    <w:p w14:paraId="40CB8C96" w14:textId="5BDD20D2" w:rsidR="00AC7A47" w:rsidRDefault="00AC7A47">
      <w:pPr>
        <w:rPr>
          <w:rFonts w:ascii="Arial" w:hAnsi="Arial" w:cs="Arial"/>
          <w:b/>
          <w:bCs/>
          <w:sz w:val="24"/>
          <w:szCs w:val="24"/>
        </w:rPr>
      </w:pPr>
    </w:p>
    <w:p w14:paraId="4D40F952" w14:textId="50A9A13F" w:rsidR="00AC7A47" w:rsidRDefault="00AC7A47">
      <w:pPr>
        <w:rPr>
          <w:rFonts w:ascii="Arial" w:hAnsi="Arial" w:cs="Arial"/>
          <w:b/>
          <w:bCs/>
          <w:sz w:val="24"/>
          <w:szCs w:val="24"/>
        </w:rPr>
      </w:pPr>
    </w:p>
    <w:p w14:paraId="169BBB4A" w14:textId="6F6CD1B5" w:rsidR="00AC7A47" w:rsidRDefault="00AC7A47">
      <w:pPr>
        <w:rPr>
          <w:rFonts w:ascii="Arial" w:hAnsi="Arial" w:cs="Arial"/>
          <w:b/>
          <w:bCs/>
          <w:sz w:val="24"/>
          <w:szCs w:val="24"/>
        </w:rPr>
      </w:pPr>
    </w:p>
    <w:p w14:paraId="3CB60610" w14:textId="2E1370A6" w:rsidR="00AC7A47" w:rsidRDefault="00AC7A47">
      <w:pPr>
        <w:rPr>
          <w:rFonts w:ascii="Arial" w:hAnsi="Arial" w:cs="Arial"/>
          <w:b/>
          <w:bCs/>
          <w:sz w:val="24"/>
          <w:szCs w:val="24"/>
        </w:rPr>
      </w:pPr>
    </w:p>
    <w:p w14:paraId="3AD56C2B" w14:textId="28A37BA0" w:rsidR="00AC7A47" w:rsidRDefault="00AC7A47">
      <w:pPr>
        <w:rPr>
          <w:rFonts w:ascii="Arial" w:hAnsi="Arial" w:cs="Arial"/>
          <w:b/>
          <w:bCs/>
          <w:sz w:val="24"/>
          <w:szCs w:val="24"/>
        </w:rPr>
      </w:pPr>
    </w:p>
    <w:p w14:paraId="22CA5FFA" w14:textId="48D0ABCC" w:rsidR="00AC7A47" w:rsidRDefault="00AC7A47">
      <w:pPr>
        <w:rPr>
          <w:rFonts w:ascii="Arial" w:hAnsi="Arial" w:cs="Arial"/>
          <w:b/>
          <w:bCs/>
          <w:sz w:val="24"/>
          <w:szCs w:val="24"/>
        </w:rPr>
      </w:pPr>
    </w:p>
    <w:p w14:paraId="085B90DF" w14:textId="3BD173BC" w:rsidR="00AC7A47" w:rsidRDefault="00AC7A47">
      <w:pPr>
        <w:rPr>
          <w:rFonts w:ascii="Arial" w:hAnsi="Arial" w:cs="Arial"/>
          <w:b/>
          <w:bCs/>
          <w:sz w:val="24"/>
          <w:szCs w:val="24"/>
        </w:rPr>
      </w:pPr>
    </w:p>
    <w:p w14:paraId="6D51BA07" w14:textId="735A8A5D" w:rsidR="00AC7A47" w:rsidRDefault="00AC7A47">
      <w:pPr>
        <w:rPr>
          <w:rFonts w:ascii="Arial" w:hAnsi="Arial" w:cs="Arial"/>
          <w:b/>
          <w:bCs/>
          <w:sz w:val="24"/>
          <w:szCs w:val="24"/>
        </w:rPr>
      </w:pPr>
    </w:p>
    <w:p w14:paraId="737AFA4F" w14:textId="4FE19186" w:rsidR="00AC7A47" w:rsidRDefault="00AC7A47">
      <w:pPr>
        <w:rPr>
          <w:rFonts w:ascii="Arial" w:hAnsi="Arial" w:cs="Arial"/>
          <w:b/>
          <w:bCs/>
          <w:sz w:val="24"/>
          <w:szCs w:val="24"/>
        </w:rPr>
      </w:pPr>
    </w:p>
    <w:p w14:paraId="1B98A004" w14:textId="493F873A" w:rsidR="00AC7A47" w:rsidRDefault="00AC7A47">
      <w:pPr>
        <w:rPr>
          <w:rFonts w:ascii="Arial" w:hAnsi="Arial" w:cs="Arial"/>
          <w:b/>
          <w:bCs/>
          <w:sz w:val="24"/>
          <w:szCs w:val="24"/>
        </w:rPr>
      </w:pPr>
    </w:p>
    <w:p w14:paraId="2533AABE" w14:textId="4A29F95D" w:rsidR="00AC7A47" w:rsidRDefault="00AC7A47">
      <w:pPr>
        <w:rPr>
          <w:rFonts w:ascii="Arial" w:hAnsi="Arial" w:cs="Arial"/>
          <w:b/>
          <w:bCs/>
          <w:sz w:val="24"/>
          <w:szCs w:val="24"/>
        </w:rPr>
      </w:pPr>
    </w:p>
    <w:p w14:paraId="4750436B" w14:textId="6D374984" w:rsidR="00AC7A47" w:rsidRDefault="00AC7A47">
      <w:pPr>
        <w:rPr>
          <w:rFonts w:ascii="Arial" w:hAnsi="Arial" w:cs="Arial"/>
          <w:b/>
          <w:bCs/>
          <w:sz w:val="24"/>
          <w:szCs w:val="24"/>
        </w:rPr>
      </w:pPr>
    </w:p>
    <w:p w14:paraId="7D0C517F" w14:textId="5C9F81C7" w:rsidR="00AC7A47" w:rsidRDefault="00AC7A47">
      <w:pPr>
        <w:rPr>
          <w:rFonts w:ascii="Arial" w:hAnsi="Arial" w:cs="Arial"/>
          <w:b/>
          <w:bCs/>
          <w:sz w:val="24"/>
          <w:szCs w:val="24"/>
        </w:rPr>
      </w:pPr>
    </w:p>
    <w:p w14:paraId="6E4286E2" w14:textId="093D72E8" w:rsidR="00AC7A47" w:rsidRDefault="00AC7A47">
      <w:pPr>
        <w:rPr>
          <w:rFonts w:ascii="Arial" w:hAnsi="Arial" w:cs="Arial"/>
          <w:b/>
          <w:bCs/>
          <w:sz w:val="24"/>
          <w:szCs w:val="24"/>
        </w:rPr>
      </w:pPr>
    </w:p>
    <w:p w14:paraId="156DE9DA" w14:textId="34B1132F" w:rsidR="00AC7A47" w:rsidRDefault="00AC7A47">
      <w:pPr>
        <w:rPr>
          <w:rFonts w:ascii="Arial" w:hAnsi="Arial" w:cs="Arial"/>
          <w:b/>
          <w:bCs/>
          <w:sz w:val="24"/>
          <w:szCs w:val="24"/>
        </w:rPr>
      </w:pPr>
    </w:p>
    <w:p w14:paraId="0839B464" w14:textId="28CA0A4A" w:rsidR="00AC7A47" w:rsidRDefault="00AC7A47">
      <w:pPr>
        <w:rPr>
          <w:rFonts w:ascii="Arial" w:hAnsi="Arial" w:cs="Arial"/>
          <w:b/>
          <w:bCs/>
          <w:sz w:val="24"/>
          <w:szCs w:val="24"/>
        </w:rPr>
      </w:pPr>
    </w:p>
    <w:p w14:paraId="69F987EE" w14:textId="24E0A781" w:rsidR="00AC7A47" w:rsidRDefault="00AC7A47">
      <w:pPr>
        <w:rPr>
          <w:rFonts w:ascii="Arial" w:hAnsi="Arial" w:cs="Arial"/>
          <w:b/>
          <w:bCs/>
          <w:sz w:val="24"/>
          <w:szCs w:val="24"/>
        </w:rPr>
      </w:pPr>
    </w:p>
    <w:p w14:paraId="5986C4DF" w14:textId="223B8404" w:rsidR="00AC7A47" w:rsidRDefault="00AC7A47">
      <w:pPr>
        <w:rPr>
          <w:rFonts w:ascii="Arial" w:hAnsi="Arial" w:cs="Arial"/>
          <w:b/>
          <w:bCs/>
          <w:sz w:val="24"/>
          <w:szCs w:val="24"/>
        </w:rPr>
      </w:pPr>
    </w:p>
    <w:p w14:paraId="60446199" w14:textId="3A6103BF" w:rsidR="00AC7A47" w:rsidRDefault="00AC7A47">
      <w:pPr>
        <w:rPr>
          <w:rFonts w:ascii="Arial" w:hAnsi="Arial" w:cs="Arial"/>
          <w:b/>
          <w:bCs/>
          <w:sz w:val="24"/>
          <w:szCs w:val="24"/>
        </w:rPr>
      </w:pPr>
    </w:p>
    <w:p w14:paraId="1417156D" w14:textId="77777777" w:rsidR="006503CE" w:rsidRDefault="006503CE">
      <w:pPr>
        <w:rPr>
          <w:rFonts w:ascii="Arial" w:hAnsi="Arial" w:cs="Arial"/>
          <w:b/>
          <w:bCs/>
          <w:sz w:val="24"/>
          <w:szCs w:val="24"/>
        </w:rPr>
      </w:pPr>
    </w:p>
    <w:p w14:paraId="7EDC6ED3" w14:textId="5E6CEEEE" w:rsidR="00712810" w:rsidRPr="0011696A" w:rsidRDefault="00712810">
      <w:pPr>
        <w:rPr>
          <w:rFonts w:ascii="Arial" w:hAnsi="Arial" w:cs="Arial"/>
          <w:b/>
          <w:bCs/>
          <w:sz w:val="24"/>
          <w:szCs w:val="24"/>
        </w:rPr>
      </w:pPr>
      <w:r w:rsidRPr="0011696A">
        <w:rPr>
          <w:rFonts w:ascii="Arial" w:hAnsi="Arial" w:cs="Arial"/>
          <w:b/>
          <w:bCs/>
          <w:sz w:val="24"/>
          <w:szCs w:val="24"/>
        </w:rPr>
        <w:lastRenderedPageBreak/>
        <w:t xml:space="preserve">References </w:t>
      </w:r>
    </w:p>
    <w:p w14:paraId="43D21565" w14:textId="77777777" w:rsidR="006F254D" w:rsidRPr="0011696A" w:rsidRDefault="006F254D" w:rsidP="006F254D">
      <w:pPr>
        <w:rPr>
          <w:rFonts w:ascii="Arial" w:hAnsi="Arial" w:cs="Arial"/>
          <w:b/>
          <w:bCs/>
          <w:sz w:val="24"/>
          <w:szCs w:val="24"/>
        </w:rPr>
      </w:pPr>
    </w:p>
    <w:p w14:paraId="07CFA3F8" w14:textId="594718F3" w:rsidR="006F254D" w:rsidRPr="00603D23" w:rsidRDefault="006F254D">
      <w:pPr>
        <w:rPr>
          <w:rFonts w:ascii="Arial" w:hAnsi="Arial" w:cs="Arial"/>
          <w:sz w:val="24"/>
          <w:szCs w:val="24"/>
          <w:shd w:val="clear" w:color="auto" w:fill="FFFFFF"/>
        </w:rPr>
      </w:pPr>
      <w:r w:rsidRPr="00603D23">
        <w:rPr>
          <w:rFonts w:ascii="Arial" w:hAnsi="Arial" w:cs="Arial"/>
          <w:sz w:val="24"/>
          <w:szCs w:val="24"/>
          <w:shd w:val="clear" w:color="auto" w:fill="FFFFFF"/>
        </w:rPr>
        <w:t xml:space="preserve">Browne, K. and </w:t>
      </w:r>
      <w:proofErr w:type="spellStart"/>
      <w:r w:rsidRPr="00603D23">
        <w:rPr>
          <w:rFonts w:ascii="Arial" w:hAnsi="Arial" w:cs="Arial"/>
          <w:sz w:val="24"/>
          <w:szCs w:val="24"/>
          <w:shd w:val="clear" w:color="auto" w:fill="FFFFFF"/>
        </w:rPr>
        <w:t>Catlow</w:t>
      </w:r>
      <w:proofErr w:type="spellEnd"/>
      <w:r w:rsidRPr="00603D23">
        <w:rPr>
          <w:rFonts w:ascii="Arial" w:hAnsi="Arial" w:cs="Arial"/>
          <w:sz w:val="24"/>
          <w:szCs w:val="24"/>
          <w:shd w:val="clear" w:color="auto" w:fill="FFFFFF"/>
        </w:rPr>
        <w:t xml:space="preserve">, M. (2021) - </w:t>
      </w:r>
      <w:r w:rsidRPr="00603D23">
        <w:rPr>
          <w:rFonts w:ascii="Arial" w:hAnsi="Arial" w:cs="Arial"/>
          <w:i/>
          <w:iCs/>
          <w:sz w:val="24"/>
          <w:szCs w:val="24"/>
          <w:shd w:val="clear" w:color="auto" w:fill="FFFFFF"/>
        </w:rPr>
        <w:t xml:space="preserve">Civil Litigation 2021/2022: Legal Practice Course Guides (LPC) </w:t>
      </w:r>
      <w:r w:rsidRPr="00603D23">
        <w:rPr>
          <w:rFonts w:ascii="Arial" w:hAnsi="Arial" w:cs="Arial"/>
          <w:sz w:val="24"/>
          <w:szCs w:val="24"/>
          <w:shd w:val="clear" w:color="auto" w:fill="FFFFFF"/>
        </w:rPr>
        <w:t>Guilford:</w:t>
      </w:r>
      <w:r w:rsidRPr="00603D23">
        <w:rPr>
          <w:rFonts w:ascii="Arial" w:hAnsi="Arial" w:cs="Arial"/>
          <w:i/>
          <w:iCs/>
          <w:sz w:val="24"/>
          <w:szCs w:val="24"/>
          <w:shd w:val="clear" w:color="auto" w:fill="FFFFFF"/>
        </w:rPr>
        <w:t xml:space="preserve"> </w:t>
      </w:r>
      <w:r w:rsidRPr="00603D23">
        <w:rPr>
          <w:rFonts w:ascii="Arial" w:hAnsi="Arial" w:cs="Arial"/>
          <w:sz w:val="24"/>
          <w:szCs w:val="24"/>
          <w:shd w:val="clear" w:color="auto" w:fill="FFFFFF"/>
        </w:rPr>
        <w:t>College of Law Publishing</w:t>
      </w:r>
    </w:p>
    <w:p w14:paraId="1239D546" w14:textId="794997B0" w:rsidR="00782CB1" w:rsidRPr="00603D23" w:rsidRDefault="001C05EF" w:rsidP="00B34A9C">
      <w:pPr>
        <w:spacing w:after="0" w:line="240" w:lineRule="auto"/>
        <w:rPr>
          <w:rFonts w:ascii="Arial" w:hAnsi="Arial" w:cs="Arial"/>
          <w:sz w:val="24"/>
          <w:szCs w:val="24"/>
        </w:rPr>
      </w:pPr>
      <w:r w:rsidRPr="00603D23">
        <w:rPr>
          <w:rStyle w:val="markedcontent"/>
          <w:rFonts w:ascii="Arial" w:hAnsi="Arial" w:cs="Arial"/>
          <w:sz w:val="24"/>
          <w:szCs w:val="24"/>
        </w:rPr>
        <w:t>Courts and</w:t>
      </w:r>
      <w:r w:rsidRPr="00603D23">
        <w:rPr>
          <w:rFonts w:ascii="Arial" w:hAnsi="Arial" w:cs="Arial"/>
          <w:sz w:val="24"/>
          <w:szCs w:val="24"/>
        </w:rPr>
        <w:t xml:space="preserve"> </w:t>
      </w:r>
      <w:r w:rsidRPr="00603D23">
        <w:rPr>
          <w:rStyle w:val="markedcontent"/>
          <w:rFonts w:ascii="Arial" w:hAnsi="Arial" w:cs="Arial"/>
          <w:sz w:val="24"/>
          <w:szCs w:val="24"/>
        </w:rPr>
        <w:t xml:space="preserve">Tribunals Judiciary (2022) - </w:t>
      </w:r>
      <w:r w:rsidR="00B34A9C" w:rsidRPr="00603D23">
        <w:rPr>
          <w:rStyle w:val="markedcontent"/>
          <w:rFonts w:ascii="Arial" w:hAnsi="Arial" w:cs="Arial"/>
          <w:i/>
          <w:iCs/>
          <w:sz w:val="24"/>
          <w:szCs w:val="24"/>
        </w:rPr>
        <w:t xml:space="preserve">The Administrative Court Judicial Review Guide 2022 </w:t>
      </w:r>
      <w:r w:rsidR="00B34A9C" w:rsidRPr="00603D23">
        <w:rPr>
          <w:rStyle w:val="markedcontent"/>
          <w:rFonts w:ascii="Arial" w:hAnsi="Arial" w:cs="Arial"/>
          <w:sz w:val="24"/>
          <w:szCs w:val="24"/>
        </w:rPr>
        <w:t xml:space="preserve">– available at: </w:t>
      </w:r>
      <w:hyperlink r:id="rId5" w:history="1">
        <w:r w:rsidR="00B34A9C" w:rsidRPr="00603D23">
          <w:rPr>
            <w:rStyle w:val="Hyperlink"/>
            <w:rFonts w:ascii="Arial" w:hAnsi="Arial" w:cs="Arial"/>
            <w:b/>
            <w:bCs/>
            <w:sz w:val="24"/>
            <w:szCs w:val="24"/>
          </w:rPr>
          <w:t>https://assets.publishing.service.gov.uk/government/uploads/system/uploads/attachment_data/file/1106207/14.130_HMCTS_Administrative_Court_Guide_2022_FINAL_v06_WEB__2_.pdf</w:t>
        </w:r>
      </w:hyperlink>
    </w:p>
    <w:p w14:paraId="41521F9D" w14:textId="459CD25D" w:rsidR="003937F5" w:rsidRPr="00603D23" w:rsidRDefault="00B34A9C" w:rsidP="003937F5">
      <w:pPr>
        <w:spacing w:after="0" w:line="240" w:lineRule="auto"/>
        <w:rPr>
          <w:rFonts w:ascii="Arial" w:hAnsi="Arial" w:cs="Arial"/>
          <w:sz w:val="24"/>
          <w:szCs w:val="24"/>
        </w:rPr>
      </w:pPr>
      <w:r w:rsidRPr="00603D23">
        <w:rPr>
          <w:rFonts w:ascii="Arial" w:hAnsi="Arial" w:cs="Arial"/>
          <w:sz w:val="24"/>
          <w:szCs w:val="24"/>
        </w:rPr>
        <w:t>(Accessed: 1</w:t>
      </w:r>
      <w:r w:rsidRPr="00603D23">
        <w:rPr>
          <w:rFonts w:ascii="Arial" w:hAnsi="Arial" w:cs="Arial"/>
          <w:sz w:val="24"/>
          <w:szCs w:val="24"/>
          <w:vertAlign w:val="superscript"/>
        </w:rPr>
        <w:t>st</w:t>
      </w:r>
      <w:r w:rsidRPr="00603D23">
        <w:rPr>
          <w:rFonts w:ascii="Arial" w:hAnsi="Arial" w:cs="Arial"/>
          <w:sz w:val="24"/>
          <w:szCs w:val="24"/>
        </w:rPr>
        <w:t xml:space="preserve"> Nov 2022) </w:t>
      </w:r>
    </w:p>
    <w:p w14:paraId="2C3F0337" w14:textId="77777777" w:rsidR="003937F5" w:rsidRPr="00603D23" w:rsidRDefault="003937F5" w:rsidP="003937F5">
      <w:pPr>
        <w:spacing w:after="0" w:line="240" w:lineRule="auto"/>
        <w:rPr>
          <w:rFonts w:ascii="Arial" w:hAnsi="Arial" w:cs="Arial"/>
          <w:sz w:val="24"/>
          <w:szCs w:val="24"/>
        </w:rPr>
      </w:pPr>
    </w:p>
    <w:p w14:paraId="552E0C32" w14:textId="0A3E7C5E" w:rsidR="003937F5" w:rsidRPr="00603D23" w:rsidRDefault="003937F5" w:rsidP="003937F5">
      <w:pPr>
        <w:rPr>
          <w:rFonts w:ascii="Arial" w:hAnsi="Arial" w:cs="Arial"/>
          <w:color w:val="1C2D3D"/>
          <w:sz w:val="24"/>
          <w:szCs w:val="24"/>
          <w:shd w:val="clear" w:color="auto" w:fill="FFFFFF"/>
        </w:rPr>
      </w:pPr>
      <w:r w:rsidRPr="00603D23">
        <w:rPr>
          <w:rFonts w:ascii="Arial" w:hAnsi="Arial" w:cs="Arial"/>
          <w:color w:val="1C2D3D"/>
          <w:sz w:val="24"/>
          <w:szCs w:val="24"/>
          <w:shd w:val="clear" w:color="auto" w:fill="FFFFFF"/>
        </w:rPr>
        <w:t xml:space="preserve">Crone, T. et al (2002) - </w:t>
      </w:r>
      <w:r w:rsidRPr="00603D23">
        <w:rPr>
          <w:rFonts w:ascii="Arial" w:hAnsi="Arial" w:cs="Arial"/>
          <w:i/>
          <w:iCs/>
          <w:color w:val="1C2D3D"/>
          <w:sz w:val="24"/>
          <w:szCs w:val="24"/>
          <w:shd w:val="clear" w:color="auto" w:fill="FFFFFF"/>
        </w:rPr>
        <w:t>Law and the Media – 4</w:t>
      </w:r>
      <w:r w:rsidRPr="00603D23">
        <w:rPr>
          <w:rFonts w:ascii="Arial" w:hAnsi="Arial" w:cs="Arial"/>
          <w:i/>
          <w:iCs/>
          <w:color w:val="1C2D3D"/>
          <w:sz w:val="24"/>
          <w:szCs w:val="24"/>
          <w:shd w:val="clear" w:color="auto" w:fill="FFFFFF"/>
          <w:vertAlign w:val="superscript"/>
        </w:rPr>
        <w:t>th</w:t>
      </w:r>
      <w:r w:rsidRPr="00603D23">
        <w:rPr>
          <w:rFonts w:ascii="Arial" w:hAnsi="Arial" w:cs="Arial"/>
          <w:i/>
          <w:iCs/>
          <w:color w:val="1C2D3D"/>
          <w:sz w:val="24"/>
          <w:szCs w:val="24"/>
          <w:shd w:val="clear" w:color="auto" w:fill="FFFFFF"/>
        </w:rPr>
        <w:t xml:space="preserve"> Ed – </w:t>
      </w:r>
      <w:r w:rsidRPr="00603D23">
        <w:rPr>
          <w:rFonts w:ascii="Arial" w:hAnsi="Arial" w:cs="Arial"/>
          <w:color w:val="1C2D3D"/>
          <w:sz w:val="24"/>
          <w:szCs w:val="24"/>
          <w:shd w:val="clear" w:color="auto" w:fill="FFFFFF"/>
        </w:rPr>
        <w:t>Oxford: Focal Press</w:t>
      </w:r>
    </w:p>
    <w:p w14:paraId="4B2554CB" w14:textId="0CBE12A5" w:rsidR="003937F5" w:rsidRPr="00603D23" w:rsidRDefault="003937F5" w:rsidP="003937F5">
      <w:pPr>
        <w:rPr>
          <w:rStyle w:val="Hyperlink"/>
          <w:rFonts w:ascii="Arial" w:hAnsi="Arial" w:cs="Arial"/>
          <w:b/>
          <w:bCs/>
          <w:sz w:val="24"/>
          <w:szCs w:val="24"/>
        </w:rPr>
      </w:pPr>
      <w:r w:rsidRPr="00603D23">
        <w:rPr>
          <w:rFonts w:ascii="Arial" w:hAnsi="Arial" w:cs="Arial"/>
          <w:sz w:val="24"/>
          <w:szCs w:val="24"/>
        </w:rPr>
        <w:t xml:space="preserve">GOV.UK (2021) - </w:t>
      </w:r>
      <w:r w:rsidRPr="00603D23">
        <w:rPr>
          <w:rFonts w:ascii="Arial" w:hAnsi="Arial" w:cs="Arial"/>
          <w:i/>
          <w:iCs/>
          <w:sz w:val="24"/>
          <w:szCs w:val="24"/>
        </w:rPr>
        <w:t>Practice Direction update 127: Civil Procedure (Amendment) Rules 2021</w:t>
      </w:r>
      <w:r w:rsidRPr="00603D23">
        <w:rPr>
          <w:rFonts w:ascii="Arial" w:hAnsi="Arial" w:cs="Arial"/>
          <w:sz w:val="24"/>
          <w:szCs w:val="24"/>
        </w:rPr>
        <w:t xml:space="preserve">- available at: </w:t>
      </w:r>
      <w:hyperlink r:id="rId6" w:history="1">
        <w:r w:rsidRPr="00603D23">
          <w:rPr>
            <w:rStyle w:val="Hyperlink"/>
            <w:rFonts w:ascii="Arial" w:hAnsi="Arial" w:cs="Arial"/>
            <w:b/>
            <w:bCs/>
            <w:sz w:val="24"/>
            <w:szCs w:val="24"/>
          </w:rPr>
          <w:t>https://www.gov.uk/government/publications/practice-direction-update-127-civil-procedure-amendment-rules-2021</w:t>
        </w:r>
      </w:hyperlink>
    </w:p>
    <w:p w14:paraId="72DDF9E3" w14:textId="0CA7065A" w:rsidR="006F254D" w:rsidRPr="00603D23" w:rsidRDefault="006F254D" w:rsidP="003937F5">
      <w:pPr>
        <w:rPr>
          <w:rStyle w:val="Hyperlink"/>
          <w:rFonts w:ascii="Arial" w:hAnsi="Arial" w:cs="Arial"/>
          <w:sz w:val="24"/>
          <w:szCs w:val="24"/>
        </w:rPr>
      </w:pPr>
      <w:r w:rsidRPr="00603D23">
        <w:rPr>
          <w:rFonts w:ascii="Arial" w:hAnsi="Arial" w:cs="Arial"/>
          <w:sz w:val="24"/>
          <w:szCs w:val="24"/>
        </w:rPr>
        <w:t xml:space="preserve">Gold, S. (2021) – ‘Civil Way’ – </w:t>
      </w:r>
      <w:r w:rsidRPr="00603D23">
        <w:rPr>
          <w:rFonts w:ascii="Arial" w:hAnsi="Arial" w:cs="Arial"/>
          <w:i/>
          <w:iCs/>
          <w:sz w:val="24"/>
          <w:szCs w:val="24"/>
        </w:rPr>
        <w:t>New Law Journal (UKNLJ)</w:t>
      </w:r>
      <w:r w:rsidRPr="00603D23">
        <w:rPr>
          <w:rFonts w:ascii="Arial" w:hAnsi="Arial" w:cs="Arial"/>
          <w:sz w:val="24"/>
          <w:szCs w:val="24"/>
        </w:rPr>
        <w:t xml:space="preserve"> -  P.15 – accessed on: 7</w:t>
      </w:r>
      <w:r w:rsidRPr="00603D23">
        <w:rPr>
          <w:rFonts w:ascii="Arial" w:hAnsi="Arial" w:cs="Arial"/>
          <w:sz w:val="24"/>
          <w:szCs w:val="24"/>
          <w:vertAlign w:val="superscript"/>
        </w:rPr>
        <w:t>th</w:t>
      </w:r>
      <w:r w:rsidRPr="00603D23">
        <w:rPr>
          <w:rFonts w:ascii="Arial" w:hAnsi="Arial" w:cs="Arial"/>
          <w:sz w:val="24"/>
          <w:szCs w:val="24"/>
        </w:rPr>
        <w:t xml:space="preserve"> Nov 2022 – available at: </w:t>
      </w:r>
      <w:hyperlink r:id="rId7" w:history="1">
        <w:r w:rsidRPr="00603D23">
          <w:rPr>
            <w:rStyle w:val="Hyperlink"/>
            <w:rFonts w:ascii="Arial" w:hAnsi="Arial" w:cs="Arial"/>
            <w:sz w:val="24"/>
            <w:szCs w:val="24"/>
          </w:rPr>
          <w:t>https://advance.lexis.com/document/</w:t>
        </w:r>
      </w:hyperlink>
    </w:p>
    <w:p w14:paraId="36D03D79" w14:textId="77777777" w:rsidR="006F254D" w:rsidRPr="00603D23" w:rsidRDefault="006F254D" w:rsidP="006F254D">
      <w:pPr>
        <w:spacing w:after="0" w:line="240" w:lineRule="auto"/>
        <w:rPr>
          <w:rFonts w:ascii="Arial" w:hAnsi="Arial" w:cs="Arial"/>
          <w:i/>
          <w:iCs/>
          <w:sz w:val="24"/>
          <w:szCs w:val="24"/>
        </w:rPr>
      </w:pPr>
      <w:r w:rsidRPr="00603D23">
        <w:rPr>
          <w:rFonts w:ascii="Arial" w:hAnsi="Arial" w:cs="Arial"/>
          <w:sz w:val="24"/>
          <w:szCs w:val="24"/>
        </w:rPr>
        <w:t xml:space="preserve">Judiciary.uk (2022) - </w:t>
      </w:r>
      <w:r w:rsidRPr="00603D23">
        <w:rPr>
          <w:rFonts w:ascii="Arial" w:hAnsi="Arial" w:cs="Arial"/>
          <w:i/>
          <w:iCs/>
          <w:sz w:val="24"/>
          <w:szCs w:val="24"/>
        </w:rPr>
        <w:t xml:space="preserve">Advice for Litigants in Person – </w:t>
      </w:r>
      <w:r w:rsidRPr="00603D23">
        <w:rPr>
          <w:rFonts w:ascii="Arial" w:hAnsi="Arial" w:cs="Arial"/>
          <w:sz w:val="24"/>
          <w:szCs w:val="24"/>
        </w:rPr>
        <w:t>available at:</w:t>
      </w:r>
      <w:r w:rsidRPr="00603D23">
        <w:rPr>
          <w:rFonts w:ascii="Arial" w:hAnsi="Arial" w:cs="Arial"/>
          <w:i/>
          <w:iCs/>
          <w:sz w:val="24"/>
          <w:szCs w:val="24"/>
        </w:rPr>
        <w:t xml:space="preserve"> </w:t>
      </w:r>
    </w:p>
    <w:p w14:paraId="6DD323AB" w14:textId="77777777" w:rsidR="006F254D" w:rsidRPr="00603D23" w:rsidRDefault="00874550" w:rsidP="006F254D">
      <w:pPr>
        <w:spacing w:after="0" w:line="240" w:lineRule="auto"/>
        <w:rPr>
          <w:rFonts w:ascii="Arial" w:hAnsi="Arial" w:cs="Arial"/>
          <w:b/>
          <w:bCs/>
          <w:sz w:val="24"/>
          <w:szCs w:val="24"/>
        </w:rPr>
      </w:pPr>
      <w:hyperlink r:id="rId8" w:history="1">
        <w:r w:rsidR="006F254D" w:rsidRPr="00603D23">
          <w:rPr>
            <w:rStyle w:val="Hyperlink"/>
            <w:rFonts w:ascii="Arial" w:hAnsi="Arial" w:cs="Arial"/>
            <w:b/>
            <w:bCs/>
            <w:sz w:val="24"/>
            <w:szCs w:val="24"/>
          </w:rPr>
          <w:t>https://www.judiciary.uk/guidance-and-resources/advice-for-litigants-in-person/</w:t>
        </w:r>
      </w:hyperlink>
    </w:p>
    <w:p w14:paraId="580C59B8" w14:textId="77777777" w:rsidR="006F254D" w:rsidRPr="00603D23" w:rsidRDefault="006F254D" w:rsidP="006F254D">
      <w:pPr>
        <w:spacing w:after="0" w:line="240" w:lineRule="auto"/>
        <w:rPr>
          <w:rFonts w:ascii="Arial" w:hAnsi="Arial" w:cs="Arial"/>
          <w:sz w:val="24"/>
          <w:szCs w:val="24"/>
        </w:rPr>
      </w:pPr>
      <w:r w:rsidRPr="00603D23">
        <w:rPr>
          <w:rFonts w:ascii="Arial" w:hAnsi="Arial" w:cs="Arial"/>
          <w:sz w:val="24"/>
          <w:szCs w:val="24"/>
        </w:rPr>
        <w:t>(Accessed: 23rd Oct 2022)</w:t>
      </w:r>
    </w:p>
    <w:p w14:paraId="4B98C72D" w14:textId="6BDEC21F" w:rsidR="003937F5" w:rsidRPr="00603D23" w:rsidRDefault="003937F5" w:rsidP="003937F5">
      <w:pPr>
        <w:rPr>
          <w:rFonts w:ascii="Arial" w:hAnsi="Arial" w:cs="Arial"/>
          <w:color w:val="1C2D3D"/>
          <w:sz w:val="24"/>
          <w:szCs w:val="24"/>
          <w:shd w:val="clear" w:color="auto" w:fill="FFFFFF"/>
        </w:rPr>
      </w:pPr>
    </w:p>
    <w:p w14:paraId="73FACBD7" w14:textId="77777777" w:rsidR="005D06C6" w:rsidRPr="00603D23" w:rsidRDefault="005D06C6" w:rsidP="005D06C6">
      <w:pPr>
        <w:spacing w:after="0" w:line="240" w:lineRule="auto"/>
        <w:rPr>
          <w:rFonts w:ascii="Arial" w:hAnsi="Arial" w:cs="Arial"/>
          <w:sz w:val="24"/>
          <w:szCs w:val="24"/>
        </w:rPr>
      </w:pPr>
      <w:r w:rsidRPr="00603D23">
        <w:rPr>
          <w:rFonts w:ascii="Arial" w:hAnsi="Arial" w:cs="Arial"/>
          <w:sz w:val="24"/>
          <w:szCs w:val="24"/>
        </w:rPr>
        <w:t xml:space="preserve">Justice.gov.uk (2021) - </w:t>
      </w:r>
      <w:r w:rsidRPr="00603D23">
        <w:rPr>
          <w:rFonts w:ascii="Arial" w:hAnsi="Arial" w:cs="Arial"/>
          <w:i/>
          <w:iCs/>
          <w:sz w:val="24"/>
          <w:szCs w:val="24"/>
        </w:rPr>
        <w:t>Pre-Action Protocol for Personal Injury Claims</w:t>
      </w:r>
      <w:r w:rsidRPr="00603D23">
        <w:rPr>
          <w:rFonts w:ascii="Arial" w:hAnsi="Arial" w:cs="Arial"/>
          <w:sz w:val="24"/>
          <w:szCs w:val="24"/>
        </w:rPr>
        <w:t xml:space="preserve"> - available at: </w:t>
      </w:r>
    </w:p>
    <w:p w14:paraId="776AE7F2" w14:textId="77777777" w:rsidR="005D06C6" w:rsidRPr="00603D23" w:rsidRDefault="00874550" w:rsidP="005D06C6">
      <w:pPr>
        <w:spacing w:after="0" w:line="240" w:lineRule="auto"/>
        <w:rPr>
          <w:rFonts w:ascii="Arial" w:hAnsi="Arial" w:cs="Arial"/>
          <w:sz w:val="24"/>
          <w:szCs w:val="24"/>
        </w:rPr>
      </w:pPr>
      <w:hyperlink r:id="rId9" w:anchor="1.7" w:history="1">
        <w:r w:rsidR="005D06C6" w:rsidRPr="00603D23">
          <w:rPr>
            <w:rStyle w:val="Hyperlink"/>
            <w:rFonts w:ascii="Arial" w:hAnsi="Arial" w:cs="Arial"/>
            <w:sz w:val="24"/>
            <w:szCs w:val="24"/>
          </w:rPr>
          <w:t>https://www.justice.gov.uk/courts/procedure-rules/civil/protocol/prot_pic#1.7</w:t>
        </w:r>
      </w:hyperlink>
    </w:p>
    <w:p w14:paraId="5B511E08" w14:textId="77777777" w:rsidR="005D06C6" w:rsidRPr="00603D23" w:rsidRDefault="005D06C6" w:rsidP="005D06C6">
      <w:pPr>
        <w:spacing w:after="0" w:line="240" w:lineRule="auto"/>
        <w:rPr>
          <w:rFonts w:ascii="Arial" w:hAnsi="Arial" w:cs="Arial"/>
          <w:sz w:val="24"/>
          <w:szCs w:val="24"/>
        </w:rPr>
      </w:pPr>
      <w:r w:rsidRPr="00603D23">
        <w:rPr>
          <w:rFonts w:ascii="Arial" w:hAnsi="Arial" w:cs="Arial"/>
          <w:sz w:val="24"/>
          <w:szCs w:val="24"/>
        </w:rPr>
        <w:t>(Accessed: 8</w:t>
      </w:r>
      <w:r w:rsidRPr="00603D23">
        <w:rPr>
          <w:rFonts w:ascii="Arial" w:hAnsi="Arial" w:cs="Arial"/>
          <w:sz w:val="24"/>
          <w:szCs w:val="24"/>
          <w:vertAlign w:val="superscript"/>
        </w:rPr>
        <w:t>th</w:t>
      </w:r>
      <w:r w:rsidRPr="00603D23">
        <w:rPr>
          <w:rFonts w:ascii="Arial" w:hAnsi="Arial" w:cs="Arial"/>
          <w:sz w:val="24"/>
          <w:szCs w:val="24"/>
        </w:rPr>
        <w:t xml:space="preserve"> Nov 2022) </w:t>
      </w:r>
    </w:p>
    <w:p w14:paraId="51FA0121" w14:textId="77777777" w:rsidR="005D06C6" w:rsidRPr="00603D23" w:rsidRDefault="005D06C6" w:rsidP="005D06C6">
      <w:pPr>
        <w:rPr>
          <w:rFonts w:ascii="Arial" w:hAnsi="Arial" w:cs="Arial"/>
          <w:sz w:val="24"/>
          <w:szCs w:val="24"/>
        </w:rPr>
      </w:pPr>
    </w:p>
    <w:p w14:paraId="7F0A4239" w14:textId="77777777" w:rsidR="005D06C6" w:rsidRPr="00603D23" w:rsidRDefault="005D06C6" w:rsidP="005D06C6">
      <w:pPr>
        <w:pStyle w:val="mb-25"/>
        <w:spacing w:before="0" w:beforeAutospacing="0" w:after="0" w:afterAutospacing="0"/>
        <w:jc w:val="both"/>
        <w:rPr>
          <w:rFonts w:ascii="Arial" w:hAnsi="Arial" w:cs="Arial"/>
        </w:rPr>
      </w:pPr>
      <w:r w:rsidRPr="00603D23">
        <w:rPr>
          <w:rFonts w:ascii="Arial" w:hAnsi="Arial" w:cs="Arial"/>
        </w:rPr>
        <w:t xml:space="preserve">Justice.gov (2022) - </w:t>
      </w:r>
      <w:r w:rsidRPr="00603D23">
        <w:rPr>
          <w:rFonts w:ascii="Arial" w:hAnsi="Arial" w:cs="Arial"/>
          <w:i/>
          <w:iCs/>
        </w:rPr>
        <w:t xml:space="preserve">Civil Procedure Rules – </w:t>
      </w:r>
      <w:r w:rsidRPr="00603D23">
        <w:rPr>
          <w:rFonts w:ascii="Arial" w:hAnsi="Arial" w:cs="Arial"/>
        </w:rPr>
        <w:t xml:space="preserve">available at: </w:t>
      </w:r>
    </w:p>
    <w:p w14:paraId="479B92D9" w14:textId="77777777" w:rsidR="005D06C6" w:rsidRPr="00603D23" w:rsidRDefault="00874550" w:rsidP="005D06C6">
      <w:pPr>
        <w:pStyle w:val="mb-25"/>
        <w:spacing w:before="0" w:beforeAutospacing="0" w:after="0" w:afterAutospacing="0"/>
        <w:jc w:val="both"/>
        <w:rPr>
          <w:rFonts w:ascii="Arial" w:hAnsi="Arial" w:cs="Arial"/>
        </w:rPr>
      </w:pPr>
      <w:hyperlink r:id="rId10" w:history="1">
        <w:r w:rsidR="005D06C6" w:rsidRPr="00603D23">
          <w:rPr>
            <w:rStyle w:val="Hyperlink"/>
            <w:rFonts w:ascii="Arial" w:hAnsi="Arial" w:cs="Arial"/>
          </w:rPr>
          <w:t>https://www.justice.gov.uk/courts/procedure-rules/civil</w:t>
        </w:r>
      </w:hyperlink>
    </w:p>
    <w:p w14:paraId="365D5856" w14:textId="77777777" w:rsidR="005D06C6" w:rsidRPr="00603D23" w:rsidRDefault="005D06C6" w:rsidP="005D06C6">
      <w:pPr>
        <w:pStyle w:val="mb-25"/>
        <w:spacing w:before="0" w:beforeAutospacing="0" w:after="0" w:afterAutospacing="0"/>
        <w:jc w:val="both"/>
        <w:rPr>
          <w:rFonts w:ascii="Arial" w:hAnsi="Arial" w:cs="Arial"/>
        </w:rPr>
      </w:pPr>
      <w:r w:rsidRPr="00603D23">
        <w:rPr>
          <w:rFonts w:ascii="Arial" w:hAnsi="Arial" w:cs="Arial"/>
        </w:rPr>
        <w:t>(Accessed: 15</w:t>
      </w:r>
      <w:r w:rsidRPr="00603D23">
        <w:rPr>
          <w:rFonts w:ascii="Arial" w:hAnsi="Arial" w:cs="Arial"/>
          <w:vertAlign w:val="superscript"/>
        </w:rPr>
        <w:t>th</w:t>
      </w:r>
      <w:r w:rsidRPr="00603D23">
        <w:rPr>
          <w:rFonts w:ascii="Arial" w:hAnsi="Arial" w:cs="Arial"/>
        </w:rPr>
        <w:t xml:space="preserve"> Oct 2022) </w:t>
      </w:r>
    </w:p>
    <w:p w14:paraId="5BCA1E57" w14:textId="77777777" w:rsidR="005D06C6" w:rsidRPr="00603D23" w:rsidRDefault="005D06C6" w:rsidP="003937F5">
      <w:pPr>
        <w:rPr>
          <w:rFonts w:ascii="Arial" w:hAnsi="Arial" w:cs="Arial"/>
          <w:color w:val="1C2D3D"/>
          <w:sz w:val="24"/>
          <w:szCs w:val="24"/>
          <w:shd w:val="clear" w:color="auto" w:fill="FFFFFF"/>
        </w:rPr>
      </w:pPr>
    </w:p>
    <w:p w14:paraId="51B0839C" w14:textId="05670D96" w:rsidR="00263D64" w:rsidRPr="00603D23" w:rsidRDefault="00444FDA" w:rsidP="0075658C">
      <w:pPr>
        <w:spacing w:after="0" w:line="240" w:lineRule="auto"/>
        <w:rPr>
          <w:rFonts w:ascii="Arial" w:hAnsi="Arial" w:cs="Arial"/>
          <w:b/>
          <w:bCs/>
          <w:sz w:val="24"/>
          <w:szCs w:val="24"/>
        </w:rPr>
      </w:pPr>
      <w:r w:rsidRPr="00603D23">
        <w:rPr>
          <w:rFonts w:ascii="Arial" w:hAnsi="Arial" w:cs="Arial"/>
          <w:sz w:val="24"/>
          <w:szCs w:val="24"/>
        </w:rPr>
        <w:t>Limitation Act 1980 – available at:</w:t>
      </w:r>
      <w:r w:rsidRPr="00603D23">
        <w:rPr>
          <w:rFonts w:ascii="Arial" w:hAnsi="Arial" w:cs="Arial"/>
          <w:b/>
          <w:bCs/>
          <w:sz w:val="24"/>
          <w:szCs w:val="24"/>
        </w:rPr>
        <w:t xml:space="preserve"> </w:t>
      </w:r>
      <w:hyperlink r:id="rId11" w:history="1">
        <w:r w:rsidRPr="00603D23">
          <w:rPr>
            <w:rStyle w:val="Hyperlink"/>
            <w:rFonts w:ascii="Arial" w:hAnsi="Arial" w:cs="Arial"/>
            <w:b/>
            <w:bCs/>
            <w:sz w:val="24"/>
            <w:szCs w:val="24"/>
          </w:rPr>
          <w:t>https://www.legislation.gov.uk/ukpga/1980/58</w:t>
        </w:r>
      </w:hyperlink>
    </w:p>
    <w:p w14:paraId="5D80E671" w14:textId="6317174A" w:rsidR="00D43DB2" w:rsidRPr="00603D23" w:rsidRDefault="00D43DB2" w:rsidP="0075658C">
      <w:pPr>
        <w:spacing w:after="0" w:line="240" w:lineRule="auto"/>
        <w:rPr>
          <w:rFonts w:ascii="Arial" w:hAnsi="Arial" w:cs="Arial"/>
          <w:sz w:val="24"/>
          <w:szCs w:val="24"/>
        </w:rPr>
      </w:pPr>
      <w:bookmarkStart w:id="0" w:name="_Hlk119052183"/>
      <w:r w:rsidRPr="00603D23">
        <w:rPr>
          <w:rFonts w:ascii="Arial" w:hAnsi="Arial" w:cs="Arial"/>
          <w:sz w:val="24"/>
          <w:szCs w:val="24"/>
        </w:rPr>
        <w:t>(Accessed: 23</w:t>
      </w:r>
      <w:r w:rsidRPr="00603D23">
        <w:rPr>
          <w:rFonts w:ascii="Arial" w:hAnsi="Arial" w:cs="Arial"/>
          <w:sz w:val="24"/>
          <w:szCs w:val="24"/>
          <w:vertAlign w:val="superscript"/>
        </w:rPr>
        <w:t>rd</w:t>
      </w:r>
      <w:r w:rsidRPr="00603D23">
        <w:rPr>
          <w:rFonts w:ascii="Arial" w:hAnsi="Arial" w:cs="Arial"/>
          <w:sz w:val="24"/>
          <w:szCs w:val="24"/>
        </w:rPr>
        <w:t xml:space="preserve"> Oct 2022) </w:t>
      </w:r>
    </w:p>
    <w:bookmarkEnd w:id="0"/>
    <w:p w14:paraId="5483CC0D" w14:textId="77777777" w:rsidR="00154DFA" w:rsidRPr="00603D23" w:rsidRDefault="00154DFA">
      <w:pPr>
        <w:rPr>
          <w:rFonts w:ascii="Arial" w:hAnsi="Arial" w:cs="Arial"/>
          <w:color w:val="1C2D3D"/>
          <w:sz w:val="24"/>
          <w:szCs w:val="24"/>
          <w:shd w:val="clear" w:color="auto" w:fill="FFFFFF"/>
        </w:rPr>
      </w:pPr>
    </w:p>
    <w:p w14:paraId="10F1230B" w14:textId="7FB84A06" w:rsidR="00BD08A5" w:rsidRPr="00603D23" w:rsidRDefault="006A407A" w:rsidP="00E73F09">
      <w:pPr>
        <w:spacing w:after="0" w:line="240" w:lineRule="auto"/>
        <w:rPr>
          <w:rFonts w:ascii="Arial" w:hAnsi="Arial" w:cs="Arial"/>
          <w:sz w:val="24"/>
          <w:szCs w:val="24"/>
        </w:rPr>
      </w:pPr>
      <w:proofErr w:type="spellStart"/>
      <w:r w:rsidRPr="00603D23">
        <w:rPr>
          <w:rFonts w:ascii="Arial" w:hAnsi="Arial" w:cs="Arial"/>
          <w:sz w:val="24"/>
          <w:szCs w:val="24"/>
        </w:rPr>
        <w:t>Lawsociety</w:t>
      </w:r>
      <w:proofErr w:type="spellEnd"/>
      <w:r w:rsidR="00E62598" w:rsidRPr="00603D23">
        <w:rPr>
          <w:rFonts w:ascii="Arial" w:hAnsi="Arial" w:cs="Arial"/>
          <w:sz w:val="24"/>
          <w:szCs w:val="24"/>
        </w:rPr>
        <w:t xml:space="preserve"> (2022</w:t>
      </w:r>
      <w:r w:rsidR="00B3086C" w:rsidRPr="00603D23">
        <w:rPr>
          <w:rFonts w:ascii="Arial" w:hAnsi="Arial" w:cs="Arial"/>
          <w:sz w:val="24"/>
          <w:szCs w:val="24"/>
        </w:rPr>
        <w:t>a</w:t>
      </w:r>
      <w:r w:rsidR="00E62598" w:rsidRPr="00603D23">
        <w:rPr>
          <w:rFonts w:ascii="Arial" w:hAnsi="Arial" w:cs="Arial"/>
          <w:sz w:val="24"/>
          <w:szCs w:val="24"/>
        </w:rPr>
        <w:t xml:space="preserve">) – </w:t>
      </w:r>
      <w:r w:rsidR="003225F7" w:rsidRPr="00603D23">
        <w:rPr>
          <w:rFonts w:ascii="Arial" w:hAnsi="Arial" w:cs="Arial"/>
          <w:i/>
          <w:iCs/>
          <w:sz w:val="24"/>
          <w:szCs w:val="24"/>
        </w:rPr>
        <w:t>personal-injury-</w:t>
      </w:r>
      <w:proofErr w:type="spellStart"/>
      <w:r w:rsidR="003225F7" w:rsidRPr="00603D23">
        <w:rPr>
          <w:rFonts w:ascii="Arial" w:hAnsi="Arial" w:cs="Arial"/>
          <w:i/>
          <w:iCs/>
          <w:sz w:val="24"/>
          <w:szCs w:val="24"/>
        </w:rPr>
        <w:t>whats</w:t>
      </w:r>
      <w:proofErr w:type="spellEnd"/>
      <w:r w:rsidR="003225F7" w:rsidRPr="00603D23">
        <w:rPr>
          <w:rFonts w:ascii="Arial" w:hAnsi="Arial" w:cs="Arial"/>
          <w:i/>
          <w:iCs/>
          <w:sz w:val="24"/>
          <w:szCs w:val="24"/>
        </w:rPr>
        <w:t>-changing</w:t>
      </w:r>
      <w:r w:rsidR="003225F7" w:rsidRPr="00603D23">
        <w:rPr>
          <w:rFonts w:ascii="Arial" w:hAnsi="Arial" w:cs="Arial"/>
          <w:sz w:val="24"/>
          <w:szCs w:val="24"/>
        </w:rPr>
        <w:t xml:space="preserve"> - </w:t>
      </w:r>
      <w:r w:rsidR="00E62598" w:rsidRPr="00603D23">
        <w:rPr>
          <w:rFonts w:ascii="Arial" w:hAnsi="Arial" w:cs="Arial"/>
          <w:sz w:val="24"/>
          <w:szCs w:val="24"/>
        </w:rPr>
        <w:t xml:space="preserve">available at: </w:t>
      </w:r>
      <w:r w:rsidRPr="00603D23">
        <w:rPr>
          <w:rFonts w:ascii="Arial" w:hAnsi="Arial" w:cs="Arial"/>
          <w:sz w:val="24"/>
          <w:szCs w:val="24"/>
        </w:rPr>
        <w:t xml:space="preserve"> </w:t>
      </w:r>
      <w:hyperlink r:id="rId12" w:history="1">
        <w:r w:rsidR="00E62598" w:rsidRPr="00603D23">
          <w:rPr>
            <w:rStyle w:val="Hyperlink"/>
            <w:rFonts w:ascii="Arial" w:hAnsi="Arial" w:cs="Arial"/>
            <w:sz w:val="24"/>
            <w:szCs w:val="24"/>
          </w:rPr>
          <w:t>https://www.lawsociety.org.uk/topics/civil-litigation/personal-injury-whats-changing</w:t>
        </w:r>
      </w:hyperlink>
    </w:p>
    <w:p w14:paraId="1CD1F82F" w14:textId="3005944D" w:rsidR="00C254C5" w:rsidRPr="00603D23" w:rsidRDefault="00E73F09" w:rsidP="00E73F09">
      <w:pPr>
        <w:spacing w:after="0" w:line="240" w:lineRule="auto"/>
        <w:rPr>
          <w:rFonts w:ascii="Arial" w:hAnsi="Arial" w:cs="Arial"/>
          <w:sz w:val="24"/>
          <w:szCs w:val="24"/>
        </w:rPr>
      </w:pPr>
      <w:r w:rsidRPr="00603D23">
        <w:rPr>
          <w:rFonts w:ascii="Arial" w:hAnsi="Arial" w:cs="Arial"/>
          <w:sz w:val="24"/>
          <w:szCs w:val="24"/>
        </w:rPr>
        <w:t>(</w:t>
      </w:r>
      <w:r w:rsidR="00C254C5" w:rsidRPr="00603D23">
        <w:rPr>
          <w:rFonts w:ascii="Arial" w:hAnsi="Arial" w:cs="Arial"/>
          <w:sz w:val="24"/>
          <w:szCs w:val="24"/>
        </w:rPr>
        <w:t>Accessed</w:t>
      </w:r>
      <w:r w:rsidRPr="00603D23">
        <w:rPr>
          <w:rFonts w:ascii="Arial" w:hAnsi="Arial" w:cs="Arial"/>
          <w:sz w:val="24"/>
          <w:szCs w:val="24"/>
        </w:rPr>
        <w:t>: 8</w:t>
      </w:r>
      <w:r w:rsidRPr="00603D23">
        <w:rPr>
          <w:rFonts w:ascii="Arial" w:hAnsi="Arial" w:cs="Arial"/>
          <w:sz w:val="24"/>
          <w:szCs w:val="24"/>
          <w:vertAlign w:val="superscript"/>
        </w:rPr>
        <w:t>th</w:t>
      </w:r>
      <w:r w:rsidRPr="00603D23">
        <w:rPr>
          <w:rFonts w:ascii="Arial" w:hAnsi="Arial" w:cs="Arial"/>
          <w:sz w:val="24"/>
          <w:szCs w:val="24"/>
        </w:rPr>
        <w:t xml:space="preserve"> Nov 2022) </w:t>
      </w:r>
    </w:p>
    <w:p w14:paraId="089AB5B0" w14:textId="77777777" w:rsidR="006F254D" w:rsidRPr="00603D23" w:rsidRDefault="006F254D" w:rsidP="0048310D">
      <w:pPr>
        <w:spacing w:after="0" w:line="240" w:lineRule="auto"/>
        <w:rPr>
          <w:rFonts w:ascii="Arial" w:hAnsi="Arial" w:cs="Arial"/>
          <w:sz w:val="24"/>
          <w:szCs w:val="24"/>
        </w:rPr>
      </w:pPr>
    </w:p>
    <w:p w14:paraId="2494BAB0" w14:textId="1191273B" w:rsidR="0048310D" w:rsidRPr="00603D23" w:rsidRDefault="0048310D" w:rsidP="0048310D">
      <w:pPr>
        <w:spacing w:after="0" w:line="240" w:lineRule="auto"/>
        <w:rPr>
          <w:rFonts w:ascii="Arial" w:hAnsi="Arial" w:cs="Arial"/>
          <w:sz w:val="24"/>
          <w:szCs w:val="24"/>
        </w:rPr>
      </w:pPr>
      <w:proofErr w:type="spellStart"/>
      <w:r w:rsidRPr="00603D23">
        <w:rPr>
          <w:rFonts w:ascii="Arial" w:hAnsi="Arial" w:cs="Arial"/>
          <w:sz w:val="24"/>
          <w:szCs w:val="24"/>
        </w:rPr>
        <w:t>Lawsociety</w:t>
      </w:r>
      <w:proofErr w:type="spellEnd"/>
      <w:r w:rsidRPr="00603D23">
        <w:rPr>
          <w:rFonts w:ascii="Arial" w:hAnsi="Arial" w:cs="Arial"/>
          <w:sz w:val="24"/>
          <w:szCs w:val="24"/>
        </w:rPr>
        <w:t xml:space="preserve"> (2022</w:t>
      </w:r>
      <w:r w:rsidR="00B3086C" w:rsidRPr="00603D23">
        <w:rPr>
          <w:rFonts w:ascii="Arial" w:hAnsi="Arial" w:cs="Arial"/>
          <w:sz w:val="24"/>
          <w:szCs w:val="24"/>
        </w:rPr>
        <w:t>b</w:t>
      </w:r>
      <w:r w:rsidRPr="00603D23">
        <w:rPr>
          <w:rFonts w:ascii="Arial" w:hAnsi="Arial" w:cs="Arial"/>
          <w:sz w:val="24"/>
          <w:szCs w:val="24"/>
        </w:rPr>
        <w:t xml:space="preserve">) – </w:t>
      </w:r>
      <w:r w:rsidR="00B3086C" w:rsidRPr="00603D23">
        <w:rPr>
          <w:rFonts w:ascii="Arial" w:hAnsi="Arial" w:cs="Arial"/>
          <w:i/>
          <w:iCs/>
          <w:sz w:val="24"/>
          <w:szCs w:val="24"/>
        </w:rPr>
        <w:t xml:space="preserve">LASPO Act </w:t>
      </w:r>
      <w:r w:rsidRPr="00603D23">
        <w:rPr>
          <w:rFonts w:ascii="Arial" w:hAnsi="Arial" w:cs="Arial"/>
          <w:sz w:val="24"/>
          <w:szCs w:val="24"/>
        </w:rPr>
        <w:t xml:space="preserve">- available at:  </w:t>
      </w:r>
      <w:hyperlink r:id="rId13" w:history="1">
        <w:r w:rsidRPr="00603D23">
          <w:rPr>
            <w:rStyle w:val="Hyperlink"/>
            <w:rFonts w:ascii="Arial" w:hAnsi="Arial" w:cs="Arial"/>
            <w:sz w:val="24"/>
            <w:szCs w:val="24"/>
          </w:rPr>
          <w:t>https://www.lawsociety.org.uk/topics/civil-litigation/personal-injury-whats-changing</w:t>
        </w:r>
      </w:hyperlink>
    </w:p>
    <w:p w14:paraId="78CAC268" w14:textId="77777777" w:rsidR="0048310D" w:rsidRPr="00603D23" w:rsidRDefault="0048310D" w:rsidP="0048310D">
      <w:pPr>
        <w:spacing w:after="0" w:line="240" w:lineRule="auto"/>
        <w:rPr>
          <w:rFonts w:ascii="Arial" w:hAnsi="Arial" w:cs="Arial"/>
          <w:sz w:val="24"/>
          <w:szCs w:val="24"/>
        </w:rPr>
      </w:pPr>
      <w:r w:rsidRPr="00603D23">
        <w:rPr>
          <w:rFonts w:ascii="Arial" w:hAnsi="Arial" w:cs="Arial"/>
          <w:sz w:val="24"/>
          <w:szCs w:val="24"/>
        </w:rPr>
        <w:t>(Accessed: 8</w:t>
      </w:r>
      <w:r w:rsidRPr="00603D23">
        <w:rPr>
          <w:rFonts w:ascii="Arial" w:hAnsi="Arial" w:cs="Arial"/>
          <w:sz w:val="24"/>
          <w:szCs w:val="24"/>
          <w:vertAlign w:val="superscript"/>
        </w:rPr>
        <w:t>th</w:t>
      </w:r>
      <w:r w:rsidRPr="00603D23">
        <w:rPr>
          <w:rFonts w:ascii="Arial" w:hAnsi="Arial" w:cs="Arial"/>
          <w:sz w:val="24"/>
          <w:szCs w:val="24"/>
        </w:rPr>
        <w:t xml:space="preserve"> Nov 2022) </w:t>
      </w:r>
    </w:p>
    <w:p w14:paraId="333F75BE" w14:textId="15911322" w:rsidR="0048310D" w:rsidRPr="00603D23" w:rsidRDefault="0048310D">
      <w:pPr>
        <w:rPr>
          <w:rFonts w:ascii="Arial" w:hAnsi="Arial" w:cs="Arial"/>
          <w:sz w:val="24"/>
          <w:szCs w:val="24"/>
        </w:rPr>
      </w:pPr>
    </w:p>
    <w:p w14:paraId="3C82823F" w14:textId="64FA6BDA" w:rsidR="00C254C5" w:rsidRPr="00603D23" w:rsidRDefault="00D26565" w:rsidP="00B06F8E">
      <w:pPr>
        <w:spacing w:after="0" w:line="240" w:lineRule="auto"/>
        <w:rPr>
          <w:rFonts w:ascii="Arial" w:hAnsi="Arial" w:cs="Arial"/>
          <w:sz w:val="24"/>
          <w:szCs w:val="24"/>
        </w:rPr>
      </w:pPr>
      <w:r w:rsidRPr="00603D23">
        <w:rPr>
          <w:rFonts w:ascii="Arial" w:hAnsi="Arial" w:cs="Arial"/>
          <w:sz w:val="24"/>
          <w:szCs w:val="24"/>
        </w:rPr>
        <w:t xml:space="preserve">Legisaltion.gov.uk (2021) – </w:t>
      </w:r>
      <w:r w:rsidR="001C175D" w:rsidRPr="00603D23">
        <w:rPr>
          <w:rFonts w:ascii="Arial" w:hAnsi="Arial" w:cs="Arial"/>
          <w:i/>
          <w:iCs/>
          <w:sz w:val="24"/>
          <w:szCs w:val="24"/>
        </w:rPr>
        <w:t>The Whiplash Regulations 2021</w:t>
      </w:r>
      <w:r w:rsidR="001C175D" w:rsidRPr="00603D23">
        <w:rPr>
          <w:rFonts w:ascii="Arial" w:hAnsi="Arial" w:cs="Arial"/>
          <w:sz w:val="24"/>
          <w:szCs w:val="24"/>
        </w:rPr>
        <w:t xml:space="preserve"> - </w:t>
      </w:r>
      <w:r w:rsidRPr="00603D23">
        <w:rPr>
          <w:rFonts w:ascii="Arial" w:hAnsi="Arial" w:cs="Arial"/>
          <w:sz w:val="24"/>
          <w:szCs w:val="24"/>
        </w:rPr>
        <w:t xml:space="preserve">available at: </w:t>
      </w:r>
    </w:p>
    <w:p w14:paraId="6B328A0D" w14:textId="3DA3416C" w:rsidR="00655A46" w:rsidRPr="00603D23" w:rsidRDefault="00874550" w:rsidP="00B06F8E">
      <w:pPr>
        <w:spacing w:after="0" w:line="240" w:lineRule="auto"/>
        <w:rPr>
          <w:rFonts w:ascii="Arial" w:hAnsi="Arial" w:cs="Arial"/>
          <w:sz w:val="24"/>
          <w:szCs w:val="24"/>
        </w:rPr>
      </w:pPr>
      <w:hyperlink r:id="rId14" w:history="1">
        <w:r w:rsidR="007062D8" w:rsidRPr="00603D23">
          <w:rPr>
            <w:rStyle w:val="Hyperlink"/>
            <w:rFonts w:ascii="Arial" w:hAnsi="Arial" w:cs="Arial"/>
            <w:sz w:val="24"/>
            <w:szCs w:val="24"/>
          </w:rPr>
          <w:t>https://www.legislation.gov.uk/ukdsi/2021/9780348220612/pdfs/ukdsi_9780348220612_en.pdf</w:t>
        </w:r>
      </w:hyperlink>
    </w:p>
    <w:p w14:paraId="2A8A70C6" w14:textId="34A8E812" w:rsidR="008447F4" w:rsidRPr="00603D23" w:rsidRDefault="00B06F8E" w:rsidP="005E5D90">
      <w:pPr>
        <w:spacing w:after="0" w:line="240" w:lineRule="auto"/>
        <w:rPr>
          <w:rFonts w:ascii="Arial" w:hAnsi="Arial" w:cs="Arial"/>
          <w:sz w:val="24"/>
          <w:szCs w:val="24"/>
        </w:rPr>
      </w:pPr>
      <w:r w:rsidRPr="00603D23">
        <w:rPr>
          <w:rFonts w:ascii="Arial" w:hAnsi="Arial" w:cs="Arial"/>
          <w:sz w:val="24"/>
          <w:szCs w:val="24"/>
        </w:rPr>
        <w:t>(Accessed: 26</w:t>
      </w:r>
      <w:r w:rsidRPr="00603D23">
        <w:rPr>
          <w:rFonts w:ascii="Arial" w:hAnsi="Arial" w:cs="Arial"/>
          <w:sz w:val="24"/>
          <w:szCs w:val="24"/>
          <w:vertAlign w:val="superscript"/>
        </w:rPr>
        <w:t>th</w:t>
      </w:r>
      <w:r w:rsidRPr="00603D23">
        <w:rPr>
          <w:rFonts w:ascii="Arial" w:hAnsi="Arial" w:cs="Arial"/>
          <w:sz w:val="24"/>
          <w:szCs w:val="24"/>
        </w:rPr>
        <w:t xml:space="preserve"> Oct 2022)</w:t>
      </w:r>
    </w:p>
    <w:p w14:paraId="5B235DD4" w14:textId="77777777" w:rsidR="009E0FEA" w:rsidRPr="00603D23" w:rsidRDefault="009E0FEA">
      <w:pPr>
        <w:rPr>
          <w:rFonts w:ascii="Arial" w:hAnsi="Arial" w:cs="Arial"/>
          <w:sz w:val="24"/>
          <w:szCs w:val="24"/>
        </w:rPr>
      </w:pPr>
    </w:p>
    <w:p w14:paraId="669362A3" w14:textId="6C07682C" w:rsidR="00171D34" w:rsidRPr="00603D23" w:rsidRDefault="00171D34">
      <w:pPr>
        <w:rPr>
          <w:rFonts w:ascii="Arial" w:hAnsi="Arial" w:cs="Arial"/>
          <w:sz w:val="24"/>
          <w:szCs w:val="24"/>
        </w:rPr>
      </w:pPr>
      <w:r w:rsidRPr="00603D23">
        <w:rPr>
          <w:rFonts w:ascii="Arial" w:hAnsi="Arial" w:cs="Arial"/>
          <w:sz w:val="24"/>
          <w:szCs w:val="24"/>
        </w:rPr>
        <w:t>Loughlin, P. and Gerlis, S. (2004</w:t>
      </w:r>
      <w:r w:rsidR="00BE2D66" w:rsidRPr="00603D23">
        <w:rPr>
          <w:rFonts w:ascii="Arial" w:hAnsi="Arial" w:cs="Arial"/>
          <w:sz w:val="24"/>
          <w:szCs w:val="24"/>
        </w:rPr>
        <w:t>a</w:t>
      </w:r>
      <w:r w:rsidRPr="00603D23">
        <w:rPr>
          <w:rFonts w:ascii="Arial" w:hAnsi="Arial" w:cs="Arial"/>
          <w:sz w:val="24"/>
          <w:szCs w:val="24"/>
        </w:rPr>
        <w:t xml:space="preserve">) </w:t>
      </w:r>
      <w:r w:rsidR="00E42AEA" w:rsidRPr="00603D23">
        <w:rPr>
          <w:rFonts w:ascii="Arial" w:hAnsi="Arial" w:cs="Arial"/>
          <w:sz w:val="24"/>
          <w:szCs w:val="24"/>
        </w:rPr>
        <w:t>–</w:t>
      </w:r>
      <w:r w:rsidRPr="00603D23">
        <w:rPr>
          <w:rFonts w:ascii="Arial" w:hAnsi="Arial" w:cs="Arial"/>
          <w:sz w:val="24"/>
          <w:szCs w:val="24"/>
        </w:rPr>
        <w:t xml:space="preserve"> </w:t>
      </w:r>
      <w:r w:rsidR="00E42AEA" w:rsidRPr="00603D23">
        <w:rPr>
          <w:rFonts w:ascii="Arial" w:hAnsi="Arial" w:cs="Arial"/>
          <w:i/>
          <w:iCs/>
          <w:sz w:val="24"/>
          <w:szCs w:val="24"/>
        </w:rPr>
        <w:t>Civil Procedure</w:t>
      </w:r>
      <w:r w:rsidR="00E42AEA" w:rsidRPr="00603D23">
        <w:rPr>
          <w:rFonts w:ascii="Arial" w:hAnsi="Arial" w:cs="Arial"/>
          <w:sz w:val="24"/>
          <w:szCs w:val="24"/>
        </w:rPr>
        <w:t xml:space="preserve"> – London: Routledge-Cavendish </w:t>
      </w:r>
    </w:p>
    <w:p w14:paraId="0BA111B5" w14:textId="1D415955" w:rsidR="00A3255D" w:rsidRPr="00603D23" w:rsidRDefault="00A3255D" w:rsidP="00A3255D">
      <w:pPr>
        <w:rPr>
          <w:rFonts w:ascii="Arial" w:hAnsi="Arial" w:cs="Arial"/>
          <w:sz w:val="24"/>
          <w:szCs w:val="24"/>
        </w:rPr>
      </w:pPr>
      <w:r w:rsidRPr="00603D23">
        <w:rPr>
          <w:rFonts w:ascii="Arial" w:hAnsi="Arial" w:cs="Arial"/>
          <w:sz w:val="24"/>
          <w:szCs w:val="24"/>
        </w:rPr>
        <w:t xml:space="preserve">Loughlin, P. and Gerlis, S. (2004b) – </w:t>
      </w:r>
      <w:r w:rsidRPr="00603D23">
        <w:rPr>
          <w:rFonts w:ascii="Arial" w:hAnsi="Arial" w:cs="Arial"/>
          <w:i/>
          <w:iCs/>
          <w:sz w:val="24"/>
          <w:szCs w:val="24"/>
        </w:rPr>
        <w:t>Civil Procedure</w:t>
      </w:r>
      <w:r w:rsidRPr="00603D23">
        <w:rPr>
          <w:rFonts w:ascii="Arial" w:hAnsi="Arial" w:cs="Arial"/>
          <w:sz w:val="24"/>
          <w:szCs w:val="24"/>
        </w:rPr>
        <w:t xml:space="preserve"> – London: Routledge-Cavendish </w:t>
      </w:r>
    </w:p>
    <w:p w14:paraId="3238DDB5" w14:textId="77777777" w:rsidR="006F254D" w:rsidRPr="00603D23" w:rsidRDefault="006F254D" w:rsidP="006F254D">
      <w:pPr>
        <w:spacing w:after="0" w:line="240" w:lineRule="auto"/>
        <w:rPr>
          <w:rFonts w:ascii="Arial" w:hAnsi="Arial" w:cs="Arial"/>
          <w:sz w:val="24"/>
          <w:szCs w:val="24"/>
        </w:rPr>
      </w:pPr>
      <w:r w:rsidRPr="00603D23">
        <w:rPr>
          <w:rFonts w:ascii="Arial" w:hAnsi="Arial" w:cs="Arial"/>
          <w:sz w:val="24"/>
          <w:szCs w:val="24"/>
        </w:rPr>
        <w:t xml:space="preserve">Official Injury Claim (2021) - Make a personal injury claim – available at: </w:t>
      </w:r>
      <w:hyperlink r:id="rId15" w:history="1">
        <w:r w:rsidRPr="00603D23">
          <w:rPr>
            <w:rStyle w:val="Hyperlink"/>
            <w:rFonts w:ascii="Arial" w:hAnsi="Arial" w:cs="Arial"/>
            <w:sz w:val="24"/>
            <w:szCs w:val="24"/>
          </w:rPr>
          <w:t>https://www.officialinjuryclaim.org.uk/</w:t>
        </w:r>
      </w:hyperlink>
    </w:p>
    <w:p w14:paraId="4A9E2825" w14:textId="77777777" w:rsidR="006F254D" w:rsidRPr="00603D23" w:rsidRDefault="006F254D" w:rsidP="006F254D">
      <w:pPr>
        <w:spacing w:after="0" w:line="240" w:lineRule="auto"/>
        <w:rPr>
          <w:rFonts w:ascii="Arial" w:hAnsi="Arial" w:cs="Arial"/>
          <w:sz w:val="24"/>
          <w:szCs w:val="24"/>
        </w:rPr>
      </w:pPr>
      <w:r w:rsidRPr="00603D23">
        <w:rPr>
          <w:rFonts w:ascii="Arial" w:hAnsi="Arial" w:cs="Arial"/>
          <w:sz w:val="24"/>
          <w:szCs w:val="24"/>
        </w:rPr>
        <w:t>(Accessed: 30</w:t>
      </w:r>
      <w:r w:rsidRPr="00603D23">
        <w:rPr>
          <w:rFonts w:ascii="Arial" w:hAnsi="Arial" w:cs="Arial"/>
          <w:sz w:val="24"/>
          <w:szCs w:val="24"/>
          <w:vertAlign w:val="superscript"/>
        </w:rPr>
        <w:t>th</w:t>
      </w:r>
      <w:r w:rsidRPr="00603D23">
        <w:rPr>
          <w:rFonts w:ascii="Arial" w:hAnsi="Arial" w:cs="Arial"/>
          <w:sz w:val="24"/>
          <w:szCs w:val="24"/>
        </w:rPr>
        <w:t xml:space="preserve"> Oct 2022) </w:t>
      </w:r>
    </w:p>
    <w:p w14:paraId="27FEE5D3" w14:textId="78C3A9CA" w:rsidR="009E0FEA" w:rsidRPr="00603D23" w:rsidRDefault="009E0FEA">
      <w:pPr>
        <w:rPr>
          <w:rFonts w:ascii="Arial" w:hAnsi="Arial" w:cs="Arial"/>
          <w:sz w:val="24"/>
          <w:szCs w:val="24"/>
        </w:rPr>
      </w:pPr>
    </w:p>
    <w:p w14:paraId="3FB24E84" w14:textId="668E5AC1" w:rsidR="009E0FEA" w:rsidRPr="00603D23" w:rsidRDefault="009E0FEA" w:rsidP="009E0FEA">
      <w:pPr>
        <w:spacing w:after="0" w:line="240" w:lineRule="auto"/>
        <w:rPr>
          <w:rFonts w:ascii="Arial" w:hAnsi="Arial" w:cs="Arial"/>
          <w:sz w:val="24"/>
          <w:szCs w:val="24"/>
        </w:rPr>
      </w:pPr>
    </w:p>
    <w:p w14:paraId="7E3C90AD" w14:textId="73310CD8" w:rsidR="005D06C6" w:rsidRPr="00603D23" w:rsidRDefault="005D06C6" w:rsidP="005D06C6">
      <w:pPr>
        <w:rPr>
          <w:rFonts w:ascii="Arial" w:hAnsi="Arial" w:cs="Arial"/>
          <w:sz w:val="24"/>
          <w:szCs w:val="24"/>
        </w:rPr>
      </w:pPr>
      <w:r w:rsidRPr="00603D23">
        <w:rPr>
          <w:rStyle w:val="Emphasis"/>
          <w:rFonts w:ascii="Arial" w:hAnsi="Arial" w:cs="Arial"/>
          <w:i w:val="0"/>
          <w:iCs w:val="0"/>
          <w:sz w:val="24"/>
          <w:szCs w:val="24"/>
        </w:rPr>
        <w:t>Barton v Wright Hassall [2018]</w:t>
      </w:r>
    </w:p>
    <w:p w14:paraId="367AFB9D" w14:textId="77777777" w:rsidR="009E0FEA" w:rsidRPr="00603D23" w:rsidRDefault="009E0FEA" w:rsidP="009E0FEA">
      <w:pPr>
        <w:rPr>
          <w:rFonts w:ascii="Arial" w:hAnsi="Arial" w:cs="Arial"/>
          <w:sz w:val="24"/>
          <w:szCs w:val="24"/>
        </w:rPr>
      </w:pPr>
      <w:r w:rsidRPr="00603D23">
        <w:rPr>
          <w:rFonts w:ascii="Arial" w:hAnsi="Arial" w:cs="Arial"/>
          <w:sz w:val="24"/>
          <w:szCs w:val="24"/>
        </w:rPr>
        <w:t xml:space="preserve">Carlson v Townsend [2001] EWCA </w:t>
      </w:r>
      <w:proofErr w:type="spellStart"/>
      <w:r w:rsidRPr="00603D23">
        <w:rPr>
          <w:rFonts w:ascii="Arial" w:hAnsi="Arial" w:cs="Arial"/>
          <w:sz w:val="24"/>
          <w:szCs w:val="24"/>
        </w:rPr>
        <w:t>Civ</w:t>
      </w:r>
      <w:proofErr w:type="spellEnd"/>
      <w:r w:rsidRPr="00603D23">
        <w:rPr>
          <w:rFonts w:ascii="Arial" w:hAnsi="Arial" w:cs="Arial"/>
          <w:sz w:val="24"/>
          <w:szCs w:val="24"/>
        </w:rPr>
        <w:t xml:space="preserve"> 511</w:t>
      </w:r>
    </w:p>
    <w:p w14:paraId="667F2BD8" w14:textId="77777777" w:rsidR="006F254D" w:rsidRPr="0011696A" w:rsidRDefault="006F254D" w:rsidP="006F254D">
      <w:pPr>
        <w:rPr>
          <w:rFonts w:ascii="Arial" w:hAnsi="Arial" w:cs="Arial"/>
          <w:color w:val="1C2D3D"/>
          <w:sz w:val="24"/>
          <w:szCs w:val="24"/>
          <w:shd w:val="clear" w:color="auto" w:fill="FFFFFF"/>
        </w:rPr>
      </w:pPr>
      <w:r w:rsidRPr="00603D23">
        <w:rPr>
          <w:rFonts w:ascii="Arial" w:hAnsi="Arial" w:cs="Arial"/>
          <w:sz w:val="24"/>
          <w:szCs w:val="24"/>
        </w:rPr>
        <w:t xml:space="preserve">Edwards-Tubb v J D Wetherspoon plc [2011] EWCA </w:t>
      </w:r>
      <w:proofErr w:type="spellStart"/>
      <w:r w:rsidRPr="00603D23">
        <w:rPr>
          <w:rFonts w:ascii="Arial" w:hAnsi="Arial" w:cs="Arial"/>
          <w:sz w:val="24"/>
          <w:szCs w:val="24"/>
        </w:rPr>
        <w:t>Civ</w:t>
      </w:r>
      <w:proofErr w:type="spellEnd"/>
      <w:r w:rsidRPr="00603D23">
        <w:rPr>
          <w:rFonts w:ascii="Arial" w:hAnsi="Arial" w:cs="Arial"/>
          <w:sz w:val="24"/>
          <w:szCs w:val="24"/>
        </w:rPr>
        <w:t xml:space="preserve"> 136</w:t>
      </w:r>
    </w:p>
    <w:p w14:paraId="1AFC9224" w14:textId="77777777" w:rsidR="006F254D" w:rsidRDefault="006F254D" w:rsidP="001D0788">
      <w:pPr>
        <w:rPr>
          <w:b/>
          <w:bCs/>
        </w:rPr>
      </w:pPr>
    </w:p>
    <w:p w14:paraId="055597EF" w14:textId="77777777" w:rsidR="009E0FEA" w:rsidRPr="00D742D1" w:rsidRDefault="009E0FEA"/>
    <w:sectPr w:rsidR="009E0FEA" w:rsidRPr="00D742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3B0945"/>
    <w:multiLevelType w:val="hybridMultilevel"/>
    <w:tmpl w:val="9CC48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54036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E1E"/>
    <w:rsid w:val="00010E1C"/>
    <w:rsid w:val="000319F8"/>
    <w:rsid w:val="00034DCB"/>
    <w:rsid w:val="00045360"/>
    <w:rsid w:val="00045B96"/>
    <w:rsid w:val="0005173A"/>
    <w:rsid w:val="00055BBE"/>
    <w:rsid w:val="00066407"/>
    <w:rsid w:val="0008239E"/>
    <w:rsid w:val="000B3B34"/>
    <w:rsid w:val="000D035B"/>
    <w:rsid w:val="000F2C7E"/>
    <w:rsid w:val="001026EF"/>
    <w:rsid w:val="00111DBE"/>
    <w:rsid w:val="0011696A"/>
    <w:rsid w:val="00130D17"/>
    <w:rsid w:val="00134BF6"/>
    <w:rsid w:val="00136845"/>
    <w:rsid w:val="00145B1F"/>
    <w:rsid w:val="001521B0"/>
    <w:rsid w:val="00154DFA"/>
    <w:rsid w:val="00171D34"/>
    <w:rsid w:val="001739EE"/>
    <w:rsid w:val="001758BA"/>
    <w:rsid w:val="00180763"/>
    <w:rsid w:val="001844D6"/>
    <w:rsid w:val="001914ED"/>
    <w:rsid w:val="00191704"/>
    <w:rsid w:val="00195E1E"/>
    <w:rsid w:val="00197041"/>
    <w:rsid w:val="001A14B6"/>
    <w:rsid w:val="001C05EF"/>
    <w:rsid w:val="001C0EBE"/>
    <w:rsid w:val="001C175D"/>
    <w:rsid w:val="001D0788"/>
    <w:rsid w:val="001F070C"/>
    <w:rsid w:val="00204E8A"/>
    <w:rsid w:val="00233840"/>
    <w:rsid w:val="00263D64"/>
    <w:rsid w:val="00272041"/>
    <w:rsid w:val="0027596A"/>
    <w:rsid w:val="00291A32"/>
    <w:rsid w:val="00292FAA"/>
    <w:rsid w:val="002B71FF"/>
    <w:rsid w:val="002C377F"/>
    <w:rsid w:val="002C7FF8"/>
    <w:rsid w:val="00304DDF"/>
    <w:rsid w:val="0031059A"/>
    <w:rsid w:val="00316278"/>
    <w:rsid w:val="003206DD"/>
    <w:rsid w:val="00321F98"/>
    <w:rsid w:val="003225F7"/>
    <w:rsid w:val="00322D08"/>
    <w:rsid w:val="0033174D"/>
    <w:rsid w:val="00362326"/>
    <w:rsid w:val="00370FE7"/>
    <w:rsid w:val="0037542D"/>
    <w:rsid w:val="00384774"/>
    <w:rsid w:val="00386023"/>
    <w:rsid w:val="003937F5"/>
    <w:rsid w:val="00393B6E"/>
    <w:rsid w:val="003A3003"/>
    <w:rsid w:val="003B195B"/>
    <w:rsid w:val="003B5C4D"/>
    <w:rsid w:val="003D5405"/>
    <w:rsid w:val="003F446D"/>
    <w:rsid w:val="003F74C0"/>
    <w:rsid w:val="004002BC"/>
    <w:rsid w:val="00404777"/>
    <w:rsid w:val="00417790"/>
    <w:rsid w:val="00431F05"/>
    <w:rsid w:val="00444013"/>
    <w:rsid w:val="00444FDA"/>
    <w:rsid w:val="0045293E"/>
    <w:rsid w:val="00455E87"/>
    <w:rsid w:val="004560AB"/>
    <w:rsid w:val="00462181"/>
    <w:rsid w:val="004672A3"/>
    <w:rsid w:val="0048310D"/>
    <w:rsid w:val="00491CA1"/>
    <w:rsid w:val="00492AA8"/>
    <w:rsid w:val="00493164"/>
    <w:rsid w:val="00494696"/>
    <w:rsid w:val="004A5E1E"/>
    <w:rsid w:val="004C2040"/>
    <w:rsid w:val="004C506A"/>
    <w:rsid w:val="004D13A6"/>
    <w:rsid w:val="00512E6D"/>
    <w:rsid w:val="005240F6"/>
    <w:rsid w:val="0054303F"/>
    <w:rsid w:val="00556564"/>
    <w:rsid w:val="00583FF6"/>
    <w:rsid w:val="00590497"/>
    <w:rsid w:val="005A19FC"/>
    <w:rsid w:val="005D06C6"/>
    <w:rsid w:val="005D106C"/>
    <w:rsid w:val="005D7844"/>
    <w:rsid w:val="005E5D90"/>
    <w:rsid w:val="005F4B1E"/>
    <w:rsid w:val="005F7F50"/>
    <w:rsid w:val="00601497"/>
    <w:rsid w:val="006019FA"/>
    <w:rsid w:val="00603D23"/>
    <w:rsid w:val="00610513"/>
    <w:rsid w:val="00623EC8"/>
    <w:rsid w:val="00630F7D"/>
    <w:rsid w:val="00632E76"/>
    <w:rsid w:val="00644A3E"/>
    <w:rsid w:val="006503CE"/>
    <w:rsid w:val="00655A46"/>
    <w:rsid w:val="006A407A"/>
    <w:rsid w:val="006A5CE3"/>
    <w:rsid w:val="006E103F"/>
    <w:rsid w:val="006E3BB5"/>
    <w:rsid w:val="006E455E"/>
    <w:rsid w:val="006F254D"/>
    <w:rsid w:val="00701A9D"/>
    <w:rsid w:val="007042CD"/>
    <w:rsid w:val="00705A98"/>
    <w:rsid w:val="007062D8"/>
    <w:rsid w:val="00712810"/>
    <w:rsid w:val="007177C0"/>
    <w:rsid w:val="00722436"/>
    <w:rsid w:val="00737700"/>
    <w:rsid w:val="00737929"/>
    <w:rsid w:val="0075658C"/>
    <w:rsid w:val="007622D3"/>
    <w:rsid w:val="0076328C"/>
    <w:rsid w:val="00766CF5"/>
    <w:rsid w:val="00782CB1"/>
    <w:rsid w:val="00785BEA"/>
    <w:rsid w:val="007A0B3F"/>
    <w:rsid w:val="007A4DC2"/>
    <w:rsid w:val="007C6767"/>
    <w:rsid w:val="007D416F"/>
    <w:rsid w:val="007D6803"/>
    <w:rsid w:val="007F2B48"/>
    <w:rsid w:val="008156DB"/>
    <w:rsid w:val="008165F7"/>
    <w:rsid w:val="00822408"/>
    <w:rsid w:val="00825FEB"/>
    <w:rsid w:val="008447F4"/>
    <w:rsid w:val="00857DC9"/>
    <w:rsid w:val="00864A17"/>
    <w:rsid w:val="00872B34"/>
    <w:rsid w:val="00874550"/>
    <w:rsid w:val="00874C07"/>
    <w:rsid w:val="0088041F"/>
    <w:rsid w:val="00880498"/>
    <w:rsid w:val="00891403"/>
    <w:rsid w:val="008A6ABF"/>
    <w:rsid w:val="008A7A64"/>
    <w:rsid w:val="008B1091"/>
    <w:rsid w:val="008D4894"/>
    <w:rsid w:val="008E1592"/>
    <w:rsid w:val="008F2382"/>
    <w:rsid w:val="008F7867"/>
    <w:rsid w:val="00914E44"/>
    <w:rsid w:val="00922B0C"/>
    <w:rsid w:val="00924153"/>
    <w:rsid w:val="00960D74"/>
    <w:rsid w:val="009658E1"/>
    <w:rsid w:val="00971C7E"/>
    <w:rsid w:val="00972C6E"/>
    <w:rsid w:val="009757D8"/>
    <w:rsid w:val="00987071"/>
    <w:rsid w:val="0098741C"/>
    <w:rsid w:val="009B1B2F"/>
    <w:rsid w:val="009B3832"/>
    <w:rsid w:val="009B52BE"/>
    <w:rsid w:val="009C03FE"/>
    <w:rsid w:val="009D6D4C"/>
    <w:rsid w:val="009E0FEA"/>
    <w:rsid w:val="009E1CCE"/>
    <w:rsid w:val="009E47E1"/>
    <w:rsid w:val="009F1CC0"/>
    <w:rsid w:val="009F5278"/>
    <w:rsid w:val="00A21958"/>
    <w:rsid w:val="00A24AD3"/>
    <w:rsid w:val="00A3255D"/>
    <w:rsid w:val="00A62866"/>
    <w:rsid w:val="00A63679"/>
    <w:rsid w:val="00A738E5"/>
    <w:rsid w:val="00A822E6"/>
    <w:rsid w:val="00A84EB3"/>
    <w:rsid w:val="00A8528C"/>
    <w:rsid w:val="00A9634D"/>
    <w:rsid w:val="00AA1B42"/>
    <w:rsid w:val="00AA1D7B"/>
    <w:rsid w:val="00AB50ED"/>
    <w:rsid w:val="00AC050C"/>
    <w:rsid w:val="00AC0F2A"/>
    <w:rsid w:val="00AC7A47"/>
    <w:rsid w:val="00AE2D47"/>
    <w:rsid w:val="00B06F8E"/>
    <w:rsid w:val="00B21362"/>
    <w:rsid w:val="00B24C66"/>
    <w:rsid w:val="00B25C85"/>
    <w:rsid w:val="00B3086C"/>
    <w:rsid w:val="00B34A9C"/>
    <w:rsid w:val="00B418E4"/>
    <w:rsid w:val="00B4440E"/>
    <w:rsid w:val="00B456D4"/>
    <w:rsid w:val="00B554C7"/>
    <w:rsid w:val="00B639E1"/>
    <w:rsid w:val="00B73A86"/>
    <w:rsid w:val="00BA28B8"/>
    <w:rsid w:val="00BA3ED0"/>
    <w:rsid w:val="00BB4548"/>
    <w:rsid w:val="00BB52D0"/>
    <w:rsid w:val="00BC3B25"/>
    <w:rsid w:val="00BD08A5"/>
    <w:rsid w:val="00BD49E3"/>
    <w:rsid w:val="00BE2D66"/>
    <w:rsid w:val="00C06520"/>
    <w:rsid w:val="00C254C5"/>
    <w:rsid w:val="00C27379"/>
    <w:rsid w:val="00C278FA"/>
    <w:rsid w:val="00C41E20"/>
    <w:rsid w:val="00C43961"/>
    <w:rsid w:val="00C45871"/>
    <w:rsid w:val="00C470D4"/>
    <w:rsid w:val="00C51392"/>
    <w:rsid w:val="00C67981"/>
    <w:rsid w:val="00C7552A"/>
    <w:rsid w:val="00C81B78"/>
    <w:rsid w:val="00C901A7"/>
    <w:rsid w:val="00C965B0"/>
    <w:rsid w:val="00C96804"/>
    <w:rsid w:val="00CA7355"/>
    <w:rsid w:val="00CB7B8B"/>
    <w:rsid w:val="00CE1FB4"/>
    <w:rsid w:val="00CF5342"/>
    <w:rsid w:val="00CF7EF4"/>
    <w:rsid w:val="00D05751"/>
    <w:rsid w:val="00D05C4B"/>
    <w:rsid w:val="00D26565"/>
    <w:rsid w:val="00D36BC3"/>
    <w:rsid w:val="00D43DB2"/>
    <w:rsid w:val="00D46526"/>
    <w:rsid w:val="00D47E43"/>
    <w:rsid w:val="00D628D5"/>
    <w:rsid w:val="00D71952"/>
    <w:rsid w:val="00D742D1"/>
    <w:rsid w:val="00D74D99"/>
    <w:rsid w:val="00D82711"/>
    <w:rsid w:val="00DB68DB"/>
    <w:rsid w:val="00DD3D7D"/>
    <w:rsid w:val="00DE1FAA"/>
    <w:rsid w:val="00DE40C3"/>
    <w:rsid w:val="00DF0E9A"/>
    <w:rsid w:val="00E02218"/>
    <w:rsid w:val="00E079E9"/>
    <w:rsid w:val="00E2402A"/>
    <w:rsid w:val="00E26C8C"/>
    <w:rsid w:val="00E319EB"/>
    <w:rsid w:val="00E42AEA"/>
    <w:rsid w:val="00E62598"/>
    <w:rsid w:val="00E661D4"/>
    <w:rsid w:val="00E73F09"/>
    <w:rsid w:val="00E90CCC"/>
    <w:rsid w:val="00EA060B"/>
    <w:rsid w:val="00EA2F9F"/>
    <w:rsid w:val="00EB00D9"/>
    <w:rsid w:val="00EB79CF"/>
    <w:rsid w:val="00EE1167"/>
    <w:rsid w:val="00EF0227"/>
    <w:rsid w:val="00EF6D78"/>
    <w:rsid w:val="00F01BF2"/>
    <w:rsid w:val="00F03D86"/>
    <w:rsid w:val="00F128F0"/>
    <w:rsid w:val="00F26D85"/>
    <w:rsid w:val="00F27D3F"/>
    <w:rsid w:val="00F323BF"/>
    <w:rsid w:val="00F32871"/>
    <w:rsid w:val="00F447FB"/>
    <w:rsid w:val="00F45624"/>
    <w:rsid w:val="00F529C6"/>
    <w:rsid w:val="00F604FC"/>
    <w:rsid w:val="00F7718B"/>
    <w:rsid w:val="00F960BA"/>
    <w:rsid w:val="00FA3255"/>
    <w:rsid w:val="00FB394B"/>
    <w:rsid w:val="00FB566E"/>
    <w:rsid w:val="00FB6E97"/>
    <w:rsid w:val="00FC0017"/>
    <w:rsid w:val="00FC74C5"/>
    <w:rsid w:val="00FD1035"/>
    <w:rsid w:val="00FE14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80420"/>
  <w15:chartTrackingRefBased/>
  <w15:docId w15:val="{83CAB36C-F2A6-4146-98DB-5BC19DBE0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b-25">
    <w:name w:val="mb-2.5"/>
    <w:basedOn w:val="Normal"/>
    <w:rsid w:val="001368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A28B8"/>
    <w:rPr>
      <w:color w:val="0563C1" w:themeColor="hyperlink"/>
      <w:u w:val="single"/>
    </w:rPr>
  </w:style>
  <w:style w:type="character" w:styleId="UnresolvedMention">
    <w:name w:val="Unresolved Mention"/>
    <w:basedOn w:val="DefaultParagraphFont"/>
    <w:uiPriority w:val="99"/>
    <w:semiHidden/>
    <w:unhideWhenUsed/>
    <w:rsid w:val="00BA28B8"/>
    <w:rPr>
      <w:color w:val="605E5C"/>
      <w:shd w:val="clear" w:color="auto" w:fill="E1DFDD"/>
    </w:rPr>
  </w:style>
  <w:style w:type="character" w:customStyle="1" w:styleId="issue-underline">
    <w:name w:val="issue-underline"/>
    <w:basedOn w:val="DefaultParagraphFont"/>
    <w:rsid w:val="00960D74"/>
  </w:style>
  <w:style w:type="paragraph" w:styleId="ListParagraph">
    <w:name w:val="List Paragraph"/>
    <w:basedOn w:val="Normal"/>
    <w:uiPriority w:val="34"/>
    <w:qFormat/>
    <w:rsid w:val="00045B96"/>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cpe2">
    <w:name w:val="cpe2"/>
    <w:basedOn w:val="Normal"/>
    <w:rsid w:val="00045B96"/>
    <w:pPr>
      <w:spacing w:after="0" w:line="240" w:lineRule="auto"/>
    </w:pPr>
    <w:rPr>
      <w:rFonts w:ascii="Times New Roman" w:eastAsia="Times New Roman" w:hAnsi="Times New Roman" w:cs="Times New Roman"/>
      <w:b/>
      <w:sz w:val="28"/>
      <w:szCs w:val="20"/>
      <w:lang w:eastAsia="en-GB"/>
    </w:rPr>
  </w:style>
  <w:style w:type="character" w:styleId="FollowedHyperlink">
    <w:name w:val="FollowedHyperlink"/>
    <w:basedOn w:val="DefaultParagraphFont"/>
    <w:uiPriority w:val="99"/>
    <w:semiHidden/>
    <w:unhideWhenUsed/>
    <w:rsid w:val="008447F4"/>
    <w:rPr>
      <w:color w:val="954F72" w:themeColor="followedHyperlink"/>
      <w:u w:val="single"/>
    </w:rPr>
  </w:style>
  <w:style w:type="paragraph" w:customStyle="1" w:styleId="body-paragraph">
    <w:name w:val="body-paragraph"/>
    <w:basedOn w:val="Normal"/>
    <w:rsid w:val="00171D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25C85"/>
    <w:rPr>
      <w:b/>
      <w:bCs/>
    </w:rPr>
  </w:style>
  <w:style w:type="character" w:styleId="Emphasis">
    <w:name w:val="Emphasis"/>
    <w:basedOn w:val="DefaultParagraphFont"/>
    <w:uiPriority w:val="20"/>
    <w:qFormat/>
    <w:rsid w:val="00C67981"/>
    <w:rPr>
      <w:i/>
      <w:iCs/>
    </w:rPr>
  </w:style>
  <w:style w:type="character" w:customStyle="1" w:styleId="markedcontent">
    <w:name w:val="markedcontent"/>
    <w:basedOn w:val="DefaultParagraphFont"/>
    <w:rsid w:val="001C05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52331">
      <w:bodyDiv w:val="1"/>
      <w:marLeft w:val="0"/>
      <w:marRight w:val="0"/>
      <w:marTop w:val="0"/>
      <w:marBottom w:val="0"/>
      <w:divBdr>
        <w:top w:val="none" w:sz="0" w:space="0" w:color="auto"/>
        <w:left w:val="none" w:sz="0" w:space="0" w:color="auto"/>
        <w:bottom w:val="none" w:sz="0" w:space="0" w:color="auto"/>
        <w:right w:val="none" w:sz="0" w:space="0" w:color="auto"/>
      </w:divBdr>
    </w:div>
    <w:div w:id="18895872">
      <w:bodyDiv w:val="1"/>
      <w:marLeft w:val="0"/>
      <w:marRight w:val="0"/>
      <w:marTop w:val="0"/>
      <w:marBottom w:val="0"/>
      <w:divBdr>
        <w:top w:val="none" w:sz="0" w:space="0" w:color="auto"/>
        <w:left w:val="none" w:sz="0" w:space="0" w:color="auto"/>
        <w:bottom w:val="none" w:sz="0" w:space="0" w:color="auto"/>
        <w:right w:val="none" w:sz="0" w:space="0" w:color="auto"/>
      </w:divBdr>
    </w:div>
    <w:div w:id="81925359">
      <w:bodyDiv w:val="1"/>
      <w:marLeft w:val="0"/>
      <w:marRight w:val="0"/>
      <w:marTop w:val="0"/>
      <w:marBottom w:val="0"/>
      <w:divBdr>
        <w:top w:val="none" w:sz="0" w:space="0" w:color="auto"/>
        <w:left w:val="none" w:sz="0" w:space="0" w:color="auto"/>
        <w:bottom w:val="none" w:sz="0" w:space="0" w:color="auto"/>
        <w:right w:val="none" w:sz="0" w:space="0" w:color="auto"/>
      </w:divBdr>
    </w:div>
    <w:div w:id="204341846">
      <w:bodyDiv w:val="1"/>
      <w:marLeft w:val="0"/>
      <w:marRight w:val="0"/>
      <w:marTop w:val="0"/>
      <w:marBottom w:val="0"/>
      <w:divBdr>
        <w:top w:val="none" w:sz="0" w:space="0" w:color="auto"/>
        <w:left w:val="none" w:sz="0" w:space="0" w:color="auto"/>
        <w:bottom w:val="none" w:sz="0" w:space="0" w:color="auto"/>
        <w:right w:val="none" w:sz="0" w:space="0" w:color="auto"/>
      </w:divBdr>
    </w:div>
    <w:div w:id="216822165">
      <w:bodyDiv w:val="1"/>
      <w:marLeft w:val="0"/>
      <w:marRight w:val="0"/>
      <w:marTop w:val="0"/>
      <w:marBottom w:val="0"/>
      <w:divBdr>
        <w:top w:val="none" w:sz="0" w:space="0" w:color="auto"/>
        <w:left w:val="none" w:sz="0" w:space="0" w:color="auto"/>
        <w:bottom w:val="none" w:sz="0" w:space="0" w:color="auto"/>
        <w:right w:val="none" w:sz="0" w:space="0" w:color="auto"/>
      </w:divBdr>
    </w:div>
    <w:div w:id="228080872">
      <w:bodyDiv w:val="1"/>
      <w:marLeft w:val="0"/>
      <w:marRight w:val="0"/>
      <w:marTop w:val="0"/>
      <w:marBottom w:val="0"/>
      <w:divBdr>
        <w:top w:val="none" w:sz="0" w:space="0" w:color="auto"/>
        <w:left w:val="none" w:sz="0" w:space="0" w:color="auto"/>
        <w:bottom w:val="none" w:sz="0" w:space="0" w:color="auto"/>
        <w:right w:val="none" w:sz="0" w:space="0" w:color="auto"/>
      </w:divBdr>
    </w:div>
    <w:div w:id="235552813">
      <w:bodyDiv w:val="1"/>
      <w:marLeft w:val="0"/>
      <w:marRight w:val="0"/>
      <w:marTop w:val="0"/>
      <w:marBottom w:val="0"/>
      <w:divBdr>
        <w:top w:val="none" w:sz="0" w:space="0" w:color="auto"/>
        <w:left w:val="none" w:sz="0" w:space="0" w:color="auto"/>
        <w:bottom w:val="none" w:sz="0" w:space="0" w:color="auto"/>
        <w:right w:val="none" w:sz="0" w:space="0" w:color="auto"/>
      </w:divBdr>
    </w:div>
    <w:div w:id="431825688">
      <w:bodyDiv w:val="1"/>
      <w:marLeft w:val="0"/>
      <w:marRight w:val="0"/>
      <w:marTop w:val="0"/>
      <w:marBottom w:val="0"/>
      <w:divBdr>
        <w:top w:val="none" w:sz="0" w:space="0" w:color="auto"/>
        <w:left w:val="none" w:sz="0" w:space="0" w:color="auto"/>
        <w:bottom w:val="none" w:sz="0" w:space="0" w:color="auto"/>
        <w:right w:val="none" w:sz="0" w:space="0" w:color="auto"/>
      </w:divBdr>
    </w:div>
    <w:div w:id="461192085">
      <w:bodyDiv w:val="1"/>
      <w:marLeft w:val="0"/>
      <w:marRight w:val="0"/>
      <w:marTop w:val="0"/>
      <w:marBottom w:val="0"/>
      <w:divBdr>
        <w:top w:val="none" w:sz="0" w:space="0" w:color="auto"/>
        <w:left w:val="none" w:sz="0" w:space="0" w:color="auto"/>
        <w:bottom w:val="none" w:sz="0" w:space="0" w:color="auto"/>
        <w:right w:val="none" w:sz="0" w:space="0" w:color="auto"/>
      </w:divBdr>
    </w:div>
    <w:div w:id="497698841">
      <w:bodyDiv w:val="1"/>
      <w:marLeft w:val="0"/>
      <w:marRight w:val="0"/>
      <w:marTop w:val="0"/>
      <w:marBottom w:val="0"/>
      <w:divBdr>
        <w:top w:val="none" w:sz="0" w:space="0" w:color="auto"/>
        <w:left w:val="none" w:sz="0" w:space="0" w:color="auto"/>
        <w:bottom w:val="none" w:sz="0" w:space="0" w:color="auto"/>
        <w:right w:val="none" w:sz="0" w:space="0" w:color="auto"/>
      </w:divBdr>
    </w:div>
    <w:div w:id="631789349">
      <w:bodyDiv w:val="1"/>
      <w:marLeft w:val="0"/>
      <w:marRight w:val="0"/>
      <w:marTop w:val="0"/>
      <w:marBottom w:val="0"/>
      <w:divBdr>
        <w:top w:val="none" w:sz="0" w:space="0" w:color="auto"/>
        <w:left w:val="none" w:sz="0" w:space="0" w:color="auto"/>
        <w:bottom w:val="none" w:sz="0" w:space="0" w:color="auto"/>
        <w:right w:val="none" w:sz="0" w:space="0" w:color="auto"/>
      </w:divBdr>
    </w:div>
    <w:div w:id="756055394">
      <w:bodyDiv w:val="1"/>
      <w:marLeft w:val="0"/>
      <w:marRight w:val="0"/>
      <w:marTop w:val="0"/>
      <w:marBottom w:val="0"/>
      <w:divBdr>
        <w:top w:val="none" w:sz="0" w:space="0" w:color="auto"/>
        <w:left w:val="none" w:sz="0" w:space="0" w:color="auto"/>
        <w:bottom w:val="none" w:sz="0" w:space="0" w:color="auto"/>
        <w:right w:val="none" w:sz="0" w:space="0" w:color="auto"/>
      </w:divBdr>
    </w:div>
    <w:div w:id="951857454">
      <w:bodyDiv w:val="1"/>
      <w:marLeft w:val="0"/>
      <w:marRight w:val="0"/>
      <w:marTop w:val="0"/>
      <w:marBottom w:val="0"/>
      <w:divBdr>
        <w:top w:val="none" w:sz="0" w:space="0" w:color="auto"/>
        <w:left w:val="none" w:sz="0" w:space="0" w:color="auto"/>
        <w:bottom w:val="none" w:sz="0" w:space="0" w:color="auto"/>
        <w:right w:val="none" w:sz="0" w:space="0" w:color="auto"/>
      </w:divBdr>
    </w:div>
    <w:div w:id="1262950963">
      <w:bodyDiv w:val="1"/>
      <w:marLeft w:val="0"/>
      <w:marRight w:val="0"/>
      <w:marTop w:val="0"/>
      <w:marBottom w:val="0"/>
      <w:divBdr>
        <w:top w:val="none" w:sz="0" w:space="0" w:color="auto"/>
        <w:left w:val="none" w:sz="0" w:space="0" w:color="auto"/>
        <w:bottom w:val="none" w:sz="0" w:space="0" w:color="auto"/>
        <w:right w:val="none" w:sz="0" w:space="0" w:color="auto"/>
      </w:divBdr>
    </w:div>
    <w:div w:id="1290016844">
      <w:bodyDiv w:val="1"/>
      <w:marLeft w:val="0"/>
      <w:marRight w:val="0"/>
      <w:marTop w:val="0"/>
      <w:marBottom w:val="0"/>
      <w:divBdr>
        <w:top w:val="none" w:sz="0" w:space="0" w:color="auto"/>
        <w:left w:val="none" w:sz="0" w:space="0" w:color="auto"/>
        <w:bottom w:val="none" w:sz="0" w:space="0" w:color="auto"/>
        <w:right w:val="none" w:sz="0" w:space="0" w:color="auto"/>
      </w:divBdr>
    </w:div>
    <w:div w:id="1539776728">
      <w:bodyDiv w:val="1"/>
      <w:marLeft w:val="0"/>
      <w:marRight w:val="0"/>
      <w:marTop w:val="0"/>
      <w:marBottom w:val="0"/>
      <w:divBdr>
        <w:top w:val="none" w:sz="0" w:space="0" w:color="auto"/>
        <w:left w:val="none" w:sz="0" w:space="0" w:color="auto"/>
        <w:bottom w:val="none" w:sz="0" w:space="0" w:color="auto"/>
        <w:right w:val="none" w:sz="0" w:space="0" w:color="auto"/>
      </w:divBdr>
    </w:div>
    <w:div w:id="1600407975">
      <w:bodyDiv w:val="1"/>
      <w:marLeft w:val="0"/>
      <w:marRight w:val="0"/>
      <w:marTop w:val="0"/>
      <w:marBottom w:val="0"/>
      <w:divBdr>
        <w:top w:val="none" w:sz="0" w:space="0" w:color="auto"/>
        <w:left w:val="none" w:sz="0" w:space="0" w:color="auto"/>
        <w:bottom w:val="none" w:sz="0" w:space="0" w:color="auto"/>
        <w:right w:val="none" w:sz="0" w:space="0" w:color="auto"/>
      </w:divBdr>
    </w:div>
    <w:div w:id="1724057427">
      <w:bodyDiv w:val="1"/>
      <w:marLeft w:val="0"/>
      <w:marRight w:val="0"/>
      <w:marTop w:val="0"/>
      <w:marBottom w:val="0"/>
      <w:divBdr>
        <w:top w:val="none" w:sz="0" w:space="0" w:color="auto"/>
        <w:left w:val="none" w:sz="0" w:space="0" w:color="auto"/>
        <w:bottom w:val="none" w:sz="0" w:space="0" w:color="auto"/>
        <w:right w:val="none" w:sz="0" w:space="0" w:color="auto"/>
      </w:divBdr>
    </w:div>
    <w:div w:id="1951471656">
      <w:bodyDiv w:val="1"/>
      <w:marLeft w:val="0"/>
      <w:marRight w:val="0"/>
      <w:marTop w:val="0"/>
      <w:marBottom w:val="0"/>
      <w:divBdr>
        <w:top w:val="none" w:sz="0" w:space="0" w:color="auto"/>
        <w:left w:val="none" w:sz="0" w:space="0" w:color="auto"/>
        <w:bottom w:val="none" w:sz="0" w:space="0" w:color="auto"/>
        <w:right w:val="none" w:sz="0" w:space="0" w:color="auto"/>
      </w:divBdr>
    </w:div>
    <w:div w:id="2034187763">
      <w:bodyDiv w:val="1"/>
      <w:marLeft w:val="0"/>
      <w:marRight w:val="0"/>
      <w:marTop w:val="0"/>
      <w:marBottom w:val="0"/>
      <w:divBdr>
        <w:top w:val="none" w:sz="0" w:space="0" w:color="auto"/>
        <w:left w:val="none" w:sz="0" w:space="0" w:color="auto"/>
        <w:bottom w:val="none" w:sz="0" w:space="0" w:color="auto"/>
        <w:right w:val="none" w:sz="0" w:space="0" w:color="auto"/>
      </w:divBdr>
    </w:div>
    <w:div w:id="2036694386">
      <w:bodyDiv w:val="1"/>
      <w:marLeft w:val="0"/>
      <w:marRight w:val="0"/>
      <w:marTop w:val="0"/>
      <w:marBottom w:val="0"/>
      <w:divBdr>
        <w:top w:val="none" w:sz="0" w:space="0" w:color="auto"/>
        <w:left w:val="none" w:sz="0" w:space="0" w:color="auto"/>
        <w:bottom w:val="none" w:sz="0" w:space="0" w:color="auto"/>
        <w:right w:val="none" w:sz="0" w:space="0" w:color="auto"/>
      </w:divBdr>
    </w:div>
    <w:div w:id="2068413054">
      <w:bodyDiv w:val="1"/>
      <w:marLeft w:val="0"/>
      <w:marRight w:val="0"/>
      <w:marTop w:val="0"/>
      <w:marBottom w:val="0"/>
      <w:divBdr>
        <w:top w:val="none" w:sz="0" w:space="0" w:color="auto"/>
        <w:left w:val="none" w:sz="0" w:space="0" w:color="auto"/>
        <w:bottom w:val="none" w:sz="0" w:space="0" w:color="auto"/>
        <w:right w:val="none" w:sz="0" w:space="0" w:color="auto"/>
      </w:divBdr>
    </w:div>
    <w:div w:id="2076269839">
      <w:bodyDiv w:val="1"/>
      <w:marLeft w:val="0"/>
      <w:marRight w:val="0"/>
      <w:marTop w:val="0"/>
      <w:marBottom w:val="0"/>
      <w:divBdr>
        <w:top w:val="none" w:sz="0" w:space="0" w:color="auto"/>
        <w:left w:val="none" w:sz="0" w:space="0" w:color="auto"/>
        <w:bottom w:val="none" w:sz="0" w:space="0" w:color="auto"/>
        <w:right w:val="none" w:sz="0" w:space="0" w:color="auto"/>
      </w:divBdr>
    </w:div>
    <w:div w:id="2089420377">
      <w:bodyDiv w:val="1"/>
      <w:marLeft w:val="0"/>
      <w:marRight w:val="0"/>
      <w:marTop w:val="0"/>
      <w:marBottom w:val="0"/>
      <w:divBdr>
        <w:top w:val="none" w:sz="0" w:space="0" w:color="auto"/>
        <w:left w:val="none" w:sz="0" w:space="0" w:color="auto"/>
        <w:bottom w:val="none" w:sz="0" w:space="0" w:color="auto"/>
        <w:right w:val="none" w:sz="0" w:space="0" w:color="auto"/>
      </w:divBdr>
    </w:div>
    <w:div w:id="2144810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diciary.uk/guidance-and-resources/advice-for-litigants-in-person/" TargetMode="External"/><Relationship Id="rId13" Type="http://schemas.openxmlformats.org/officeDocument/2006/relationships/hyperlink" Target="https://www.lawsociety.org.uk/topics/civil-litigation/personal-injury-whats-changing" TargetMode="External"/><Relationship Id="rId3" Type="http://schemas.openxmlformats.org/officeDocument/2006/relationships/settings" Target="settings.xml"/><Relationship Id="rId7" Type="http://schemas.openxmlformats.org/officeDocument/2006/relationships/hyperlink" Target="https://advance.lexis.com/document/?pdmfid=1519360&amp;crid=5511c5d0-0e23-41e8-9969-6c17d3d5193c&amp;pddocfullpath=%2Fshared%2Fdocument%2Fanalytical-materials%2Furn%3AcontentItem%3A6261-V1B1-FFTT-X1TB-00000-00&amp;pdcontentcomponentid=10765&amp;pdteaserkey=sr0&amp;pditab=allpods&amp;ecomp=zbzyk&amp;earg=sr0&amp;prid=27bfa4a3-8d74-43ee-8aa9-1937a944fee8" TargetMode="External"/><Relationship Id="rId12" Type="http://schemas.openxmlformats.org/officeDocument/2006/relationships/hyperlink" Target="https://www.lawsociety.org.uk/topics/civil-litigation/personal-injury-whats-changin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gov.uk/government/publications/practice-direction-update-127-civil-procedure-amendment-rules-2021" TargetMode="External"/><Relationship Id="rId11" Type="http://schemas.openxmlformats.org/officeDocument/2006/relationships/hyperlink" Target="https://www.legislation.gov.uk/ukpga/1980/58" TargetMode="External"/><Relationship Id="rId5" Type="http://schemas.openxmlformats.org/officeDocument/2006/relationships/hyperlink" Target="https://assets.publishing.service.gov.uk/government/uploads/system/uploads/attachment_data/file/1106207/14.130_HMCTS_Administrative_Court_Guide_2022_FINAL_v06_WEB__2_.pdf" TargetMode="External"/><Relationship Id="rId15" Type="http://schemas.openxmlformats.org/officeDocument/2006/relationships/hyperlink" Target="https://www.officialinjuryclaim.org.uk/" TargetMode="External"/><Relationship Id="rId10" Type="http://schemas.openxmlformats.org/officeDocument/2006/relationships/hyperlink" Target="https://www.justice.gov.uk/courts/procedure-rules/civil" TargetMode="External"/><Relationship Id="rId4" Type="http://schemas.openxmlformats.org/officeDocument/2006/relationships/webSettings" Target="webSettings.xml"/><Relationship Id="rId9" Type="http://schemas.openxmlformats.org/officeDocument/2006/relationships/hyperlink" Target="https://www.justice.gov.uk/courts/procedure-rules/civil/protocol/prot_pic" TargetMode="External"/><Relationship Id="rId14" Type="http://schemas.openxmlformats.org/officeDocument/2006/relationships/hyperlink" Target="https://www.legislation.gov.uk/ukdsi/2021/9780348220612/pdfs/ukdsi_9780348220612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bdb74b30-9568-4856-bdbf-06759778fcbc}" enabled="0" method="" siteId="{bdb74b30-9568-4856-bdbf-06759778fcbc}" removed="1"/>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2285</Words>
  <Characters>13029</Characters>
  <Application>Microsoft Office Word</Application>
  <DocSecurity>0</DocSecurity>
  <Lines>108</Lines>
  <Paragraphs>30</Paragraphs>
  <ScaleCrop>false</ScaleCrop>
  <Company/>
  <LinksUpToDate>false</LinksUpToDate>
  <CharactersWithSpaces>15284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Mukta Khan</dc:creator>
  <cp:keywords/>
  <dc:description/>
  <cp:lastModifiedBy>Mukta Khan</cp:lastModifiedBy>
  <cp:revision>5</cp:revision>
  <dcterms:created xsi:type="dcterms:W3CDTF">2022-11-11T17:44:00Z</dcterms:created>
  <dcterms:modified xsi:type="dcterms:W3CDTF">2022-11-11T17:45:00Z</dcterms:modified>
</cp:coreProperties>
</file>