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4617298"/>
        <w:docPartObj>
          <w:docPartGallery w:val="Cover Pages"/>
          <w:docPartUnique/>
        </w:docPartObj>
      </w:sdtPr>
      <w:sdtContent>
        <w:p w14:paraId="49F9E4B5" w14:textId="215C2FFC" w:rsidR="005327E3" w:rsidRDefault="00000000" w:rsidP="005327E3">
          <w:r>
            <w:rPr>
              <w:noProof/>
            </w:rPr>
            <w:pict w14:anchorId="360DF76F">
              <v:rect id="Rectangle 460" o:spid="_x0000_s1026" style="position:absolute;margin-left:227.5pt;margin-top:-79.45pt;width:293.9pt;height:807.15pt;z-index:251659264;visibility:visible;mso-position-horizontal-relative:text;mso-position-vertical-relative:tex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c2d69b [1942]" strokecolor="#c2d69b [1942]"/>
            </w:pict>
          </w:r>
          <w:r>
            <w:rPr>
              <w:noProof/>
            </w:rPr>
            <w:pict w14:anchorId="50DA3159">
              <v:rect id="Rectangle 459" o:spid="_x0000_s1027" alt="Light vertical" style="position:absolute;margin-left:215.2pt;margin-top:-79.45pt;width:13.7pt;height:807.15pt;z-index:251660288;visibility:visible;mso-position-horizontal-relative:text;mso-position-vertical-relative:text;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c2d69b [1942]" strokecolor="#c2d69b [1942]" strokeweight="1pt">
                <v:fill r:id="rId7" o:title="" opacity="52429f" color2="white [3212]" o:opacity2="52429f" type="pattern"/>
                <v:shadow color="#d8d8d8" offset="3pt,3pt"/>
              </v:rect>
            </w:pict>
          </w:r>
          <w:r w:rsidR="005327E3">
            <w:t xml:space="preserve">    </w:t>
          </w:r>
        </w:p>
        <w:p w14:paraId="12C7D1B8" w14:textId="4F7F0942" w:rsidR="005327E3" w:rsidRDefault="00000000" w:rsidP="005327E3">
          <w:r>
            <w:pict w14:anchorId="5DA3F5FA">
              <v:shapetype id="_x0000_t202" coordsize="21600,21600" o:spt="202" path="m,l,21600r21600,l21600,xe">
                <v:stroke joinstyle="miter"/>
                <v:path gradientshapeok="t" o:connecttype="rect"/>
              </v:shapetype>
              <v:shape id="_x0000_s1028" type="#_x0000_t202" style="position:absolute;margin-left:-60pt;margin-top:181.55pt;width:581.4pt;height:248.5pt;z-index:251661312;mso-width-relative:margin;mso-height-relative:margin" fillcolor="#c2d69b [1942]" strokecolor="black [3213]">
                <v:textbox style="mso-next-textbox:#_x0000_s1028">
                  <w:txbxContent>
                    <w:p w14:paraId="68515814" w14:textId="77777777" w:rsidR="006104A5" w:rsidRDefault="006104A5" w:rsidP="005327E3">
                      <w:pPr>
                        <w:jc w:val="center"/>
                        <w:rPr>
                          <w:b/>
                          <w:sz w:val="72"/>
                          <w:szCs w:val="72"/>
                        </w:rPr>
                      </w:pPr>
                    </w:p>
                    <w:p w14:paraId="6D44D010" w14:textId="54EB776C" w:rsidR="005327E3" w:rsidRDefault="002A2DF4" w:rsidP="00D70969">
                      <w:pPr>
                        <w:jc w:val="center"/>
                        <w:rPr>
                          <w:b/>
                          <w:sz w:val="72"/>
                          <w:szCs w:val="72"/>
                        </w:rPr>
                      </w:pPr>
                      <w:r w:rsidRPr="002A2DF4">
                        <w:rPr>
                          <w:b/>
                          <w:sz w:val="72"/>
                          <w:szCs w:val="72"/>
                        </w:rPr>
                        <w:t>Placement Research Project</w:t>
                      </w:r>
                    </w:p>
                    <w:p w14:paraId="448B448C" w14:textId="5A3D02CA" w:rsidR="002A2DF4" w:rsidRDefault="00D70969" w:rsidP="00D70969">
                      <w:pPr>
                        <w:jc w:val="center"/>
                        <w:rPr>
                          <w:rFonts w:ascii="Arial" w:hAnsi="Arial" w:cs="Arial"/>
                          <w:b/>
                          <w:sz w:val="52"/>
                          <w:szCs w:val="52"/>
                        </w:rPr>
                      </w:pPr>
                      <w:r>
                        <w:rPr>
                          <w:rFonts w:ascii="Arial" w:hAnsi="Arial" w:cs="Arial"/>
                          <w:b/>
                          <w:sz w:val="52"/>
                          <w:szCs w:val="52"/>
                        </w:rPr>
                        <w:t>Manager on Duty Culture</w:t>
                      </w:r>
                    </w:p>
                    <w:p w14:paraId="03EEF99E" w14:textId="77777777" w:rsidR="005327E3" w:rsidRPr="006B4E9C" w:rsidRDefault="005327E3" w:rsidP="005327E3">
                      <w:pPr>
                        <w:jc w:val="center"/>
                        <w:rPr>
                          <w:b/>
                          <w:sz w:val="52"/>
                          <w:szCs w:val="52"/>
                        </w:rPr>
                      </w:pPr>
                    </w:p>
                  </w:txbxContent>
                </v:textbox>
              </v:shape>
            </w:pict>
          </w:r>
          <w:r>
            <w:rPr>
              <w:noProof/>
            </w:rPr>
            <w:pict w14:anchorId="76205F12">
              <v:rect id="Rectangle 9" o:spid="_x0000_s1029" style="position:absolute;margin-left:227.5pt;margin-top:474.9pt;width:289.7pt;height:227.35pt;z-index:251662336;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color="#c2d69b [1942]" strokeweight="1pt">
                <v:fill opacity="52428f"/>
                <v:shadow color="#d8d8d8" offset="3pt,3pt"/>
                <v:textbox style="mso-next-textbox:#Rectangle 9" inset="28.8pt,14.4pt,14.4pt,14.4pt">
                  <w:txbxContent>
                    <w:p w14:paraId="4F75956D" w14:textId="08A3A366" w:rsidR="00757B14" w:rsidRPr="00B5248E" w:rsidRDefault="00757B14" w:rsidP="00757B14">
                      <w:pPr>
                        <w:pStyle w:val="NoSpacing"/>
                        <w:spacing w:line="360" w:lineRule="auto"/>
                        <w:jc w:val="both"/>
                        <w:rPr>
                          <w:rFonts w:ascii="Arial" w:hAnsi="Arial" w:cs="Arial"/>
                          <w:b/>
                          <w:bCs/>
                          <w:sz w:val="24"/>
                          <w:szCs w:val="24"/>
                          <w:lang w:val="en-GB"/>
                        </w:rPr>
                      </w:pPr>
                      <w:r w:rsidRPr="00B5248E">
                        <w:rPr>
                          <w:rFonts w:ascii="Arial" w:hAnsi="Arial" w:cs="Arial"/>
                          <w:b/>
                          <w:bCs/>
                          <w:sz w:val="24"/>
                          <w:szCs w:val="24"/>
                          <w:lang w:val="en-GB"/>
                        </w:rPr>
                        <w:t>University of W</w:t>
                      </w:r>
                      <w:r w:rsidR="00B5248E">
                        <w:rPr>
                          <w:rFonts w:ascii="Arial" w:hAnsi="Arial" w:cs="Arial"/>
                          <w:b/>
                          <w:bCs/>
                          <w:sz w:val="24"/>
                          <w:szCs w:val="24"/>
                          <w:lang w:val="en-GB"/>
                        </w:rPr>
                        <w:t>ales</w:t>
                      </w:r>
                      <w:r w:rsidRPr="00B5248E">
                        <w:rPr>
                          <w:rFonts w:ascii="Arial" w:hAnsi="Arial" w:cs="Arial"/>
                          <w:b/>
                          <w:bCs/>
                          <w:sz w:val="24"/>
                          <w:szCs w:val="24"/>
                          <w:lang w:val="en-GB"/>
                        </w:rPr>
                        <w:t xml:space="preserve"> Trinity Saint David</w:t>
                      </w:r>
                    </w:p>
                    <w:p w14:paraId="6CF246C5" w14:textId="77777777" w:rsidR="00757B14" w:rsidRPr="00B5248E" w:rsidRDefault="00757B14" w:rsidP="00757B14">
                      <w:pPr>
                        <w:pStyle w:val="NoSpacing"/>
                        <w:spacing w:line="360" w:lineRule="auto"/>
                        <w:jc w:val="both"/>
                        <w:rPr>
                          <w:rFonts w:ascii="Arial" w:hAnsi="Arial" w:cs="Arial"/>
                          <w:b/>
                          <w:bCs/>
                          <w:sz w:val="24"/>
                          <w:szCs w:val="24"/>
                          <w:lang w:val="en-GB"/>
                        </w:rPr>
                      </w:pPr>
                      <w:r w:rsidRPr="00B5248E">
                        <w:rPr>
                          <w:rFonts w:ascii="Arial" w:hAnsi="Arial" w:cs="Arial"/>
                          <w:b/>
                          <w:bCs/>
                          <w:sz w:val="24"/>
                          <w:szCs w:val="24"/>
                          <w:lang w:val="en-GB"/>
                        </w:rPr>
                        <w:t>Institute of Management and Health</w:t>
                      </w:r>
                    </w:p>
                    <w:p w14:paraId="2591DB0B" w14:textId="77777777" w:rsidR="00757B14" w:rsidRPr="00B5248E" w:rsidRDefault="00757B14" w:rsidP="00757B14">
                      <w:pPr>
                        <w:pStyle w:val="NoSpacing"/>
                        <w:spacing w:line="360" w:lineRule="auto"/>
                        <w:jc w:val="both"/>
                        <w:rPr>
                          <w:rFonts w:ascii="Arial" w:hAnsi="Arial" w:cs="Arial"/>
                          <w:b/>
                          <w:bCs/>
                          <w:sz w:val="24"/>
                          <w:szCs w:val="24"/>
                          <w:lang w:val="en-GB"/>
                        </w:rPr>
                      </w:pPr>
                      <w:r w:rsidRPr="00B5248E">
                        <w:rPr>
                          <w:rFonts w:ascii="Arial" w:hAnsi="Arial" w:cs="Arial"/>
                          <w:b/>
                          <w:bCs/>
                          <w:sz w:val="24"/>
                          <w:szCs w:val="24"/>
                          <w:lang w:val="en-GB"/>
                        </w:rPr>
                        <w:t>BA International Hotel Management</w:t>
                      </w:r>
                    </w:p>
                    <w:p w14:paraId="678D08FD" w14:textId="77777777" w:rsidR="00757B14" w:rsidRPr="00B5248E" w:rsidRDefault="00757B14" w:rsidP="00757B14">
                      <w:pPr>
                        <w:pStyle w:val="NoSpacing"/>
                        <w:spacing w:line="360" w:lineRule="auto"/>
                        <w:jc w:val="both"/>
                        <w:rPr>
                          <w:rFonts w:ascii="Arial" w:hAnsi="Arial" w:cs="Arial"/>
                          <w:b/>
                          <w:bCs/>
                          <w:sz w:val="24"/>
                          <w:szCs w:val="24"/>
                        </w:rPr>
                      </w:pPr>
                      <w:r w:rsidRPr="00B5248E">
                        <w:rPr>
                          <w:rFonts w:ascii="Arial" w:hAnsi="Arial" w:cs="Arial"/>
                          <w:b/>
                          <w:bCs/>
                          <w:sz w:val="24"/>
                          <w:szCs w:val="24"/>
                          <w:lang w:val="en-GB"/>
                        </w:rPr>
                        <w:t>Hotel Placement Research Project</w:t>
                      </w:r>
                    </w:p>
                    <w:p w14:paraId="289EC381" w14:textId="77777777" w:rsidR="00757B14" w:rsidRPr="00B5248E" w:rsidRDefault="00757B14" w:rsidP="00757B14">
                      <w:pPr>
                        <w:pStyle w:val="NoSpacing"/>
                        <w:spacing w:line="360" w:lineRule="auto"/>
                        <w:jc w:val="both"/>
                        <w:rPr>
                          <w:rFonts w:ascii="Arial" w:hAnsi="Arial" w:cs="Arial"/>
                          <w:b/>
                          <w:bCs/>
                          <w:sz w:val="24"/>
                          <w:szCs w:val="24"/>
                        </w:rPr>
                      </w:pPr>
                      <w:r w:rsidRPr="00B5248E">
                        <w:rPr>
                          <w:rFonts w:ascii="Arial" w:hAnsi="Arial" w:cs="Arial"/>
                          <w:b/>
                          <w:bCs/>
                          <w:sz w:val="24"/>
                          <w:szCs w:val="24"/>
                        </w:rPr>
                        <w:t>BMIH 6008</w:t>
                      </w:r>
                    </w:p>
                    <w:p w14:paraId="50DB9564" w14:textId="7DF90EA8" w:rsidR="005327E3" w:rsidRPr="00B5248E" w:rsidRDefault="005327E3" w:rsidP="005327E3">
                      <w:pPr>
                        <w:pStyle w:val="NoSpacing"/>
                        <w:spacing w:line="360" w:lineRule="auto"/>
                        <w:rPr>
                          <w:rFonts w:ascii="Arial" w:hAnsi="Arial" w:cs="Arial"/>
                          <w:b/>
                          <w:bCs/>
                          <w:sz w:val="24"/>
                          <w:szCs w:val="24"/>
                        </w:rPr>
                      </w:pPr>
                      <w:r w:rsidRPr="00B5248E">
                        <w:rPr>
                          <w:rFonts w:ascii="Arial" w:hAnsi="Arial" w:cs="Arial"/>
                          <w:b/>
                          <w:bCs/>
                          <w:sz w:val="24"/>
                          <w:szCs w:val="24"/>
                        </w:rPr>
                        <w:t xml:space="preserve">Lecturer: </w:t>
                      </w:r>
                      <w:r w:rsidR="00757B14" w:rsidRPr="00B5248E">
                        <w:rPr>
                          <w:rFonts w:ascii="Arial" w:hAnsi="Arial" w:cs="Arial"/>
                          <w:b/>
                          <w:bCs/>
                          <w:sz w:val="24"/>
                          <w:szCs w:val="24"/>
                        </w:rPr>
                        <w:t>Ben Ka Po Chong</w:t>
                      </w:r>
                    </w:p>
                    <w:p w14:paraId="5503A345" w14:textId="77777777" w:rsidR="00757B14" w:rsidRPr="00B5248E" w:rsidRDefault="00757B14" w:rsidP="00757B14">
                      <w:pPr>
                        <w:pStyle w:val="NoSpacing"/>
                        <w:spacing w:line="360" w:lineRule="auto"/>
                        <w:rPr>
                          <w:rFonts w:ascii="Arial" w:hAnsi="Arial" w:cs="Arial"/>
                          <w:b/>
                          <w:bCs/>
                          <w:sz w:val="24"/>
                          <w:szCs w:val="24"/>
                        </w:rPr>
                      </w:pPr>
                      <w:r w:rsidRPr="00B5248E">
                        <w:rPr>
                          <w:rFonts w:ascii="Arial" w:hAnsi="Arial" w:cs="Arial"/>
                          <w:b/>
                          <w:bCs/>
                          <w:sz w:val="24"/>
                          <w:szCs w:val="24"/>
                        </w:rPr>
                        <w:t>Student name: Loredana-Marina Pal</w:t>
                      </w:r>
                    </w:p>
                    <w:p w14:paraId="079B709A" w14:textId="77777777" w:rsidR="00757B14" w:rsidRPr="00B5248E" w:rsidRDefault="00757B14" w:rsidP="00757B14">
                      <w:pPr>
                        <w:pStyle w:val="NoSpacing"/>
                        <w:spacing w:line="360" w:lineRule="auto"/>
                        <w:rPr>
                          <w:rFonts w:ascii="Arial" w:hAnsi="Arial" w:cs="Arial"/>
                          <w:b/>
                          <w:bCs/>
                          <w:sz w:val="24"/>
                          <w:szCs w:val="24"/>
                        </w:rPr>
                      </w:pPr>
                      <w:r w:rsidRPr="00B5248E">
                        <w:rPr>
                          <w:rFonts w:ascii="Arial" w:hAnsi="Arial" w:cs="Arial"/>
                          <w:b/>
                          <w:bCs/>
                          <w:sz w:val="24"/>
                          <w:szCs w:val="24"/>
                        </w:rPr>
                        <w:t>Student ID: 2222512</w:t>
                      </w:r>
                    </w:p>
                    <w:p w14:paraId="2AC2BB41" w14:textId="201C1F9E" w:rsidR="00B5248E" w:rsidRPr="00B5248E" w:rsidRDefault="00B5248E" w:rsidP="00757B14">
                      <w:pPr>
                        <w:pStyle w:val="NoSpacing"/>
                        <w:spacing w:line="360" w:lineRule="auto"/>
                        <w:rPr>
                          <w:rFonts w:ascii="Arial" w:hAnsi="Arial" w:cs="Arial"/>
                          <w:b/>
                          <w:bCs/>
                          <w:sz w:val="24"/>
                          <w:szCs w:val="24"/>
                        </w:rPr>
                      </w:pPr>
                      <w:r w:rsidRPr="00B5248E">
                        <w:rPr>
                          <w:rFonts w:ascii="Arial" w:hAnsi="Arial" w:cs="Arial"/>
                          <w:b/>
                          <w:bCs/>
                          <w:sz w:val="24"/>
                          <w:szCs w:val="24"/>
                        </w:rPr>
                        <w:t>Date: 5 March 2026</w:t>
                      </w:r>
                    </w:p>
                    <w:p w14:paraId="7D738D60" w14:textId="77777777" w:rsidR="00757B14" w:rsidRDefault="00757B14" w:rsidP="005327E3">
                      <w:pPr>
                        <w:pStyle w:val="NoSpacing"/>
                        <w:spacing w:line="360" w:lineRule="auto"/>
                        <w:rPr>
                          <w:rFonts w:ascii="Arial" w:hAnsi="Arial" w:cs="Arial"/>
                          <w:b/>
                          <w:bCs/>
                          <w:sz w:val="24"/>
                          <w:szCs w:val="24"/>
                        </w:rPr>
                      </w:pPr>
                    </w:p>
                    <w:p w14:paraId="59A7E670" w14:textId="77777777" w:rsidR="005327E3" w:rsidRDefault="005327E3" w:rsidP="005327E3">
                      <w:pPr>
                        <w:pStyle w:val="NoSpacing"/>
                        <w:spacing w:line="360" w:lineRule="auto"/>
                        <w:rPr>
                          <w:rFonts w:asciiTheme="minorHAnsi" w:hAnsiTheme="minorHAnsi" w:cstheme="minorBidi"/>
                          <w:color w:val="FFFFFF" w:themeColor="background1"/>
                        </w:rPr>
                      </w:pPr>
                    </w:p>
                    <w:sdt>
                      <w:sdtPr>
                        <w:rPr>
                          <w:color w:val="FFFFFF" w:themeColor="background1"/>
                        </w:rPr>
                        <w:alias w:val="Company"/>
                        <w:id w:val="1249924755"/>
                        <w:showingPlcHdr/>
                        <w:dataBinding w:prefixMappings="xmlns:ns0='http://schemas.openxmlformats.org/officeDocument/2006/extended-properties'" w:xpath="/ns0:Properties[1]/ns0:Company[1]" w:storeItemID="{6668398D-A668-4E3E-A5EB-62B293D839F1}"/>
                        <w:text/>
                      </w:sdtPr>
                      <w:sdtContent>
                        <w:p w14:paraId="19404D87" w14:textId="77777777" w:rsidR="005327E3" w:rsidRDefault="005327E3" w:rsidP="005327E3">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249924756"/>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52EAEAAA" w14:textId="77777777" w:rsidR="005327E3" w:rsidRDefault="005327E3" w:rsidP="005327E3">
                          <w:pPr>
                            <w:pStyle w:val="NoSpacing"/>
                            <w:spacing w:line="360" w:lineRule="auto"/>
                            <w:rPr>
                              <w:color w:val="FFFFFF" w:themeColor="background1"/>
                            </w:rPr>
                          </w:pPr>
                          <w:r>
                            <w:rPr>
                              <w:color w:val="FFFFFF" w:themeColor="background1"/>
                            </w:rPr>
                            <w:t xml:space="preserve">     </w:t>
                          </w:r>
                        </w:p>
                      </w:sdtContent>
                    </w:sdt>
                  </w:txbxContent>
                </v:textbox>
              </v:rect>
            </w:pict>
          </w:r>
          <w:r w:rsidR="005327E3">
            <w:br w:type="page"/>
          </w:r>
        </w:p>
      </w:sdtContent>
    </w:sdt>
    <w:p w14:paraId="16C52AC8" w14:textId="77777777" w:rsidR="005327E3" w:rsidRDefault="005327E3" w:rsidP="005327E3"/>
    <w:p w14:paraId="2506F135" w14:textId="77777777" w:rsidR="005327E3" w:rsidRDefault="005327E3" w:rsidP="005327E3"/>
    <w:p w14:paraId="16603AB9" w14:textId="77777777" w:rsidR="005327E3" w:rsidRDefault="005327E3" w:rsidP="005327E3"/>
    <w:p w14:paraId="04B99517" w14:textId="77777777" w:rsidR="005327E3" w:rsidRDefault="005327E3" w:rsidP="005327E3">
      <w:pPr>
        <w:spacing w:line="360" w:lineRule="auto"/>
        <w:jc w:val="center"/>
        <w:rPr>
          <w:rFonts w:ascii="Arial" w:hAnsi="Arial" w:cs="Arial"/>
          <w:sz w:val="24"/>
          <w:szCs w:val="24"/>
        </w:rPr>
      </w:pPr>
      <w:r>
        <w:rPr>
          <w:rFonts w:ascii="Arial" w:hAnsi="Arial" w:cs="Arial"/>
          <w:sz w:val="24"/>
          <w:szCs w:val="24"/>
        </w:rPr>
        <w:t xml:space="preserve">AI Acknowledgement   </w:t>
      </w:r>
    </w:p>
    <w:p w14:paraId="5E994A93" w14:textId="77777777" w:rsidR="005327E3" w:rsidRDefault="005327E3" w:rsidP="005327E3">
      <w:pPr>
        <w:spacing w:line="360" w:lineRule="auto"/>
        <w:jc w:val="center"/>
        <w:rPr>
          <w:rFonts w:ascii="Arial" w:hAnsi="Arial" w:cs="Arial"/>
          <w:sz w:val="24"/>
          <w:szCs w:val="24"/>
        </w:rPr>
      </w:pPr>
    </w:p>
    <w:p w14:paraId="4B3D988F" w14:textId="77777777" w:rsidR="00DB2294" w:rsidRDefault="005327E3" w:rsidP="005327E3">
      <w:pPr>
        <w:spacing w:line="360" w:lineRule="auto"/>
        <w:jc w:val="both"/>
      </w:pPr>
      <w:r>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 xml:space="preserve">.     </w:t>
      </w:r>
    </w:p>
    <w:p w14:paraId="013EBFC0" w14:textId="77777777" w:rsidR="00DB2294" w:rsidRDefault="00DB2294" w:rsidP="005327E3">
      <w:pPr>
        <w:spacing w:line="360" w:lineRule="auto"/>
        <w:jc w:val="both"/>
      </w:pPr>
    </w:p>
    <w:p w14:paraId="6DBFC19F" w14:textId="77777777" w:rsidR="00DB2294" w:rsidRDefault="00DB2294" w:rsidP="005327E3">
      <w:pPr>
        <w:spacing w:line="360" w:lineRule="auto"/>
        <w:jc w:val="both"/>
      </w:pPr>
    </w:p>
    <w:p w14:paraId="2AC4E758" w14:textId="77777777" w:rsidR="00DB2294" w:rsidRDefault="00DB2294" w:rsidP="005327E3">
      <w:pPr>
        <w:spacing w:line="360" w:lineRule="auto"/>
        <w:jc w:val="both"/>
      </w:pPr>
    </w:p>
    <w:p w14:paraId="1AD11542" w14:textId="77777777" w:rsidR="00DB2294" w:rsidRDefault="00DB2294" w:rsidP="005327E3">
      <w:pPr>
        <w:spacing w:line="360" w:lineRule="auto"/>
        <w:jc w:val="both"/>
      </w:pPr>
    </w:p>
    <w:p w14:paraId="61D7D247" w14:textId="77777777" w:rsidR="00DB2294" w:rsidRDefault="00DB2294" w:rsidP="005327E3">
      <w:pPr>
        <w:spacing w:line="360" w:lineRule="auto"/>
        <w:jc w:val="both"/>
      </w:pPr>
    </w:p>
    <w:p w14:paraId="47CA4BBA" w14:textId="77777777" w:rsidR="00DB2294" w:rsidRDefault="00DB2294" w:rsidP="005327E3">
      <w:pPr>
        <w:spacing w:line="360" w:lineRule="auto"/>
        <w:jc w:val="both"/>
      </w:pPr>
    </w:p>
    <w:p w14:paraId="31D95713" w14:textId="77777777" w:rsidR="00DB2294" w:rsidRDefault="00DB2294" w:rsidP="005327E3">
      <w:pPr>
        <w:spacing w:line="360" w:lineRule="auto"/>
        <w:jc w:val="both"/>
      </w:pPr>
    </w:p>
    <w:p w14:paraId="44ADD4C4" w14:textId="77777777" w:rsidR="00DB2294" w:rsidRDefault="00DB2294" w:rsidP="005327E3">
      <w:pPr>
        <w:spacing w:line="360" w:lineRule="auto"/>
        <w:jc w:val="both"/>
      </w:pPr>
    </w:p>
    <w:p w14:paraId="2CD7954A" w14:textId="77777777" w:rsidR="00DB2294" w:rsidRDefault="00DB2294" w:rsidP="005327E3">
      <w:pPr>
        <w:spacing w:line="360" w:lineRule="auto"/>
        <w:jc w:val="both"/>
      </w:pPr>
    </w:p>
    <w:p w14:paraId="071396AA" w14:textId="77777777" w:rsidR="00DB2294" w:rsidRDefault="00DB2294" w:rsidP="005327E3">
      <w:pPr>
        <w:spacing w:line="360" w:lineRule="auto"/>
        <w:jc w:val="both"/>
      </w:pPr>
    </w:p>
    <w:p w14:paraId="0E318BF5" w14:textId="77777777" w:rsidR="00DB2294" w:rsidRDefault="00DB2294" w:rsidP="005327E3">
      <w:pPr>
        <w:spacing w:line="360" w:lineRule="auto"/>
        <w:jc w:val="both"/>
      </w:pPr>
    </w:p>
    <w:p w14:paraId="4217058B" w14:textId="77777777" w:rsidR="00DB2294" w:rsidRDefault="00DB2294" w:rsidP="005327E3">
      <w:pPr>
        <w:spacing w:line="360" w:lineRule="auto"/>
        <w:jc w:val="both"/>
      </w:pPr>
    </w:p>
    <w:p w14:paraId="1169F4E3" w14:textId="77777777" w:rsidR="00DB2294" w:rsidRDefault="00DB2294" w:rsidP="005327E3">
      <w:pPr>
        <w:spacing w:line="360" w:lineRule="auto"/>
        <w:jc w:val="both"/>
      </w:pPr>
    </w:p>
    <w:p w14:paraId="757ADAC2" w14:textId="77777777" w:rsidR="00DB2294" w:rsidRDefault="00DB2294" w:rsidP="005327E3">
      <w:pPr>
        <w:spacing w:line="360" w:lineRule="auto"/>
        <w:jc w:val="both"/>
      </w:pPr>
    </w:p>
    <w:p w14:paraId="5F4BED80" w14:textId="77777777" w:rsidR="00DB2294" w:rsidRDefault="005327E3" w:rsidP="005327E3">
      <w:pPr>
        <w:spacing w:line="360" w:lineRule="auto"/>
        <w:jc w:val="both"/>
        <w:rPr>
          <w:rFonts w:ascii="Arial" w:hAnsi="Arial" w:cs="Arial"/>
          <w:sz w:val="24"/>
          <w:szCs w:val="24"/>
        </w:rPr>
      </w:pPr>
      <w:r>
        <w:lastRenderedPageBreak/>
        <w:t xml:space="preserve">        </w:t>
      </w:r>
      <w:r w:rsidR="00DB2294">
        <w:t xml:space="preserve">                                                         </w:t>
      </w:r>
      <w:r>
        <w:t xml:space="preserve"> </w:t>
      </w:r>
      <w:r w:rsidR="00DB2294">
        <w:rPr>
          <w:rFonts w:ascii="Arial" w:hAnsi="Arial" w:cs="Arial"/>
          <w:sz w:val="24"/>
          <w:szCs w:val="24"/>
        </w:rPr>
        <w:t xml:space="preserve">Acknowledgement </w:t>
      </w:r>
    </w:p>
    <w:p w14:paraId="39CEE496" w14:textId="756C858A" w:rsidR="005327E3" w:rsidRDefault="00DB2294" w:rsidP="005327E3">
      <w:pPr>
        <w:spacing w:line="360" w:lineRule="auto"/>
        <w:jc w:val="both"/>
        <w:rPr>
          <w:rFonts w:ascii="Arial" w:hAnsi="Arial" w:cs="Arial"/>
          <w:sz w:val="24"/>
          <w:szCs w:val="24"/>
        </w:rPr>
      </w:pPr>
      <w:r>
        <w:rPr>
          <w:rFonts w:ascii="Arial" w:hAnsi="Arial" w:cs="Arial"/>
          <w:sz w:val="24"/>
          <w:szCs w:val="24"/>
        </w:rPr>
        <w:t xml:space="preserve"> </w:t>
      </w:r>
    </w:p>
    <w:p w14:paraId="60EA025C" w14:textId="7EB15DE8" w:rsidR="00DB2294" w:rsidRDefault="00DB2294" w:rsidP="00F64A6C">
      <w:pPr>
        <w:spacing w:line="360" w:lineRule="auto"/>
        <w:jc w:val="both"/>
        <w:rPr>
          <w:rFonts w:ascii="Arial" w:hAnsi="Arial" w:cs="Arial"/>
          <w:sz w:val="24"/>
          <w:szCs w:val="24"/>
        </w:rPr>
      </w:pPr>
      <w:r w:rsidRPr="00F64A6C">
        <w:rPr>
          <w:rFonts w:ascii="Arial" w:hAnsi="Arial" w:cs="Arial"/>
          <w:sz w:val="24"/>
          <w:szCs w:val="24"/>
        </w:rPr>
        <w:t>I want to say a huge thank you to everyone who supported me during my studies and my placement experience. My deepest appreciation goes to the management and staff at the Premier Inn Melton Mowbray. I especially want to thank the General Manager, Nicola, and the Second Manager, Rihane. They were incredibly welcoming, answered all my endless questions, and gave me a real, unfiltered, behind-the-scenes look at how a busy hotel operates. I also want to thank my academic supervisor for guiding me through the complex research process, and my family and friends for keeping me motivated when the workload felt incredibly heavy.</w:t>
      </w:r>
    </w:p>
    <w:p w14:paraId="03438BD0" w14:textId="77777777" w:rsidR="00811A73" w:rsidRDefault="00811A73" w:rsidP="00F64A6C">
      <w:pPr>
        <w:spacing w:line="360" w:lineRule="auto"/>
        <w:jc w:val="both"/>
        <w:rPr>
          <w:rFonts w:ascii="Arial" w:hAnsi="Arial" w:cs="Arial"/>
          <w:sz w:val="24"/>
          <w:szCs w:val="24"/>
        </w:rPr>
      </w:pPr>
    </w:p>
    <w:p w14:paraId="21BC406B" w14:textId="77777777" w:rsidR="00811A73" w:rsidRDefault="00811A73" w:rsidP="00F64A6C">
      <w:pPr>
        <w:spacing w:line="360" w:lineRule="auto"/>
        <w:jc w:val="both"/>
        <w:rPr>
          <w:rFonts w:ascii="Arial" w:hAnsi="Arial" w:cs="Arial"/>
          <w:sz w:val="24"/>
          <w:szCs w:val="24"/>
        </w:rPr>
      </w:pPr>
    </w:p>
    <w:p w14:paraId="4DB9E302" w14:textId="77777777" w:rsidR="008B178B" w:rsidRDefault="008B178B" w:rsidP="00F64A6C">
      <w:pPr>
        <w:spacing w:line="360" w:lineRule="auto"/>
        <w:jc w:val="both"/>
        <w:rPr>
          <w:rFonts w:ascii="Arial" w:hAnsi="Arial" w:cs="Arial"/>
          <w:sz w:val="24"/>
          <w:szCs w:val="24"/>
        </w:rPr>
      </w:pPr>
    </w:p>
    <w:p w14:paraId="020F2140" w14:textId="77777777" w:rsidR="008B178B" w:rsidRDefault="008B178B" w:rsidP="00F64A6C">
      <w:pPr>
        <w:spacing w:line="360" w:lineRule="auto"/>
        <w:jc w:val="both"/>
        <w:rPr>
          <w:rFonts w:ascii="Arial" w:hAnsi="Arial" w:cs="Arial"/>
          <w:sz w:val="24"/>
          <w:szCs w:val="24"/>
        </w:rPr>
      </w:pPr>
    </w:p>
    <w:p w14:paraId="28C38486" w14:textId="77777777" w:rsidR="008B178B" w:rsidRDefault="008B178B" w:rsidP="00F64A6C">
      <w:pPr>
        <w:spacing w:line="360" w:lineRule="auto"/>
        <w:jc w:val="both"/>
        <w:rPr>
          <w:rFonts w:ascii="Arial" w:hAnsi="Arial" w:cs="Arial"/>
          <w:sz w:val="24"/>
          <w:szCs w:val="24"/>
        </w:rPr>
      </w:pPr>
    </w:p>
    <w:p w14:paraId="2C4B5D8E" w14:textId="77777777" w:rsidR="008B178B" w:rsidRDefault="008B178B" w:rsidP="00F64A6C">
      <w:pPr>
        <w:spacing w:line="360" w:lineRule="auto"/>
        <w:jc w:val="both"/>
        <w:rPr>
          <w:rFonts w:ascii="Arial" w:hAnsi="Arial" w:cs="Arial"/>
          <w:sz w:val="24"/>
          <w:szCs w:val="24"/>
        </w:rPr>
      </w:pPr>
    </w:p>
    <w:p w14:paraId="528C484F" w14:textId="77777777" w:rsidR="008B178B" w:rsidRDefault="008B178B" w:rsidP="00F64A6C">
      <w:pPr>
        <w:spacing w:line="360" w:lineRule="auto"/>
        <w:jc w:val="both"/>
        <w:rPr>
          <w:rFonts w:ascii="Arial" w:hAnsi="Arial" w:cs="Arial"/>
          <w:sz w:val="24"/>
          <w:szCs w:val="24"/>
        </w:rPr>
      </w:pPr>
    </w:p>
    <w:p w14:paraId="3532C711" w14:textId="77777777" w:rsidR="008B178B" w:rsidRDefault="008B178B" w:rsidP="00F64A6C">
      <w:pPr>
        <w:spacing w:line="360" w:lineRule="auto"/>
        <w:jc w:val="both"/>
        <w:rPr>
          <w:rFonts w:ascii="Arial" w:hAnsi="Arial" w:cs="Arial"/>
          <w:sz w:val="24"/>
          <w:szCs w:val="24"/>
        </w:rPr>
      </w:pPr>
    </w:p>
    <w:p w14:paraId="71A44E5E" w14:textId="77777777" w:rsidR="008B178B" w:rsidRDefault="008B178B" w:rsidP="00F64A6C">
      <w:pPr>
        <w:spacing w:line="360" w:lineRule="auto"/>
        <w:jc w:val="both"/>
        <w:rPr>
          <w:rFonts w:ascii="Arial" w:hAnsi="Arial" w:cs="Arial"/>
          <w:sz w:val="24"/>
          <w:szCs w:val="24"/>
        </w:rPr>
      </w:pPr>
    </w:p>
    <w:p w14:paraId="2FBEAD9F" w14:textId="77777777" w:rsidR="008B178B" w:rsidRDefault="008B178B" w:rsidP="00F64A6C">
      <w:pPr>
        <w:spacing w:line="360" w:lineRule="auto"/>
        <w:jc w:val="both"/>
        <w:rPr>
          <w:rFonts w:ascii="Arial" w:hAnsi="Arial" w:cs="Arial"/>
          <w:sz w:val="24"/>
          <w:szCs w:val="24"/>
        </w:rPr>
      </w:pPr>
    </w:p>
    <w:p w14:paraId="3B0FDC19" w14:textId="77777777" w:rsidR="008B178B" w:rsidRDefault="008B178B" w:rsidP="00F64A6C">
      <w:pPr>
        <w:spacing w:line="360" w:lineRule="auto"/>
        <w:jc w:val="both"/>
        <w:rPr>
          <w:rFonts w:ascii="Arial" w:hAnsi="Arial" w:cs="Arial"/>
          <w:sz w:val="24"/>
          <w:szCs w:val="24"/>
        </w:rPr>
      </w:pPr>
    </w:p>
    <w:p w14:paraId="1D6B1D25" w14:textId="77777777" w:rsidR="008B178B" w:rsidRDefault="008B178B" w:rsidP="00F64A6C">
      <w:pPr>
        <w:spacing w:line="360" w:lineRule="auto"/>
        <w:jc w:val="both"/>
        <w:rPr>
          <w:rFonts w:ascii="Arial" w:hAnsi="Arial" w:cs="Arial"/>
          <w:sz w:val="24"/>
          <w:szCs w:val="24"/>
        </w:rPr>
      </w:pPr>
    </w:p>
    <w:p w14:paraId="78A0DBDB" w14:textId="77777777" w:rsidR="008B178B" w:rsidRDefault="008B178B" w:rsidP="00F64A6C">
      <w:pPr>
        <w:spacing w:line="360" w:lineRule="auto"/>
        <w:jc w:val="both"/>
        <w:rPr>
          <w:rFonts w:ascii="Arial" w:hAnsi="Arial" w:cs="Arial"/>
          <w:sz w:val="24"/>
          <w:szCs w:val="24"/>
        </w:rPr>
      </w:pPr>
    </w:p>
    <w:p w14:paraId="424F3E9D" w14:textId="77777777" w:rsidR="008809AF" w:rsidRPr="00256747" w:rsidRDefault="008809AF" w:rsidP="00256747">
      <w:pPr>
        <w:pStyle w:val="Heading2"/>
        <w:spacing w:before="0" w:after="120" w:line="360" w:lineRule="auto"/>
        <w:jc w:val="center"/>
        <w:rPr>
          <w:rFonts w:ascii="Arial" w:eastAsia="Google Sans" w:hAnsi="Arial" w:cs="Arial"/>
          <w:b/>
          <w:bCs/>
          <w:color w:val="1F1F1F"/>
          <w:sz w:val="24"/>
          <w:szCs w:val="24"/>
        </w:rPr>
      </w:pPr>
      <w:r w:rsidRPr="00256747">
        <w:rPr>
          <w:rFonts w:ascii="Arial" w:eastAsia="Google Sans" w:hAnsi="Arial" w:cs="Arial"/>
          <w:b/>
          <w:bCs/>
          <w:color w:val="1F1F1F"/>
          <w:sz w:val="24"/>
          <w:szCs w:val="24"/>
        </w:rPr>
        <w:lastRenderedPageBreak/>
        <w:t>Abstract</w:t>
      </w:r>
    </w:p>
    <w:p w14:paraId="556CA056" w14:textId="495650C8" w:rsidR="00F514A5" w:rsidRPr="00C33589" w:rsidRDefault="00F514A5" w:rsidP="00C33589">
      <w:pPr>
        <w:pStyle w:val="Heading2"/>
        <w:spacing w:before="0" w:after="120" w:line="360" w:lineRule="auto"/>
        <w:jc w:val="both"/>
        <w:rPr>
          <w:rFonts w:ascii="Arial" w:eastAsia="Google Sans" w:hAnsi="Arial" w:cs="Arial"/>
          <w:color w:val="1F1F1F"/>
          <w:sz w:val="24"/>
          <w:szCs w:val="24"/>
        </w:rPr>
      </w:pPr>
    </w:p>
    <w:p w14:paraId="434FF86E" w14:textId="77777777" w:rsidR="00F514A5" w:rsidRPr="00C33589" w:rsidRDefault="00F514A5"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Working in the modern hospitality industry is currently extremely challenging. During my placement, I saw first-hand how the sector struggles with severe staff shortages, rising operational costs, and unpredictable guest numbers. To survive this hostile economic environment, budget hotels have entirely abandoned traditional, bloated management hierarchies. For my placement research project, I decided to examine just one specific, highly concentrated phenomenon: the psychological and operational realities of the "Manager on Duty" MOD role at the Premier Inn Melton Mowbray. I used my time there as a real-world case study to understand the daily realities of this hyper-hybridised management style, moving far beyond the idealised theories taught in university classrooms to see how corporate strategies actually impact the cognitive load of frontline leaders. (Singal, 2015; CCTV, 2025).</w:t>
      </w:r>
    </w:p>
    <w:p w14:paraId="6DFA7118" w14:textId="77777777" w:rsidR="00F514A5" w:rsidRPr="00C33589" w:rsidRDefault="00F514A5"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 goal of my research is to observe how "Managerial Hybridity"—the blending of diverse administrative, logistical, and guest-facing duties into one role—functions in real life within a prominent hotel. During my time at the hotel, I noticed that the entire operation was kept afloat by a tight-knit core team of about five managers who rotate constantly. Whoever is scheduled as the MOD must do absolutely everything, from complex HR payroll tasks on digital platforms to managing physical stock, whilst simultaneously acting as the primary face of guest relations. I analysed how this intense concentration of duties helps Whitbread PLC achieve its corporate goal of "Everyday Efficiency" while simultaneously exposing the managers to severe psychological risks. (Atkinson, 1984; Hunter, 2025).</w:t>
      </w:r>
    </w:p>
    <w:p w14:paraId="3BD19D74" w14:textId="77777777" w:rsidR="00F514A5" w:rsidRPr="00C33589" w:rsidRDefault="00F514A5"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Methodologically, I used a qualitative case study approach, conducting participant observation and taking detailed daily notes while working my shifts. I rigorously compared my personal observations with academic journals regarding cognitive switching costs, emotional labour, and Transactive Memory Systems. What I found was that having five managers who rotate and cover every single operational facet brilliantly saves money and creates robust operational resilience. It completely breaks down </w:t>
      </w:r>
      <w:r w:rsidRPr="00C33589">
        <w:rPr>
          <w:rFonts w:ascii="Arial" w:eastAsia="Google Sans" w:hAnsi="Arial" w:cs="Arial"/>
          <w:color w:val="1F1F1F"/>
          <w:sz w:val="24"/>
          <w:szCs w:val="24"/>
        </w:rPr>
        <w:lastRenderedPageBreak/>
        <w:t>traditional departmental walls and ensures the hotel never stops running, even if an unexpected surge in guests occurs due to local events like the Melton Mowbray food festivals. (Awad &amp; Martín-Rojas, 2024).</w:t>
      </w:r>
    </w:p>
    <w:p w14:paraId="73924F2B" w14:textId="77777777" w:rsidR="00F514A5" w:rsidRPr="00C33589" w:rsidRDefault="00F514A5"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However, I also witnessed the severe dark side of this relentless multi-skilling strategy. The cognitive switching costs of moving instantly from a back-office spreadsheet to an angry guest in the lobby places massive emotional stress on the MOD. These managers suffer from intense role conflict, role ambiguity, and emotional exhaustion, risking severe occupational burnout. Consequently, my recommendations focus entirely on safeguarding this critical core team. I suggest creating a formalised MOD cross-training playbook, implementing strict cognitive decompression periods during shifts, and formally mapping the team's Transactive Memory System to ensure that the pursuit of extreme corporate efficiency does not ultimately destroy the human capital required to sustain it. (Choi et al., 2019; Trisninawati &amp; Supardin, 2025).</w:t>
      </w:r>
    </w:p>
    <w:p w14:paraId="6FB9BE0B" w14:textId="77777777" w:rsidR="006E4558" w:rsidRPr="00C33589" w:rsidRDefault="006E4558"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33FF6220" w14:textId="77777777" w:rsidR="006E4558" w:rsidRPr="00C33589" w:rsidRDefault="006E4558"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0B67EF78" w14:textId="77777777" w:rsidR="006E4558" w:rsidRPr="00C33589" w:rsidRDefault="006E4558"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01FAF836" w14:textId="77777777" w:rsidR="006E4558" w:rsidRPr="00C33589" w:rsidRDefault="006E4558"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647ADD32" w14:textId="77777777" w:rsidR="006E4558" w:rsidRPr="00C33589" w:rsidRDefault="006E4558"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770F87C5" w14:textId="77777777" w:rsidR="006E4558" w:rsidRPr="00C33589" w:rsidRDefault="006E4558"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20C627AB" w14:textId="77777777" w:rsidR="00240060" w:rsidRPr="00C33589" w:rsidRDefault="0024006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4C59305C" w14:textId="77777777" w:rsidR="00240060" w:rsidRPr="00C33589" w:rsidRDefault="0024006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02BD3F65" w14:textId="77777777" w:rsidR="00240060" w:rsidRPr="00C33589" w:rsidRDefault="0024006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74F0B996" w14:textId="77777777" w:rsidR="00240060" w:rsidRPr="00C33589" w:rsidRDefault="0024006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2EB72EA9" w14:textId="77777777" w:rsidR="00C37E7C" w:rsidRPr="00C33589" w:rsidRDefault="00C37E7C"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39FBF068" w14:textId="77777777" w:rsidR="004079EA" w:rsidRDefault="004079EA" w:rsidP="004079EA">
      <w:pPr>
        <w:pBdr>
          <w:top w:val="nil"/>
          <w:left w:val="nil"/>
          <w:bottom w:val="nil"/>
          <w:right w:val="nil"/>
          <w:between w:val="nil"/>
        </w:pBdr>
        <w:spacing w:after="240" w:line="360" w:lineRule="auto"/>
        <w:jc w:val="center"/>
        <w:rPr>
          <w:rFonts w:ascii="Arial" w:eastAsia="Google Sans" w:hAnsi="Arial" w:cs="Arial"/>
          <w:b/>
          <w:bCs/>
          <w:color w:val="1F1F1F"/>
          <w:sz w:val="24"/>
          <w:szCs w:val="24"/>
        </w:rPr>
      </w:pPr>
      <w:r w:rsidRPr="004079EA">
        <w:rPr>
          <w:rFonts w:ascii="Arial" w:eastAsia="Google Sans" w:hAnsi="Arial" w:cs="Arial"/>
          <w:b/>
          <w:bCs/>
          <w:color w:val="1F1F1F"/>
          <w:sz w:val="24"/>
          <w:szCs w:val="24"/>
        </w:rPr>
        <w:lastRenderedPageBreak/>
        <w:t>Table of contents</w:t>
      </w:r>
    </w:p>
    <w:p w14:paraId="4165E5CA" w14:textId="77777777" w:rsidR="004079EA" w:rsidRPr="004079EA" w:rsidRDefault="004079EA" w:rsidP="004079EA">
      <w:pPr>
        <w:pBdr>
          <w:top w:val="nil"/>
          <w:left w:val="nil"/>
          <w:bottom w:val="nil"/>
          <w:right w:val="nil"/>
          <w:between w:val="nil"/>
        </w:pBdr>
        <w:spacing w:after="240" w:line="360" w:lineRule="auto"/>
        <w:jc w:val="center"/>
        <w:rPr>
          <w:rFonts w:ascii="Arial" w:eastAsia="Google Sans" w:hAnsi="Arial" w:cs="Arial"/>
          <w:b/>
          <w:bCs/>
          <w:color w:val="1F1F1F"/>
          <w:sz w:val="24"/>
          <w:szCs w:val="24"/>
        </w:rPr>
      </w:pPr>
    </w:p>
    <w:p w14:paraId="77B808AD" w14:textId="01C7D2A4"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Chapter 1: Introduction</w:t>
      </w:r>
      <w:r w:rsidR="00E957F5">
        <w:rPr>
          <w:rFonts w:ascii="Arial" w:eastAsia="Google Sans" w:hAnsi="Arial" w:cs="Arial"/>
          <w:color w:val="1F1F1F"/>
          <w:sz w:val="24"/>
          <w:szCs w:val="24"/>
        </w:rPr>
        <w:t>…………………………………………………………………..7</w:t>
      </w:r>
    </w:p>
    <w:p w14:paraId="1265C0E4" w14:textId="023320F9"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Chapter 2: Literature Review</w:t>
      </w:r>
      <w:r w:rsidR="00E957F5">
        <w:rPr>
          <w:rFonts w:ascii="Arial" w:eastAsia="Google Sans" w:hAnsi="Arial" w:cs="Arial"/>
          <w:color w:val="1F1F1F"/>
          <w:sz w:val="24"/>
          <w:szCs w:val="24"/>
        </w:rPr>
        <w:t>……………………………………………………………9</w:t>
      </w:r>
    </w:p>
    <w:p w14:paraId="40638BC2" w14:textId="7F187C5F"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2.1 The Evolution of Managerial Hybridity in Hospitality</w:t>
      </w:r>
      <w:r w:rsidR="00E957F5">
        <w:rPr>
          <w:rFonts w:ascii="Arial" w:eastAsia="Google Sans" w:hAnsi="Arial" w:cs="Arial"/>
          <w:color w:val="1F1F1F"/>
          <w:sz w:val="24"/>
          <w:szCs w:val="24"/>
        </w:rPr>
        <w:t>…………………………...10</w:t>
      </w:r>
    </w:p>
    <w:p w14:paraId="73BB2D3E" w14:textId="3009B2AE"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2.2 Cognitive Switching Costs and Task Demands</w:t>
      </w:r>
      <w:r w:rsidR="00E957F5">
        <w:rPr>
          <w:rFonts w:ascii="Arial" w:eastAsia="Google Sans" w:hAnsi="Arial" w:cs="Arial"/>
          <w:color w:val="1F1F1F"/>
          <w:sz w:val="24"/>
          <w:szCs w:val="24"/>
        </w:rPr>
        <w:t>…………………………………11</w:t>
      </w:r>
    </w:p>
    <w:p w14:paraId="5E5F3714" w14:textId="1BCE811F"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2.3 Transactive Memory Systems in Small Management Teams</w:t>
      </w:r>
      <w:r w:rsidR="00E957F5">
        <w:rPr>
          <w:rFonts w:ascii="Arial" w:eastAsia="Google Sans" w:hAnsi="Arial" w:cs="Arial"/>
          <w:color w:val="1F1F1F"/>
          <w:sz w:val="24"/>
          <w:szCs w:val="24"/>
        </w:rPr>
        <w:t>…………………12</w:t>
      </w:r>
    </w:p>
    <w:p w14:paraId="382958B0" w14:textId="4CE46A1D"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2.4 Role Conflict and Role Ambiguity</w:t>
      </w:r>
      <w:r w:rsidR="00E957F5">
        <w:rPr>
          <w:rFonts w:ascii="Arial" w:eastAsia="Google Sans" w:hAnsi="Arial" w:cs="Arial"/>
          <w:color w:val="1F1F1F"/>
          <w:sz w:val="24"/>
          <w:szCs w:val="24"/>
        </w:rPr>
        <w:t>…………………………………………………13</w:t>
      </w:r>
    </w:p>
    <w:p w14:paraId="0F7CC5EB" w14:textId="0D377835"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2.5 Emotional Labour and Surface Acting</w:t>
      </w:r>
      <w:r w:rsidR="00E957F5">
        <w:rPr>
          <w:rFonts w:ascii="Arial" w:eastAsia="Google Sans" w:hAnsi="Arial" w:cs="Arial"/>
          <w:color w:val="1F1F1F"/>
          <w:sz w:val="24"/>
          <w:szCs w:val="24"/>
        </w:rPr>
        <w:t>……………………………………………13</w:t>
      </w:r>
    </w:p>
    <w:p w14:paraId="5BF7EBA3" w14:textId="2E0B2976"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2.6 The Conservation of Resources Theory and Occupational Burnout</w:t>
      </w:r>
      <w:r w:rsidR="00E957F5">
        <w:rPr>
          <w:rFonts w:ascii="Arial" w:eastAsia="Google Sans" w:hAnsi="Arial" w:cs="Arial"/>
          <w:color w:val="1F1F1F"/>
          <w:sz w:val="24"/>
          <w:szCs w:val="24"/>
        </w:rPr>
        <w:t>………….14</w:t>
      </w:r>
    </w:p>
    <w:p w14:paraId="162FD765" w14:textId="33386D07"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2.7 Resilience Engineering and Regulatory Compliance (Martyn's Law)</w:t>
      </w:r>
      <w:r w:rsidR="00E957F5">
        <w:rPr>
          <w:rFonts w:ascii="Arial" w:eastAsia="Google Sans" w:hAnsi="Arial" w:cs="Arial"/>
          <w:color w:val="1F1F1F"/>
          <w:sz w:val="24"/>
          <w:szCs w:val="24"/>
        </w:rPr>
        <w:t>………….14</w:t>
      </w:r>
    </w:p>
    <w:p w14:paraId="3DD13E30" w14:textId="6DDACEA0"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Chapter 3: Methods</w:t>
      </w:r>
      <w:r w:rsidR="00E957F5">
        <w:rPr>
          <w:rFonts w:ascii="Arial" w:eastAsia="Google Sans" w:hAnsi="Arial" w:cs="Arial"/>
          <w:color w:val="1F1F1F"/>
          <w:sz w:val="24"/>
          <w:szCs w:val="24"/>
        </w:rPr>
        <w:t>………………………………………………………………………15</w:t>
      </w:r>
    </w:p>
    <w:p w14:paraId="30C665D4" w14:textId="2FBACD74"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3.1 Rationale for the Case Study Approach and Epistemological Stance</w:t>
      </w:r>
      <w:r w:rsidR="00E957F5">
        <w:rPr>
          <w:rFonts w:ascii="Arial" w:eastAsia="Google Sans" w:hAnsi="Arial" w:cs="Arial"/>
          <w:color w:val="1F1F1F"/>
          <w:sz w:val="24"/>
          <w:szCs w:val="24"/>
        </w:rPr>
        <w:t>………….16</w:t>
      </w:r>
    </w:p>
    <w:p w14:paraId="37EB64B7" w14:textId="4D7D078C"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3.2 Participant Observation, Positionality, and Deep Reflexivity</w:t>
      </w:r>
      <w:r w:rsidR="00E957F5">
        <w:rPr>
          <w:rFonts w:ascii="Arial" w:eastAsia="Google Sans" w:hAnsi="Arial" w:cs="Arial"/>
          <w:color w:val="1F1F1F"/>
          <w:sz w:val="24"/>
          <w:szCs w:val="24"/>
        </w:rPr>
        <w:t>…………………….16</w:t>
      </w:r>
    </w:p>
    <w:p w14:paraId="3FE0CC2B" w14:textId="6873EDCB"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3.3 Data Analysis via Reflexive Thematic Analysis</w:t>
      </w:r>
      <w:r w:rsidR="00E957F5">
        <w:rPr>
          <w:rFonts w:ascii="Arial" w:eastAsia="Google Sans" w:hAnsi="Arial" w:cs="Arial"/>
          <w:color w:val="1F1F1F"/>
          <w:sz w:val="24"/>
          <w:szCs w:val="24"/>
        </w:rPr>
        <w:t>……………………………………17</w:t>
      </w:r>
    </w:p>
    <w:p w14:paraId="1FE0713B" w14:textId="0509B3E0"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3.4 Data Triangulation and Secondary Analysis</w:t>
      </w:r>
      <w:r w:rsidR="00E957F5">
        <w:rPr>
          <w:rFonts w:ascii="Arial" w:eastAsia="Google Sans" w:hAnsi="Arial" w:cs="Arial"/>
          <w:color w:val="1F1F1F"/>
          <w:sz w:val="24"/>
          <w:szCs w:val="24"/>
        </w:rPr>
        <w:t>………………………………………18</w:t>
      </w:r>
    </w:p>
    <w:p w14:paraId="3240A7FC" w14:textId="068B833B"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3.5 Limitations of the Methodology</w:t>
      </w:r>
      <w:r w:rsidR="00E957F5">
        <w:rPr>
          <w:rFonts w:ascii="Arial" w:eastAsia="Google Sans" w:hAnsi="Arial" w:cs="Arial"/>
          <w:color w:val="1F1F1F"/>
          <w:sz w:val="24"/>
          <w:szCs w:val="24"/>
        </w:rPr>
        <w:t>………………………………………..……………18</w:t>
      </w:r>
    </w:p>
    <w:p w14:paraId="46F7F3C0" w14:textId="049A837A"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Chapter 4: Findings and Discussion</w:t>
      </w:r>
      <w:r w:rsidR="00E957F5">
        <w:rPr>
          <w:rFonts w:ascii="Arial" w:eastAsia="Google Sans" w:hAnsi="Arial" w:cs="Arial"/>
          <w:color w:val="1F1F1F"/>
          <w:sz w:val="24"/>
          <w:szCs w:val="24"/>
        </w:rPr>
        <w:t>…………………………………………………….20</w:t>
      </w:r>
    </w:p>
    <w:p w14:paraId="3A728638" w14:textId="40B24307"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4.1 Findings: The Reality of the Hybrid MOD Role</w:t>
      </w:r>
      <w:r w:rsidR="00E957F5">
        <w:rPr>
          <w:rFonts w:ascii="Arial" w:eastAsia="Google Sans" w:hAnsi="Arial" w:cs="Arial"/>
          <w:color w:val="1F1F1F"/>
          <w:sz w:val="24"/>
          <w:szCs w:val="24"/>
        </w:rPr>
        <w:t>…………………………………….20</w:t>
      </w:r>
    </w:p>
    <w:p w14:paraId="0234EBA2" w14:textId="1AAC4BD0"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4.1.1 Extreme Functional Flexibility in Action</w:t>
      </w:r>
      <w:r w:rsidR="00E957F5">
        <w:rPr>
          <w:rFonts w:ascii="Arial" w:eastAsia="Google Sans" w:hAnsi="Arial" w:cs="Arial"/>
          <w:color w:val="1F1F1F"/>
          <w:sz w:val="24"/>
          <w:szCs w:val="24"/>
        </w:rPr>
        <w:t>…………………………………………..21</w:t>
      </w:r>
    </w:p>
    <w:p w14:paraId="14CCD2EB" w14:textId="3583F1A1"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lastRenderedPageBreak/>
        <w:t>4.1.2 The Isolation of the Hybrid Manager</w:t>
      </w:r>
      <w:r w:rsidR="00E957F5">
        <w:rPr>
          <w:rFonts w:ascii="Arial" w:eastAsia="Google Sans" w:hAnsi="Arial" w:cs="Arial"/>
          <w:color w:val="1F1F1F"/>
          <w:sz w:val="24"/>
          <w:szCs w:val="24"/>
        </w:rPr>
        <w:t>……………………………………………22</w:t>
      </w:r>
    </w:p>
    <w:p w14:paraId="55D27079" w14:textId="376D3B2A"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4.2 Discussion: The Psychological Toll of Extreme Efficiency</w:t>
      </w:r>
      <w:r w:rsidR="00E957F5">
        <w:rPr>
          <w:rFonts w:ascii="Arial" w:eastAsia="Google Sans" w:hAnsi="Arial" w:cs="Arial"/>
          <w:color w:val="1F1F1F"/>
          <w:sz w:val="24"/>
          <w:szCs w:val="24"/>
        </w:rPr>
        <w:t>………………….….22</w:t>
      </w:r>
    </w:p>
    <w:p w14:paraId="5E089DBC" w14:textId="611E954E"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4.2.1 Cognitive Switching Costs and Managerial Overload</w:t>
      </w:r>
      <w:r w:rsidR="00E957F5">
        <w:rPr>
          <w:rFonts w:ascii="Arial" w:eastAsia="Google Sans" w:hAnsi="Arial" w:cs="Arial"/>
          <w:color w:val="1F1F1F"/>
          <w:sz w:val="24"/>
          <w:szCs w:val="24"/>
        </w:rPr>
        <w:t>………………………..23</w:t>
      </w:r>
    </w:p>
    <w:p w14:paraId="68212E7E" w14:textId="269C64D2"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4.2.2 The Burden of Emotional Labour and Surface Acting</w:t>
      </w:r>
      <w:r w:rsidR="00E957F5">
        <w:rPr>
          <w:rFonts w:ascii="Arial" w:eastAsia="Google Sans" w:hAnsi="Arial" w:cs="Arial"/>
          <w:color w:val="1F1F1F"/>
          <w:sz w:val="24"/>
          <w:szCs w:val="24"/>
        </w:rPr>
        <w:t>………………………..24</w:t>
      </w:r>
    </w:p>
    <w:p w14:paraId="3EBE0237" w14:textId="7A626E08"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4.2.3 Reliance on the Transactive Memory System</w:t>
      </w:r>
      <w:r w:rsidR="00E957F5">
        <w:rPr>
          <w:rFonts w:ascii="Arial" w:eastAsia="Google Sans" w:hAnsi="Arial" w:cs="Arial"/>
          <w:color w:val="1F1F1F"/>
          <w:sz w:val="24"/>
          <w:szCs w:val="24"/>
        </w:rPr>
        <w:t>…………………………………24</w:t>
      </w:r>
    </w:p>
    <w:p w14:paraId="1C6A9125" w14:textId="41DF305D"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4.2.4 The Local Context: Volatility and the 2026 Wage Crisis</w:t>
      </w:r>
      <w:r w:rsidR="00E957F5">
        <w:rPr>
          <w:rFonts w:ascii="Arial" w:eastAsia="Google Sans" w:hAnsi="Arial" w:cs="Arial"/>
          <w:color w:val="1F1F1F"/>
          <w:sz w:val="24"/>
          <w:szCs w:val="24"/>
        </w:rPr>
        <w:t>……………………..25</w:t>
      </w:r>
    </w:p>
    <w:p w14:paraId="52A07DD3" w14:textId="46A8A602"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4.2.5 The Looming Challenge of Martyn's Law and Security Compliance</w:t>
      </w:r>
      <w:r w:rsidR="00E957F5">
        <w:rPr>
          <w:rFonts w:ascii="Arial" w:eastAsia="Google Sans" w:hAnsi="Arial" w:cs="Arial"/>
          <w:color w:val="1F1F1F"/>
          <w:sz w:val="24"/>
          <w:szCs w:val="24"/>
        </w:rPr>
        <w:t>………..25</w:t>
      </w:r>
    </w:p>
    <w:p w14:paraId="36452F36" w14:textId="2D9275E9"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Chapter 5: Conclusion and Recommendations</w:t>
      </w:r>
      <w:r w:rsidR="00E957F5">
        <w:rPr>
          <w:rFonts w:ascii="Arial" w:eastAsia="Google Sans" w:hAnsi="Arial" w:cs="Arial"/>
          <w:color w:val="1F1F1F"/>
          <w:sz w:val="24"/>
          <w:szCs w:val="24"/>
        </w:rPr>
        <w:t>………………………………………26</w:t>
      </w:r>
    </w:p>
    <w:p w14:paraId="4AF8770B" w14:textId="1075ADE9"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5.1 Conclusion</w:t>
      </w:r>
      <w:r w:rsidR="00E957F5">
        <w:rPr>
          <w:rFonts w:ascii="Arial" w:eastAsia="Google Sans" w:hAnsi="Arial" w:cs="Arial"/>
          <w:color w:val="1F1F1F"/>
          <w:sz w:val="24"/>
          <w:szCs w:val="24"/>
        </w:rPr>
        <w:t>……………………………………………………………………………26</w:t>
      </w:r>
    </w:p>
    <w:p w14:paraId="2BD9B9D0" w14:textId="485B6625" w:rsidR="003E288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5.2 Recommendations and Practical Strategies</w:t>
      </w:r>
      <w:r w:rsidR="00E957F5">
        <w:rPr>
          <w:rFonts w:ascii="Arial" w:eastAsia="Google Sans" w:hAnsi="Arial" w:cs="Arial"/>
          <w:color w:val="1F1F1F"/>
          <w:sz w:val="24"/>
          <w:szCs w:val="24"/>
        </w:rPr>
        <w:t>………………………………………26</w:t>
      </w:r>
    </w:p>
    <w:p w14:paraId="630F0663" w14:textId="4F56FB3F" w:rsidR="00716A21" w:rsidRPr="003E2881" w:rsidRDefault="003E288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3E2881">
        <w:rPr>
          <w:rFonts w:ascii="Arial" w:eastAsia="Google Sans" w:hAnsi="Arial" w:cs="Arial"/>
          <w:color w:val="1F1F1F"/>
          <w:sz w:val="24"/>
          <w:szCs w:val="24"/>
        </w:rPr>
        <w:t>References</w:t>
      </w:r>
      <w:r w:rsidR="00E957F5">
        <w:rPr>
          <w:rFonts w:ascii="Arial" w:eastAsia="Google Sans" w:hAnsi="Arial" w:cs="Arial"/>
          <w:color w:val="1F1F1F"/>
          <w:sz w:val="24"/>
          <w:szCs w:val="24"/>
        </w:rPr>
        <w:t>…………………………………………………………………………………27</w:t>
      </w:r>
    </w:p>
    <w:p w14:paraId="6B761696" w14:textId="77777777" w:rsidR="00716A21" w:rsidRPr="003E2881" w:rsidRDefault="00716A21" w:rsidP="003E2881">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33051772"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60958F58"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442229E9"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62215AC6"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20435575"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6A6E79BF"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3DF69F67" w14:textId="77777777" w:rsidR="00EA3F90" w:rsidRPr="00AD594C" w:rsidRDefault="00EA3F90" w:rsidP="00C33589">
      <w:pPr>
        <w:pStyle w:val="Heading2"/>
        <w:spacing w:before="24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lastRenderedPageBreak/>
        <w:t>Chapter 1: Introduction</w:t>
      </w:r>
    </w:p>
    <w:p w14:paraId="394E081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 hospitality sector is a massive but inherently fragile pillar of the global economy. As a student entering this fast-paced field, it became abundantly clear during my placement that hotels constantly battle uncontrollable external forces. Since the COVID-19 pandemic, operators have faced a daunting "profitability paradox," where high occupancy rates do not necessarily translate into higher net profits due to skyrocketing electricity, food, and wage costs. To survive this ongoing turbulence, organisations have fundamentally restructured their operational models, pivoting away from traditional, siloed hierarchies toward highly agile, lean management configurations. (Goh &amp; Lee, 2018; Kalleberg, 2003; Alam, 2024).</w:t>
      </w:r>
    </w:p>
    <w:p w14:paraId="019818E5"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This urgency is compounded by imminent UK legislative changes, a topic the management team frequently discussed during my shifts. The Government recently announced that from April 2026, the National Living Wage will increase by 4.1% to £12.71 per hour. To successfully counter this immense financial pressure, Whitbread PLC, the parent company of Premier Inn, officially raised its cost efficiency savings target to between £75 million and £80 million for the current financial year. Consequently, the corporate "Everyday Efficiency" mandate is an immediate, daily operational necessity that forces local hotel managers to heavily scrutinise and consolidate every single leadership role within the building. (Low Pay Commission, 2025; PwC, 2026; Investing.com, 2026).</w:t>
      </w:r>
    </w:p>
    <w:p w14:paraId="42FFBCD1"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Beyond financial legislation, during my placement, I also became acutely aware of a new regulatory challenge looming over the sector that will fundamentally alter hotel operations: the Terrorism (Protection of Premises) Act 2025, commonly known as Martyn's Law. This legislation mandates that public premises significantly improve their protective security and organisational preparedness. The Act requires that staff in customer-facing roles undergo strict security training to ensure they can respond appropriately during an emergency. This creates a severe operational paradox for budget hotels relying on fractional workforces, ultimately pushing the entire burden of legal compliance and crisis management directly onto the shoulders of the shift manager. (Home Office, 2025; Institute of Licensing, 2025; UKHospitality, 2025).</w:t>
      </w:r>
    </w:p>
    <w:p w14:paraId="67FB7D8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bookmarkStart w:id="0" w:name="_Hlk223643796"/>
      <w:bookmarkStart w:id="1" w:name="_Hlk223643952"/>
      <w:r w:rsidRPr="00C33589">
        <w:rPr>
          <w:rFonts w:ascii="Arial" w:eastAsia="Google Sans" w:hAnsi="Arial" w:cs="Arial"/>
          <w:color w:val="1F1F1F"/>
          <w:sz w:val="24"/>
          <w:szCs w:val="24"/>
        </w:rPr>
        <w:lastRenderedPageBreak/>
        <w:t>The Melton Mowbray location serves as a fascinating, highly specific example of a rural budget hotel attempting to execute this extreme managerial consolidation. Famous worldwide as the "Rural Capital of Food", the town attracts corporate guests during the week and massive influxes of leisure tourists on weekends. Major regional events, like the Great British Pie Awards (which draws over 900 pie entries to St. Mary's Church), create massive, sudden spikes in hotel occupancy. Delivering a premium, consistent experience on a budget price during these unpredictable tourist spikes requires a highly specific, heavily burdened leadership strategy. Furthermore, the local economy is shifting rapidly; the construction of the £49.5 million Melton Mowbray Distributor Road means the hotel fiercely competes for local workers, making the retention of its core management team an absolute existential priority. (Vegetarian Society, 2025; Visit Leicester, 2025; Department for Transport, 2023).</w:t>
      </w:r>
    </w:p>
    <w:bookmarkEnd w:id="0"/>
    <w:p w14:paraId="360BCD6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During my placement, I focused my attention entirely on one remarkable phenomenon: the intense, multifaceted reality of the "Manager on Duty" (MOD) role. There was no bloated hierarchy of directors or specialised department heads at this property. Instead, the entire daily operation was kept afloat by a highly skilled core team of just five rotating managers. General Manager Nicola was heavily involved in granular details like complex payroll processing, utilising advanced digital HR platforms like Personio. Second Manager Rihane controlled all physical stock, from perishable canteen food to high-volume guest room supplies. Crucially, due to the rotational schedule, whoever was designated as the MOD on any given day had to possess the hybrid skills to execute all of these tasks simultaneously while managing the front desk. (Whitbread PLC, 2024; Personio, 2025; Canary Technologies, 2024).</w:t>
      </w:r>
    </w:p>
    <w:bookmarkEnd w:id="1"/>
    <w:p w14:paraId="7DD2EF8E"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This complete reliance on a hyper-flexible MOD creates a fascinating operational paradox. On one hand, it represents the pinnacle of lean management, ensuring that the hotel operates with absolute minimal managerial overhead. On the other hand, as a student observing this dynamic daily, I realised that placing the entire cognitive, administrative, and emotional burden of a 24/7 hotel operation onto the shoulders of a single rotating individual creates an intensely stressful environment. The MOD must constantly switch between deep, analytical back-office work and highly performative, </w:t>
      </w:r>
      <w:r w:rsidRPr="00C33589">
        <w:rPr>
          <w:rFonts w:ascii="Arial" w:eastAsia="Google Sans" w:hAnsi="Arial" w:cs="Arial"/>
          <w:color w:val="1F1F1F"/>
          <w:sz w:val="24"/>
          <w:szCs w:val="24"/>
        </w:rPr>
        <w:lastRenderedPageBreak/>
        <w:t>empathetic guest relations, whilst the peripheral housekeeping staff provide only physical labour with no cross-training relief (Dempsey, 2021).</w:t>
      </w:r>
    </w:p>
    <w:p w14:paraId="203D1B51"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Therefore, the sole focus of this research project is to critically evaluate the psychological and operational impacts of this specific management structure. By looking exclusively through the theoretical lenses of Managerial Hybridity, Cognitive Load Theory, and Emotional Labour, I aim to dissect the reality of the MOD role. My core research question is: How does the extreme functional flexibility and managerial hybridity required of the 'Manager on Duty' impact cognitive switching costs, emotional exhaustion, and overall operational resilience within a highly constrained budget hotel environment? (Atkinson, 1984; Atkinson &amp; Meager, 1986; Whitbread PLC, 2025).</w:t>
      </w:r>
    </w:p>
    <w:p w14:paraId="634DA84C" w14:textId="77777777" w:rsidR="00EA3F90" w:rsidRPr="00AD594C" w:rsidRDefault="00EA3F90" w:rsidP="00C33589">
      <w:pPr>
        <w:pStyle w:val="Heading2"/>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Chapter 2: Literature Review</w:t>
      </w:r>
    </w:p>
    <w:p w14:paraId="353E5C74"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To properly analyse my singular focus on the MOD role and elevate my observations from anecdotal experience to rigorous academic research, I conducted an extensive, deeply targeted review of existing literature. This review systematically breaks down the precise psychological and operational mechanisms that define hybrid management. The themes explored include the evolution of Managerial Hybridity, Cognitive Switching Costs, Transactive Memory Systems, Role Conflict, Emotional Labour, and the Conservation of Resources Theory. Reading these specific studies helped me connect the abstract psychological concepts from my university textbooks directly to the real-life stress I witnessed on the hotel floor. (Kabir, 2024; Braun &amp; Clarke, 2024; Bunea et al., 2025).</w:t>
      </w:r>
    </w:p>
    <w:p w14:paraId="346D96BF"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2.1 The Evolution of Managerial Hybridity in Hospitality</w:t>
      </w:r>
    </w:p>
    <w:p w14:paraId="6B3CF79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The foundational concept required to understand the modern MOD role is "Managerial Hybridity." Historically, the hotel industry relied on rigid, Taylorist divisions of labour, where managers possessed singular, highly specialised domains—a Front Office Manager managed the desk, an HR Manager managed payroll, and an F&amp;B Manager controlled the restaurant stock. However, modern management literature identifies that this siloed approach is financially unviable for contemporary budget hotels. Managerial hybridity occurs when professionals are forced to amalgamate distinctly different </w:t>
      </w:r>
      <w:r w:rsidRPr="00C33589">
        <w:rPr>
          <w:rFonts w:ascii="Arial" w:eastAsia="Google Sans" w:hAnsi="Arial" w:cs="Arial"/>
          <w:color w:val="1F1F1F"/>
          <w:sz w:val="24"/>
          <w:szCs w:val="24"/>
        </w:rPr>
        <w:lastRenderedPageBreak/>
        <w:t>professional identities and skill sets into one fluid role. (Bagguley, 1990; Farnham, 2011; Kalleberg, 2003).</w:t>
      </w:r>
    </w:p>
    <w:p w14:paraId="1CF39D1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In the context of the modern budget hotel, hybridity means that a single individual must simultaneously embody the roles of a highly analytical data processor (managing complex software like Personio or executing revenue management strategies) and a highly empathetic host (handling distressed guests and leading a team). Academics note that this is not merely a matter of doing two jobs; it requires fundamentally different cognitive states. The hybrid manager must possess the profound "functional flexibility" necessary to seamlessly transition across vastly different operational paradigms at a moment's notice. (Campling et al., 2006; Berg et al., 2014; Chung, 2020).</w:t>
      </w:r>
    </w:p>
    <w:p w14:paraId="48DE8CF1"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Managerial hybridity is not merely a structural change; it fundamentally alters the psychological landscape of the workplace. When a manager is forced into a hybrid role, they face 'role accumulation,' where the sheer volume of disparate tasks overwhelms their cognitive capacity. This is particularly dangerous in hospitality, where the 'front-stage' performance of emotional labour cannot be paused to accommodate 'back-stage' administrative crises. The resulting cognitive dissonance accelerates emotional exhaustion, creating a fragile operational environment where a single unanticipated shock can cascade into systemic failure. (Castaño et al., 2025; Kim, 2025; Lee &amp; Hwang, 2016).</w:t>
      </w:r>
    </w:p>
    <w:p w14:paraId="1CD1D09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This extreme level of functional flexibility is the ultimate goal of corporate strategies like Whitbread's "Everyday Efficiency." By cultivating a highly concentrated pool of hybrid managers, the organisation can seamlessly navigate staff absenteeism and operational bottlenecks without resorting to expensive external staffing hierarchies. However, literature warns that this intense concentration of responsibility inherently creates a psychological pressure cooker, as the boundaries between analytical administration and emotional service delivery completely dissolve. ( Handy, 1989; Stevenson, 2024).</w:t>
      </w:r>
    </w:p>
    <w:p w14:paraId="383D19C9"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2.2 Cognitive Switching Costs and Task Demands</w:t>
      </w:r>
    </w:p>
    <w:p w14:paraId="1B130C7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To understand the daily reality of the MOD, one must examine "Cognitive Switching Costs." Cognitive psychology research demonstrates that human brains are not </w:t>
      </w:r>
      <w:r w:rsidRPr="00C33589">
        <w:rPr>
          <w:rFonts w:ascii="Arial" w:eastAsia="Google Sans" w:hAnsi="Arial" w:cs="Arial"/>
          <w:color w:val="1F1F1F"/>
          <w:sz w:val="24"/>
          <w:szCs w:val="24"/>
        </w:rPr>
        <w:lastRenderedPageBreak/>
        <w:t>naturally designed for rapid, continuous multitasking between complex paradigms. When a manager is deeply engrossed in a highly analytical task—such as calculating payroll discrepancies or auditing perishable stock levels—and is suddenly interrupted to resolve a highly emotional guest complaint at the front desk, the brain incurs a severe "switching cost." (Chen et al., 2023; Oswald, 2024; Civak &amp; Besler, 2022).</w:t>
      </w:r>
    </w:p>
    <w:p w14:paraId="44D0E50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These switching costs manifest as a temporary drop in cognitive performance, slower reaction times, and an increased likelihood of making errors upon returning to the original task. In a busy hotel environment, particularly during peak seasons like the Melton Mowbray food festivals, the MOD experiences dozens, if not hundreds, of these forced cognitive switches per shift. Academic studies on service sector management highlight that this constant toggling between 'back-stage' analytical work and 'front-stage' performative work is one of the primary drivers of unseen mental fatigue. (Cleveland et al., 2007; QX Global Group, 2025; Lepak &amp; Snell, 1999).</w:t>
      </w:r>
    </w:p>
    <w:p w14:paraId="1CEFFEB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Furthermore, the integration of advanced digital systems, while intended to streamline operations, actually exacerbates these cognitive demands. The MOD must constantly monitor digital dashboards, respond to instantaneous online reviews, and manage automated booking platforms, while remaining physically present and hyper-vigilant to the immediate physical needs of the guests in the lobby. This intense duality creates an environment where cognitive overload is an ever-present operational hazard. (Appelbaum et al., 2000; Dhir et al., 2019; Guerrier &amp; Lockwood, 1989).</w:t>
      </w:r>
    </w:p>
    <w:p w14:paraId="3E0A6D0B"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2.3 Transactive Memory Systems in Small Management Teams</w:t>
      </w:r>
    </w:p>
    <w:p w14:paraId="3106274C"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Given the massive cognitive demands placed on the rotating MOD, how does a small team of five managers actually sustain a 24/7 operation without catastrophic failure? The academic answer lies in the theory of "Transactive Memory Systems" (TMS). Developed by Daniel Wegner, a TMS is a psychological hypothesis detailing how groups collectively encode, store, and retrieve knowledge. In a highly functional team, individuals do not need to memorise every single piece of operational data; rather, they simply need to remember </w:t>
      </w:r>
      <w:r w:rsidRPr="00C33589">
        <w:rPr>
          <w:rFonts w:ascii="Arial" w:eastAsia="Google Sans" w:hAnsi="Arial" w:cs="Arial"/>
          <w:i/>
          <w:iCs/>
          <w:color w:val="1F1F1F"/>
          <w:sz w:val="24"/>
          <w:szCs w:val="24"/>
        </w:rPr>
        <w:t>who</w:t>
      </w:r>
      <w:r w:rsidRPr="00C33589">
        <w:rPr>
          <w:rFonts w:ascii="Arial" w:eastAsia="Google Sans" w:hAnsi="Arial" w:cs="Arial"/>
          <w:color w:val="1F1F1F"/>
          <w:sz w:val="24"/>
          <w:szCs w:val="24"/>
        </w:rPr>
        <w:t xml:space="preserve"> holds that specific expertise. (Cabrera &amp; Cabrera, 2005; Riley, 1992; Alexandrov et al., 2007).</w:t>
      </w:r>
    </w:p>
    <w:p w14:paraId="541E6274"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In a rotating management structure, the development of a robust TMS is critical for survival. While every MOD possesses a baseline functional flexibility to run a shift, they rely heavily on the specialised deeper knowledge of their peers. For instance, if a rare payroll crisis occurs during a weekend shift, the MOD does not need to be a master of the software; they simply rely on the encoded knowledge that Nicola is the payroll expert, utilising the team's collective memory to navigate the issue. A strong TMS allows a hybrid management team to operate with far greater efficiency than the sum of its individual parts. (Astari &amp; Pagalung, 2023; Mews, 2024; Hodgson et al., 2025).</w:t>
      </w:r>
    </w:p>
    <w:p w14:paraId="2CB3DFCC"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However, organisational research warns that a TMS is highly fragile. Because the knowledge is deeply embedded in the specific individuals comprising the team (tacit knowledge), the sudden departure of a key manager can shatter the entire cognitive network. If the designated "stock expert" leaves, the remaining managers suddenly face a massive knowledge deficit, significantly increasing their individual cognitive loads until a new system of shared memory is painstakingly rebuilt. (Castaño et al., 2025; MacInnes, 1988; Heskett et al., 1994).</w:t>
      </w:r>
    </w:p>
    <w:p w14:paraId="0B9D5EEB"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2.4 Role Conflict and Role Ambiguity</w:t>
      </w:r>
    </w:p>
    <w:p w14:paraId="2F4F0DA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 concentration of diverse responsibilities within the MOD role inevitably breeds profound psychological stressors, primarily categorised as "Role Conflict" and "Role Ambiguity." Role conflict occurs when an individual is confronted with divergent, mutually exclusive expectations. For the hybrid hotel manager, this frequently manifests as the tension between corporate efficiency targets (minimising costs, strict inventory control) and the immediate demands of hospitality (providing generous, time-consuming service to an unhappy guest). (Coaley, 2021; Dolasinski &amp; Reynolds, 2019; Slack et al., 2016).</w:t>
      </w:r>
    </w:p>
    <w:p w14:paraId="06CA8C1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When the MOD is simultaneously responsible for keeping labour costs ruthlessly low while ensuring that every guest receives a premium experience, they are caught in an impossible paradigm. Academic literature notes that this chronic state of conflict leaves employees feeling perpetually inadequate, as success in one metric often necessitates failure in another. Furthermore, "Role Ambiguity" arises when the boundaries of the job </w:t>
      </w:r>
      <w:r w:rsidRPr="00C33589">
        <w:rPr>
          <w:rFonts w:ascii="Arial" w:eastAsia="Google Sans" w:hAnsi="Arial" w:cs="Arial"/>
          <w:color w:val="1F1F1F"/>
          <w:sz w:val="24"/>
          <w:szCs w:val="24"/>
        </w:rPr>
        <w:lastRenderedPageBreak/>
        <w:t>are continuously shifting. Because the MOD is expected to be the ultimate safety net for every conceivable issue within the building, the actual parameters of their job description are completely boundless. (Alam, 2024; Chen et al., 2023; Bunea et al., 2025).</w:t>
      </w:r>
    </w:p>
    <w:p w14:paraId="236C32F5"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This boundlessness is exacerbated by the 24/7 nature of the hospitality industry. Research highlights that managers working in continuous rotation systems frequently suffer from severe "work-family conflict." The inability to mentally disconnect from the boundless responsibilities of the hotel, coupled with the irregular scheduling required to maintain constant MOD coverage, deeply fractures the manager's personal life, serving as one of the highest predictors of managerial turnover in the sector. (Chambi et al., 2023; Jovanovic et al., 2023; Trisninawati &amp; Supardin, 2025).</w:t>
      </w:r>
    </w:p>
    <w:p w14:paraId="08EB9F20"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2.5 Emotional Labour and Surface Acting</w:t>
      </w:r>
    </w:p>
    <w:p w14:paraId="524431FE"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Perhaps the most exhausting element of the MOD role is the requirement for relentless "Emotional Labour." Coined by sociologist Arlie Hochschild, emotional labour refers to the process of managing feelings and expressions to fulfil the emotional requirements of a job. In the hospitality sector, managers are contractually obligated to project warmth, patience, and absolute calm, regardless of their internal emotional state or the chaos occurring behind the scenes. (Perdomo-Verdecia et al., 2022; Barauskienė &amp; Stasėnaitė, 2023; Rousseau, 1989).</w:t>
      </w:r>
    </w:p>
    <w:p w14:paraId="1D3EACE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Literature distinguishes between "deep acting" (attempting to genuinely align one's internal feelings with the required display) and "surface acting" (faking the required emotions while suppressing true feelings). For a hybrid MOD dealing with immense cognitive loads and role conflict, surface acting becomes the default survival mechanism. Faking a smile for a guest while internally panicking about a broken boiler or a missing payroll file requires an immense expenditure of psychological energy. (De Vos &amp; Meganck, 2008; El Shafaki et al., 2024; Kokkranikal &amp; Antony, 2015).</w:t>
      </w:r>
    </w:p>
    <w:p w14:paraId="087CB6C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Furthermore, the MOD is highly susceptible to "Emotional Contagion"—the phenomenon where individuals unconsciously mimic and absorb the emotions of those around them. During high-stress periods, the MOD absorbs the anxiety of overworked </w:t>
      </w:r>
      <w:r w:rsidRPr="00C33589">
        <w:rPr>
          <w:rFonts w:ascii="Arial" w:eastAsia="Google Sans" w:hAnsi="Arial" w:cs="Arial"/>
          <w:color w:val="1F1F1F"/>
          <w:sz w:val="24"/>
          <w:szCs w:val="24"/>
        </w:rPr>
        <w:lastRenderedPageBreak/>
        <w:t>fractional housekeepers and the frustration of delayed guests. Serving as the ultimate emotional shock absorber for the entire building leaves the manager deeply vulnerable to psychological depletion. (Anggraeni et al., 2017; Kim, 2025; Baquero et al., 2025).</w:t>
      </w:r>
    </w:p>
    <w:p w14:paraId="337D7A84"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2.6 The Conservation of Resources Theory and Occupational Burnout</w:t>
      </w:r>
    </w:p>
    <w:p w14:paraId="6FD1DB9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To theoretically frame the ultimate consequence of these combined stressors, researchers rely on the "Conservation of Resources" (COR) theory. COR theory postulates that individuals possess a finite pool of psychological, emotional, and cognitive resources. Humans are inherently driven to acquire and protect these resources. When an individual's resources are chronically threatened, or when an individual invests massive resources without an adequate return, they enter a state of severe distress. (Lee &amp; Hwang, 2016; Baber et al., 2022; Anand &amp; Vohra, 2024).</w:t>
      </w:r>
    </w:p>
    <w:p w14:paraId="60E20E3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For the hybrid MOD, cognitive switching costs, role conflict, and surface acting act as massive, continuous drains on their resource pool. If the corporate environment does not actively replenish these resources through robust support systems, adequate rest, or profound recognition, the manager's reserves are entirely depleted. This total depletion is the precise definition of occupational burnout. (Maslach &amp; Leiter, 2016; Leo et al., 2023; Barsade et al., 2018).</w:t>
      </w:r>
    </w:p>
    <w:p w14:paraId="5B473BA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According to Christina Maslach’s pioneering research, burnout is characterised by three distinct phases: emotional exhaustion, depersonalisation (developing a cynical, callous attitude towards guests and staff), and a severely reduced sense of personal accomplishment. When a hotel relies entirely on a small core of hybrid managers, the onset of burnout within this team is not merely a personal tragedy; it represents a catastrophic threat to the entire operational resilience of the business. (Boal &amp; Hooijberg, 2000; Whitbread PLC, 2025; Borah et al., 2023).</w:t>
      </w:r>
    </w:p>
    <w:p w14:paraId="56C844F1"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2.7 Resilience Engineering and The Managerial Burden</w:t>
      </w:r>
    </w:p>
    <w:p w14:paraId="5C09B22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Ultimately, the synthesis of multi-skilling and psychological support generates "Organisational Resilience" and ties into the emerging field of "Resilience Engineering." The hospitality industry can be viewed as a Complex Adaptive System. Resilience </w:t>
      </w:r>
      <w:r w:rsidRPr="00C33589">
        <w:rPr>
          <w:rFonts w:ascii="Arial" w:eastAsia="Google Sans" w:hAnsi="Arial" w:cs="Arial"/>
          <w:color w:val="1F1F1F"/>
          <w:sz w:val="24"/>
          <w:szCs w:val="24"/>
        </w:rPr>
        <w:lastRenderedPageBreak/>
        <w:t>Engineering focuses on building systems that can proactively monitor, anticipate, respond, and learn from unexpected disruptions, allowing a business to bounce back transformed rather than simply surviving. (Duchek et al., 2020; Herrera &amp; Praetorius, 2025; Mishra, 2025).</w:t>
      </w:r>
    </w:p>
    <w:p w14:paraId="7B03A15B"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 Resource-Based View (RBV) theory argues that a firm's sustainable competitive advantage comes from leveraging its unique internal resources—in this case, its highly trained, adaptable human capital. By explicitly training managers to be functionally flexible, hotels successfully engineer resilience into their daily operations, ensuring they absorb sudden absences without catastrophic operational failure. However, this model only works if the human resources are protected from total depletion. (Khan, 2023; Hall &amp; Safonov, 2022; Chavez, 2008).</w:t>
      </w:r>
    </w:p>
    <w:p w14:paraId="55522C8C"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Within this theoretical context, it is crucial to examine Whitbread PLC's corporate strategies. Their "Customer Heartbeat" model includes strategic pillars like "Winning Teams" and "Everyday Efficiency". The "Everyday Efficiency" pillar is their direct manifestation of Lean management, aiming to deliver £250m in cost efficiencies to counteract national wage inflation. My research investigates how the tension between extreme efficiency and supportive teams is reconciled by the MOD on the hotel floor. (Cockburn-Wootten &amp; McIntosh, 2020; Whitbread PLC, 2024; Darcy, 2012).</w:t>
      </w:r>
    </w:p>
    <w:p w14:paraId="4C83E6E0" w14:textId="77777777" w:rsidR="00EA3F90" w:rsidRPr="00AD594C" w:rsidRDefault="00EA3F90" w:rsidP="00C33589">
      <w:pPr>
        <w:pStyle w:val="Heading2"/>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Chapter 3: Methods</w:t>
      </w:r>
    </w:p>
    <w:p w14:paraId="7B3D0E6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To move beyond theoretical abstraction and rigorously investigate how the burdens of managerial hybridity actually manifest on the hotel floor, I designed a highly focused qualitative "Case Study." Rather than deploying superficial quantitative surveys that fail to capture emotional nuance, a qualitative case study facilitates an intensive, deeply contextualised examination of a specific phenomenon in real-time. For a student embedded on a placement, this methodology was absolutely optimal, transforming my daily working environment into a primary academic laboratory to study the MOD experience. (Yin, 2018; Edwards et al., 2024; Fausett et al., 2024).</w:t>
      </w:r>
    </w:p>
    <w:p w14:paraId="705F000D"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lastRenderedPageBreak/>
        <w:t>3.1 Rationale for the Case Study Approach and Epistemological Stance</w:t>
      </w:r>
    </w:p>
    <w:p w14:paraId="0791E33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My research is unapologetically grounded in an interpretivist epistemological stance. This means I firmly believe that the reality of the workplace is socially and emotionally constructed by the people experiencing it. The profound cognitive fatigue of executing a shift as the MOD cannot be captured by cold numerical metrics or corporate profit margins. To capture this human reality, I aligned with Robert Yin's structured case study framework, utilising it to directly link my qualitative, on-the-floor observations back to the theoretical propositions of Cognitive Load and Emotional Labour. (Fatima &amp; Majeed, 2023; QX Global Group, 2025; Franco &amp; Landini, 2022).</w:t>
      </w:r>
    </w:p>
    <w:p w14:paraId="02C59B0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I deliberately selected the Premier Inn Melton Mowbray as my single case study subject because it represents the perfect microcosm of a massive corporate entity attempting to enforce strict "Everyday Efficiency" targets within a highly idiosyncratic local environment. By isolating this single property, I could meticulously trace how the abstract demands for extreme managerial hybridity, designed in London boardrooms, directly translate into the daily stress and operational triumphs of a small management team in Leicestershire. (Agina et al., 2023; Ahmed, 2022; Pink, 2015).</w:t>
      </w:r>
    </w:p>
    <w:p w14:paraId="71D844C9"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3.2 Participant Observation, Positionality, and Deep Reflexivity</w:t>
      </w:r>
    </w:p>
    <w:p w14:paraId="10D3C18B"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 primary methodological technique I utilised to gather data was direct participant observation, conducted continuously throughout the entire duration of my placement. This highly immersive, ethnographic approach allowed me to document shift handovers, crisis management moments, and the visceral emotional toll of the MOD role in real-time. This method leans heavily into "participatory ethnography," where the researcher does not just watch from the sidelines with a clipboard, but actively engages in the physical and emotional labour of the hotel alongside the subjects of the study. (Caldwell et al., 2019; Bigby &amp; Humphreys, 2024; Breen, 2007).</w:t>
      </w:r>
    </w:p>
    <w:p w14:paraId="26B4B8E8"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Given my total reliance on personal observation, addressing my "positionality" was absolutely vital for academic integrity. Positionality refers to the specific space an individual occupies within the workplace hierarchy, which inevitably shapes their biases and worldview. Rather than viewing myself simply as a static "insider" (just another </w:t>
      </w:r>
      <w:r w:rsidRPr="00C33589">
        <w:rPr>
          <w:rFonts w:ascii="Arial" w:eastAsia="Google Sans" w:hAnsi="Arial" w:cs="Arial"/>
          <w:color w:val="1F1F1F"/>
          <w:sz w:val="24"/>
          <w:szCs w:val="24"/>
        </w:rPr>
        <w:lastRenderedPageBreak/>
        <w:t>stressed employee) or a detached "outsider" (an aloof academic), I consciously adopted the role of the "credible visitor." By wearing the Premier Inn uniform and working the gruelling shifts, I built genuine, empathetic trust with Nicola, Rihane, and the rest of the management team. This trust allowed me to access the raw, unfiltered truth behind the polished corporate façade without ever posing a threat to their authority. (Sidiq &amp; Pasaribu, 2025; Anand &amp; Vohra, 2024; Crossley, 2021).</w:t>
      </w:r>
    </w:p>
    <w:p w14:paraId="7E2653B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To maintain extreme academic rigour, I practised what scholars term "deep reflexivity." I maintained extensive, daily reflexive journals to consciously separate my own personal feelings of physical fatigue from my objective, academic assessments of the hotel's lean management model. As a student, it is easy to initially romanticise the authority of the MOD role; however, deep reflexivity forced me to objectively document the emotional exhaustion I was witnessing rather than allowing my initial preconceptions to cloud the data. This deliberate, daily practice prevented my own anxieties from skewing the findings, ensuring that when I evaluated a specific MOD process as "cognitively overwhelming," the conclusion was based on structural evidence and observed behaviours. (Chau, 2019; Canary Technologies, 2024; Braun &amp; Clarke, 2024).</w:t>
      </w:r>
    </w:p>
    <w:p w14:paraId="1F66F04C"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3.3 Data Analysis via Reflexive Thematic Analysis</w:t>
      </w:r>
    </w:p>
    <w:p w14:paraId="4B1D527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When my placement finally concluded, I possessed a massive, dense notebook full of unstructured observations, quotes, and reflections regarding the MOD experience. To process this raw qualitative data into a rigorous academic format, I utilised reflexive thematic analysis, strictly guided by the foundational six-phase framework established by Virginia Braun and Victoria Clarke. Thematic analysis is an exceptionally robust method for identifying, analysing, and reporting complex patterns of emotional and operational meaning within qualitative datasets. (Gagné &amp; Deci, 2005; Giousmpasoglou et al., 2021; Braun &amp; Clarke, 2021).</w:t>
      </w:r>
    </w:p>
    <w:p w14:paraId="3EF1D50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The analytical process involved six meticulous steps: (1) total familiarisation with the data by repeatedly reading my placement journals until the narratives became deeply internalised; (2) generating initial codes (e.g., tagging specific instances of "cognitive switching," "surface acting," or "transactive memory reliance"); (3) searching for </w:t>
      </w:r>
      <w:r w:rsidRPr="00C33589">
        <w:rPr>
          <w:rFonts w:ascii="Arial" w:eastAsia="Google Sans" w:hAnsi="Arial" w:cs="Arial"/>
          <w:color w:val="1F1F1F"/>
          <w:sz w:val="24"/>
          <w:szCs w:val="24"/>
        </w:rPr>
        <w:lastRenderedPageBreak/>
        <w:t>overarching themes by grouping these codes into meaningful clusters; (4) rigorously reviewing these themes against the theoretical frameworks of Managerial Hybridity and COR theory; (5) defining and naming the final themes; and (6) producing this comprehensive report. I carefully avoided rigid "methodolatry"—the academic trap of following procedures blindly—ensuring instead that the themes emerged organically and authentically from the lived reality of the managers on the floor. (Salanova &amp; Schaufeli, 2008; Choi et al., 2019; Coaley, 2021).</w:t>
      </w:r>
    </w:p>
    <w:p w14:paraId="5E857A87"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3.4 Data Triangulation and Secondary Analysis</w:t>
      </w:r>
    </w:p>
    <w:p w14:paraId="41BA6DD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To ensure absolute validity and reliability, I actively incorporated the principle of data triangulation. Relying solely on one student's participant observation introduces an unacceptably high risk of subjective bias. Therefore, my primary empirical data regarding the immense pressures of the MOD role was systematically cross-referenced against a robust array of secondary sources. (Stevenson, 2024; Denzin, 2017; Dempsey, 2021).</w:t>
      </w:r>
    </w:p>
    <w:p w14:paraId="14F82537" w14:textId="77777777" w:rsidR="00B16BC6"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These secondary sources included an exhaustive analysis of Whitbread PLC's corporate documentation, encompassing their Annual Reports and strategic updates detailing the aggressive "Everyday Efficiency" targets. Additionally, I benchmarked my localised findings against vital macroeconomic data. I reviewed STEAM reports showing the £2.558 billion value of the local visitor economy, and evaluated industry reports predicting the massive financial impact of the April 2026 National Living Wage increase to £12.71. By synthesising my highly localised, emotional observations with macro-level corporate and economic data, I created a highly robust, multi-dimensional evidentiary foundation for my ultimate conclusions regarding the sustainability of the MOD role</w:t>
      </w:r>
      <w:r w:rsidR="00B16BC6">
        <w:rPr>
          <w:rFonts w:ascii="Arial" w:eastAsia="Google Sans" w:hAnsi="Arial" w:cs="Arial"/>
          <w:color w:val="1F1F1F"/>
          <w:sz w:val="24"/>
          <w:szCs w:val="24"/>
        </w:rPr>
        <w:t xml:space="preserve">. </w:t>
      </w:r>
    </w:p>
    <w:p w14:paraId="281511BF" w14:textId="0EB86562"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(Khan, 2023; El Shafaki et al., 2024).</w:t>
      </w:r>
    </w:p>
    <w:p w14:paraId="4B56A627" w14:textId="77777777" w:rsidR="00EA3F90" w:rsidRPr="002E4419" w:rsidRDefault="00EA3F90" w:rsidP="00C33589">
      <w:pPr>
        <w:pStyle w:val="Heading3"/>
        <w:spacing w:before="0" w:after="120" w:line="360" w:lineRule="auto"/>
        <w:jc w:val="both"/>
        <w:rPr>
          <w:rFonts w:ascii="Arial" w:eastAsia="Google Sans" w:hAnsi="Arial" w:cs="Arial"/>
          <w:b/>
          <w:bCs/>
          <w:color w:val="1F1F1F"/>
          <w:sz w:val="24"/>
          <w:szCs w:val="24"/>
        </w:rPr>
      </w:pPr>
      <w:r w:rsidRPr="002E4419">
        <w:rPr>
          <w:rFonts w:ascii="Arial" w:eastAsia="Google Sans" w:hAnsi="Arial" w:cs="Arial"/>
          <w:b/>
          <w:bCs/>
          <w:color w:val="1F1F1F"/>
          <w:sz w:val="24"/>
          <w:szCs w:val="24"/>
        </w:rPr>
        <w:t>3.5 Limitations of the Methodology</w:t>
      </w:r>
    </w:p>
    <w:p w14:paraId="5630F0D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While the single-site case study provides profound, unmatched analytical depth, its most prominent constraint is the absolute limit on broad generalisability. The specific psychological and operational dynamics observed at the Premier Inn Melton Mowbray </w:t>
      </w:r>
      <w:r w:rsidRPr="00C33589">
        <w:rPr>
          <w:rFonts w:ascii="Arial" w:eastAsia="Google Sans" w:hAnsi="Arial" w:cs="Arial"/>
          <w:color w:val="1F1F1F"/>
          <w:sz w:val="24"/>
          <w:szCs w:val="24"/>
        </w:rPr>
        <w:lastRenderedPageBreak/>
        <w:t>are heavily shaped by highly localised factors. These include the unique demographic makeup of Melton Mowbray as a rural food capital, the intense local competition for labour from massive logistics warehouses, and the highly idiosyncratic, deeply personal leadership styles of Nicola and Rihane. Therefore, while my theoretical deductions regarding Cognitive Load and Emotional Labour are broadly applicable to the industry, the precise manifestations documented here cannot be universally generalised across all 850+ Premier Inn locations. Despite these limitations, the chosen methodology provides a rigorous, highly contextualised, and profoundly human foundation for this placement project. (Handy, 1989; Awad &amp; Martín-Rojas, 2024; Farnham, 2011).</w:t>
      </w:r>
    </w:p>
    <w:p w14:paraId="2E957886" w14:textId="77777777" w:rsidR="00EA3F90" w:rsidRPr="00C33589" w:rsidRDefault="00EA3F90" w:rsidP="00C33589">
      <w:pPr>
        <w:pStyle w:val="Heading2"/>
        <w:spacing w:before="0" w:after="12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Chapter 4: Findings and Discussion</w:t>
      </w:r>
    </w:p>
    <w:p w14:paraId="373D7A88"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This chapter presents a detailed, highly focused synthesis of the empirical data I gathered specifically regarding the Manager on Duty (MOD) role at the Premier Inn Melton Mowbray. The discussion critically evaluates these observed realities through the theoretical frameworks of Managerial Hybridity, Cognitive Switching Costs, Emotional Labour, and Transactive Memory Systems. (Dhir et al., 2019; London Stock Exchange, 2025; Dolasinski &amp; Reynolds, 2019).</w:t>
      </w:r>
    </w:p>
    <w:p w14:paraId="4C9282AE" w14:textId="77777777" w:rsidR="00EA3F90" w:rsidRPr="00AD594C" w:rsidRDefault="00EA3F90" w:rsidP="00C33589">
      <w:pPr>
        <w:pStyle w:val="Heading3"/>
        <w:spacing w:before="0" w:after="120" w:line="360" w:lineRule="auto"/>
        <w:jc w:val="both"/>
        <w:rPr>
          <w:rFonts w:ascii="Arial" w:eastAsia="Google Sans" w:hAnsi="Arial" w:cs="Arial"/>
          <w:b/>
          <w:bCs/>
          <w:color w:val="1F1F1F"/>
          <w:sz w:val="24"/>
          <w:szCs w:val="24"/>
        </w:rPr>
      </w:pPr>
      <w:r w:rsidRPr="00AD594C">
        <w:rPr>
          <w:rFonts w:ascii="Arial" w:eastAsia="Google Sans" w:hAnsi="Arial" w:cs="Arial"/>
          <w:b/>
          <w:bCs/>
          <w:color w:val="1F1F1F"/>
          <w:sz w:val="24"/>
          <w:szCs w:val="24"/>
        </w:rPr>
        <w:t>4.1 Findings: The Reality of the Hybrid MOD Role</w:t>
      </w:r>
    </w:p>
    <w:p w14:paraId="2BAC2DCC"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 fundamental management architecture at the Premier Inn Melton Mowbray completely abandons traditional departmental specialisation. Instead, the continuous administration, complex guest relations, financial oversight, and facility logistics of the entire hotel are executed by a highly concentrated team of approximately five managers operating on a dynamic rotational basis. (Alam, 2024; Personio, 2025; Chaulagain, 2024).</w:t>
      </w:r>
    </w:p>
    <w:p w14:paraId="0765A3C2" w14:textId="77777777" w:rsidR="00EA3F90" w:rsidRPr="008C295C" w:rsidRDefault="00EA3F90" w:rsidP="00C33589">
      <w:pPr>
        <w:pStyle w:val="Heading4"/>
        <w:spacing w:before="0" w:after="120" w:line="360" w:lineRule="auto"/>
        <w:jc w:val="both"/>
        <w:rPr>
          <w:rFonts w:ascii="Arial" w:eastAsia="Google Sans" w:hAnsi="Arial" w:cs="Arial"/>
          <w:b/>
          <w:bCs/>
          <w:i w:val="0"/>
          <w:iCs w:val="0"/>
          <w:color w:val="1F1F1F"/>
          <w:sz w:val="24"/>
          <w:szCs w:val="24"/>
        </w:rPr>
      </w:pPr>
      <w:r w:rsidRPr="008C295C">
        <w:rPr>
          <w:rFonts w:ascii="Arial" w:eastAsia="Google Sans" w:hAnsi="Arial" w:cs="Arial"/>
          <w:b/>
          <w:bCs/>
          <w:i w:val="0"/>
          <w:iCs w:val="0"/>
          <w:color w:val="1F1F1F"/>
          <w:sz w:val="24"/>
          <w:szCs w:val="24"/>
        </w:rPr>
        <w:t>4.1.1 Extreme Functional Flexibility in Action</w:t>
      </w:r>
    </w:p>
    <w:p w14:paraId="6148093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During my placement, I observed the breathtaking extent of the functional flexibility required of these individuals. General Manager Nicola, for instance, did not reside in a detached executive office. Her daily operational footprint extended deeply into the most granular back-office administration, taking primary, hands-on responsibility for complex payroll processing using advanced digital HR platforms like Personio. Similarly, Second </w:t>
      </w:r>
      <w:r w:rsidRPr="00C33589">
        <w:rPr>
          <w:rFonts w:ascii="Arial" w:eastAsia="Google Sans" w:hAnsi="Arial" w:cs="Arial"/>
          <w:color w:val="1F1F1F"/>
          <w:sz w:val="24"/>
          <w:szCs w:val="24"/>
        </w:rPr>
        <w:lastRenderedPageBreak/>
        <w:t>Manager Rihane's portfolio encompassed absolutely vastly diverse inventory streams, managing the procurement of perishable canteen food directly alongside high-volume housekeeping necessities like toilet paper. (Slack et al., 2016; Franco &amp; Landini, 2022; Jovanovic et al., 2023).</w:t>
      </w:r>
    </w:p>
    <w:p w14:paraId="2397591B"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However, the most critical finding revolves around the rotational scheduling. The schedule dictates that any of the five managers must be fully capable of operating autonomously as the single "Manager on Duty" (MOD) for the entire property during their shift. When acting as the MOD, the individual becomes the ultimate, solitary decision-maker. They are responsible for resolving escalating guest disputes, executing flawless check-ins, handling immediate health and safety emergencies, and overseeing the physical security of the premises, all without the luxury of deferring to a specialised department head. (Barauskienė &amp; Stasėnaitė, 2023; Castaño et al., 2025; Chambi et al., 2023).</w:t>
      </w:r>
    </w:p>
    <w:p w14:paraId="00422286" w14:textId="77777777" w:rsidR="00EA3F90" w:rsidRPr="008C295C" w:rsidRDefault="00EA3F90" w:rsidP="00C33589">
      <w:pPr>
        <w:pStyle w:val="Heading4"/>
        <w:spacing w:before="0" w:after="120" w:line="360" w:lineRule="auto"/>
        <w:jc w:val="both"/>
        <w:rPr>
          <w:rFonts w:ascii="Arial" w:eastAsia="Google Sans" w:hAnsi="Arial" w:cs="Arial"/>
          <w:b/>
          <w:bCs/>
          <w:i w:val="0"/>
          <w:iCs w:val="0"/>
          <w:color w:val="1F1F1F"/>
          <w:sz w:val="24"/>
          <w:szCs w:val="24"/>
        </w:rPr>
      </w:pPr>
      <w:r w:rsidRPr="008C295C">
        <w:rPr>
          <w:rFonts w:ascii="Arial" w:eastAsia="Google Sans" w:hAnsi="Arial" w:cs="Arial"/>
          <w:b/>
          <w:bCs/>
          <w:i w:val="0"/>
          <w:iCs w:val="0"/>
          <w:color w:val="1F1F1F"/>
          <w:sz w:val="24"/>
          <w:szCs w:val="24"/>
        </w:rPr>
        <w:t>4.1.2 The Isolation of the Hybrid Manager</w:t>
      </w:r>
    </w:p>
    <w:p w14:paraId="04332DA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To fully grasp the pressure on the MOD, one must understand the contrast with the rest of the staff. The housekeeping department operates on a highly fragmented, peripheral model. Cleaners are scheduled for exceptionally brief durations—often only a few hours a week—strictly to turn over rooms. Because this fractional workforce possesses no cross-training and holds no administrative responsibilities, the MOD is entirely isolated in their management capacity. If a sudden crisis occurs, the MOD cannot delegate cognitive tasks to the peripheral staff; they must absorb the entirety of the operational shock themselves. (Maslach &amp; Leiter, 2016; Deloitte, 2022; Perdomo-Verdecia et al., 2022).</w:t>
      </w:r>
    </w:p>
    <w:p w14:paraId="3A69F66B" w14:textId="77777777" w:rsidR="00EA3F90" w:rsidRPr="008C295C" w:rsidRDefault="00EA3F90" w:rsidP="00C33589">
      <w:pPr>
        <w:pStyle w:val="Heading3"/>
        <w:spacing w:before="0" w:after="120" w:line="360" w:lineRule="auto"/>
        <w:jc w:val="both"/>
        <w:rPr>
          <w:rFonts w:ascii="Arial" w:eastAsia="Google Sans" w:hAnsi="Arial" w:cs="Arial"/>
          <w:b/>
          <w:bCs/>
          <w:color w:val="1F1F1F"/>
          <w:sz w:val="24"/>
          <w:szCs w:val="24"/>
        </w:rPr>
      </w:pPr>
      <w:r w:rsidRPr="008C295C">
        <w:rPr>
          <w:rFonts w:ascii="Arial" w:eastAsia="Google Sans" w:hAnsi="Arial" w:cs="Arial"/>
          <w:b/>
          <w:bCs/>
          <w:color w:val="1F1F1F"/>
          <w:sz w:val="24"/>
          <w:szCs w:val="24"/>
        </w:rPr>
        <w:t>4.2 Discussion: The Psychological Toll of Extreme Efficiency</w:t>
      </w:r>
    </w:p>
    <w:p w14:paraId="0E1F3DE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Looking at this setup through a critical academic lens reveals a profound tension. Whitbread's design perfectly executes Atkinson’s Flexible Firm Model to achieve massive financial savings under their "Everyday Efficiency" mandate. However, this financial triumph is purchased directly through the extreme cognitive and emotional </w:t>
      </w:r>
      <w:r w:rsidRPr="00C33589">
        <w:rPr>
          <w:rFonts w:ascii="Arial" w:eastAsia="Google Sans" w:hAnsi="Arial" w:cs="Arial"/>
          <w:color w:val="1F1F1F"/>
          <w:sz w:val="24"/>
          <w:szCs w:val="24"/>
        </w:rPr>
        <w:lastRenderedPageBreak/>
        <w:t>taxation of the MOD. (El Shafaki et al., 2024; Rousseau, 1989; De Vos &amp; Meganck, 2008).</w:t>
      </w:r>
    </w:p>
    <w:p w14:paraId="5F9772A1" w14:textId="77777777" w:rsidR="00EA3F90" w:rsidRPr="008C295C" w:rsidRDefault="00EA3F90" w:rsidP="00C33589">
      <w:pPr>
        <w:pStyle w:val="Heading4"/>
        <w:spacing w:before="0" w:after="120" w:line="360" w:lineRule="auto"/>
        <w:jc w:val="both"/>
        <w:rPr>
          <w:rFonts w:ascii="Arial" w:eastAsia="Google Sans" w:hAnsi="Arial" w:cs="Arial"/>
          <w:b/>
          <w:bCs/>
          <w:i w:val="0"/>
          <w:iCs w:val="0"/>
          <w:color w:val="1F1F1F"/>
          <w:sz w:val="24"/>
          <w:szCs w:val="24"/>
        </w:rPr>
      </w:pPr>
      <w:r w:rsidRPr="008C295C">
        <w:rPr>
          <w:rFonts w:ascii="Arial" w:eastAsia="Google Sans" w:hAnsi="Arial" w:cs="Arial"/>
          <w:b/>
          <w:bCs/>
          <w:i w:val="0"/>
          <w:iCs w:val="0"/>
          <w:color w:val="1F1F1F"/>
          <w:sz w:val="24"/>
          <w:szCs w:val="24"/>
        </w:rPr>
        <w:t>4.2.1 Cognitive Switching Costs and Managerial Overload</w:t>
      </w:r>
    </w:p>
    <w:p w14:paraId="501579E8"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My observations explicitly confirmed the severe academic warnings regarding cognitive switching costs. The hybrid nature of the MOD role forces the manager to constantly toggle between wildly different brain states. During my placement, I observed the tangible manifestation of this cognitive overload. An MOD might be deeply immersed in reconciling a complex payroll discrepancy on Personio—a task demanding high analytical focus—when a sudden queue forms at reception due to an unexpected coach arrival for the local cheese fair. The MOD must instantly abandon the spreadsheet, suppress any administrative frustration, and adopt a highly welcoming, empathetic persona to process the check-ins. (Anggraeni et al., 2017; Kim, 2025; Lee &amp; Hwang, 2016).</w:t>
      </w:r>
    </w:p>
    <w:p w14:paraId="62F296F1"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This jarring transition exacts a severe cognitive switching cost. Once the guests are settled, the MOD returns to the payroll software, but their processing speed is markedly reduced, and the probability of administrative error spikes significantly. This constant, daily cognitive fragmentation is the hidden cost of the 'Everyday Efficiency' strategy. Cognitive Load Theory dictates that these constant interruptions severely degrade processing efficiency. I noted that during highly volatile shifts, the sheer volume of these forced cognitive switches visibly degraded the managers' focus, leading to a state of profound mental fatigue long before the shift officially ended. (Baber et al., 2022; Baquero et al., 2025; Leo et al., 2023).</w:t>
      </w:r>
    </w:p>
    <w:p w14:paraId="0F957757" w14:textId="77777777" w:rsidR="00EA3F90" w:rsidRPr="008C295C" w:rsidRDefault="00EA3F90" w:rsidP="00C33589">
      <w:pPr>
        <w:pStyle w:val="Heading4"/>
        <w:spacing w:before="0" w:after="120" w:line="360" w:lineRule="auto"/>
        <w:jc w:val="both"/>
        <w:rPr>
          <w:rFonts w:ascii="Arial" w:eastAsia="Google Sans" w:hAnsi="Arial" w:cs="Arial"/>
          <w:b/>
          <w:bCs/>
          <w:i w:val="0"/>
          <w:iCs w:val="0"/>
          <w:color w:val="1F1F1F"/>
          <w:sz w:val="24"/>
          <w:szCs w:val="24"/>
        </w:rPr>
      </w:pPr>
      <w:r w:rsidRPr="008C295C">
        <w:rPr>
          <w:rFonts w:ascii="Arial" w:eastAsia="Google Sans" w:hAnsi="Arial" w:cs="Arial"/>
          <w:b/>
          <w:bCs/>
          <w:i w:val="0"/>
          <w:iCs w:val="0"/>
          <w:color w:val="1F1F1F"/>
          <w:sz w:val="24"/>
          <w:szCs w:val="24"/>
        </w:rPr>
        <w:t>4.2.2 The Burden of Emotional Labour and Surface Acting</w:t>
      </w:r>
    </w:p>
    <w:p w14:paraId="74100BA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Compounding the cognitive load is the relentless demand for emotional labour. Acting as the solitary MOD means serving as the ultimate emotional shock absorber for the entire building. When peripheral staff are stressed, or when guests are angry due to uncontrollable external factors, the MOD must absorb that negativity while strictly adhering to corporate display rules of warmth and confidence. (Boal &amp; Hooijberg, 2000; Whitbread PLC, 2025; Borah et al., 2023).</w:t>
      </w:r>
    </w:p>
    <w:p w14:paraId="269B4D8C"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I witnessed intense instances of "surface acting," where managers forced a calm, welcoming smile for a guest while I knew they were internally panicking about an impending stock shortage or a delayed housekeeping turnaround. Drawing on the Conservation of Resources (COR) theory, this constant emotional dissonance actively and aggressively depletes the managers' finite psychological resources. Furthermore, emotional contagion was rampant; the immense stress carried by the MOD often subtly infected the mood of the entire front-of-house team, creating a highly tense atmosphere during peak operational hours. (Duchek et al., 2020; Mishra, 2025; Khan, 2023).</w:t>
      </w:r>
    </w:p>
    <w:p w14:paraId="2EFACBE7" w14:textId="77777777" w:rsidR="00EA3F90" w:rsidRPr="008C295C" w:rsidRDefault="00EA3F90" w:rsidP="00C33589">
      <w:pPr>
        <w:pStyle w:val="Heading4"/>
        <w:spacing w:before="0" w:after="120" w:line="360" w:lineRule="auto"/>
        <w:jc w:val="both"/>
        <w:rPr>
          <w:rFonts w:ascii="Arial" w:eastAsia="Google Sans" w:hAnsi="Arial" w:cs="Arial"/>
          <w:b/>
          <w:bCs/>
          <w:i w:val="0"/>
          <w:iCs w:val="0"/>
          <w:color w:val="1F1F1F"/>
          <w:sz w:val="24"/>
          <w:szCs w:val="24"/>
        </w:rPr>
      </w:pPr>
      <w:r w:rsidRPr="008C295C">
        <w:rPr>
          <w:rFonts w:ascii="Arial" w:eastAsia="Google Sans" w:hAnsi="Arial" w:cs="Arial"/>
          <w:b/>
          <w:bCs/>
          <w:i w:val="0"/>
          <w:iCs w:val="0"/>
          <w:color w:val="1F1F1F"/>
          <w:sz w:val="24"/>
          <w:szCs w:val="24"/>
        </w:rPr>
        <w:t>4.2.3 Reliance on the Transactive Memory System</w:t>
      </w:r>
    </w:p>
    <w:p w14:paraId="666D20C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So how does the hotel survive this pressure cooker? The answer lies in the highly developed Transactive Memory System (TMS) shared among the core team of five. Because it is cognitively impossible for one MOD to hold the depth of knowledge required for every single hotel function, they rely implicitly on the expertise of their peers. (Chavez, 2008; Cockburn-Wootten &amp; McIntosh, 2020; Darcy, 2012).</w:t>
      </w:r>
    </w:p>
    <w:p w14:paraId="0390480B"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I observed that the team operates with a deep, tacit understanding of "who knows what." While Nicola possessed the deepest knowledge of the HR systems, Rihane held the master map of the physical inventory. During a shift, if an MOD encountered a highly specific crisis outside their primary expertise, they utilised the TMS—often via quick, informal text messages to off-duty colleagues—to instantly retrieve the necessary knowledge. This shared cognitive network is the invisible safety net that makes Managerial Hybridity possible at the Premier Inn Melton Mowbray. (Edwards et al., 2024; Williams, 2022; Breen, 2007).</w:t>
      </w:r>
    </w:p>
    <w:p w14:paraId="5128933B"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However, this reliance also exposes a massive vulnerability in the hotel's operational resilience. A TMS built entirely on informal, tacit relationships is incredibly fragile. If one of these five managers were to resign, a massive segment of the hotel's encoded operational memory would vanish instantly. The remaining managers would face a catastrophic spike in their individual cognitive loads as they attempted to absorb the missing expertise, highlighting a severe flaw in relying on organic team dynamics rather </w:t>
      </w:r>
      <w:r w:rsidRPr="00C33589">
        <w:rPr>
          <w:rFonts w:ascii="Arial" w:eastAsia="Google Sans" w:hAnsi="Arial" w:cs="Arial"/>
          <w:color w:val="1F1F1F"/>
          <w:sz w:val="24"/>
          <w:szCs w:val="24"/>
        </w:rPr>
        <w:lastRenderedPageBreak/>
        <w:t>than formalised corporate training structures. (Crossley, 2021; Fausett et al., 2024; Fatima &amp; Majeed, 2023).</w:t>
      </w:r>
    </w:p>
    <w:p w14:paraId="1CA511FB" w14:textId="77777777" w:rsidR="00EA3F90" w:rsidRPr="008C295C" w:rsidRDefault="00EA3F90" w:rsidP="00C33589">
      <w:pPr>
        <w:pStyle w:val="Heading4"/>
        <w:spacing w:before="0" w:after="120" w:line="360" w:lineRule="auto"/>
        <w:jc w:val="both"/>
        <w:rPr>
          <w:rFonts w:ascii="Arial" w:eastAsia="Google Sans" w:hAnsi="Arial" w:cs="Arial"/>
          <w:b/>
          <w:bCs/>
          <w:color w:val="1F1F1F"/>
          <w:sz w:val="24"/>
          <w:szCs w:val="24"/>
        </w:rPr>
      </w:pPr>
      <w:r w:rsidRPr="008C295C">
        <w:rPr>
          <w:rFonts w:ascii="Arial" w:eastAsia="Google Sans" w:hAnsi="Arial" w:cs="Arial"/>
          <w:b/>
          <w:bCs/>
          <w:color w:val="1F1F1F"/>
          <w:sz w:val="24"/>
          <w:szCs w:val="24"/>
        </w:rPr>
        <w:t>4.2.4 The Local Context: Volatility and the 2026 Wage Crisis</w:t>
      </w:r>
    </w:p>
    <w:p w14:paraId="03AF91F8"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 psychological strain on the MOD is currently being pushed to its absolute breaking point by the local macroeconomic environment. As the "Rural Capital of Food", Melton Mowbray hosts massive events like the Great British Pie Awards. During these events, the hotel experiences extreme, chaotic peaks in occupancy. The MOD is forced to manage a fully booked hotel, coordinate a massive influx of fractional housekeepers, and handle intense guest demands simultaneously, creating a perfect storm for role conflict and burnout. (QX Global Group, 2025; Franco &amp; Landini, 2022; Agina et al., 2023).</w:t>
      </w:r>
    </w:p>
    <w:p w14:paraId="017F8B0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Crucially, the impending April 2026 National Living Wage increase to £12.71 per hour means that Whitbread is increasing pressure to extract even more "Everyday Efficiency" from its existing teams to offset the £1.4 billion sector-wide cost increase. The hotel cannot simply hire more managers to ease the burden. Therefore, the core team of five must continue to absorb ever-increasing cognitive and emotional loads to protect the corporate profit margins. This relentless squeeze fundamentally threatens the psychological contract between the managers and the corporation, setting the stage for inevitable burnout if structural interventions are not immediately implemented. (Ahmed, 2022; Caldwell et al., 2019; Bigby &amp; Humphreys, 2024).</w:t>
      </w:r>
    </w:p>
    <w:p w14:paraId="150513F0" w14:textId="77777777" w:rsidR="00EA3F90" w:rsidRPr="008C295C" w:rsidRDefault="00EA3F90" w:rsidP="00C33589">
      <w:pPr>
        <w:pStyle w:val="Heading4"/>
        <w:spacing w:before="0" w:after="120" w:line="360" w:lineRule="auto"/>
        <w:jc w:val="both"/>
        <w:rPr>
          <w:rFonts w:ascii="Arial" w:eastAsia="Google Sans" w:hAnsi="Arial" w:cs="Arial"/>
          <w:b/>
          <w:bCs/>
          <w:i w:val="0"/>
          <w:iCs w:val="0"/>
          <w:color w:val="1F1F1F"/>
          <w:sz w:val="24"/>
          <w:szCs w:val="24"/>
        </w:rPr>
      </w:pPr>
      <w:r w:rsidRPr="008C295C">
        <w:rPr>
          <w:rFonts w:ascii="Arial" w:eastAsia="Google Sans" w:hAnsi="Arial" w:cs="Arial"/>
          <w:b/>
          <w:bCs/>
          <w:i w:val="0"/>
          <w:iCs w:val="0"/>
          <w:color w:val="1F1F1F"/>
          <w:sz w:val="24"/>
          <w:szCs w:val="24"/>
        </w:rPr>
        <w:t>4.2.5 The Looming Challenge of Martyn's Law and Security Compliance</w:t>
      </w:r>
    </w:p>
    <w:p w14:paraId="7EDA9ED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Furthermore, the impending implementation of Martyn’s Law adds an unprecedented layer of high-stakes responsibility to the hybrid MOD. They are no longer just hospitality hosts and financial administrators; they are now the primary on-site security coordinators. Given that the peripheral housekeeping workforce is highly transient and difficult to thoroughly train in counter-terrorism protocols, the MOD must maintain absolute, continuous situational awareness of the property's security. This legal burden intensifies the role ambiguity and role conflict, as the manager must constantly balance </w:t>
      </w:r>
      <w:r w:rsidRPr="00C33589">
        <w:rPr>
          <w:rFonts w:ascii="Arial" w:eastAsia="Google Sans" w:hAnsi="Arial" w:cs="Arial"/>
          <w:color w:val="1F1F1F"/>
          <w:sz w:val="24"/>
          <w:szCs w:val="24"/>
        </w:rPr>
        <w:lastRenderedPageBreak/>
        <w:t>the welcoming, open nature of a hotel with the hyper-vigilance required of a security officer. (Sidiq &amp; Pasaribu, 2025; Anand &amp; Vohra, 2024; Chau, 2019).</w:t>
      </w:r>
    </w:p>
    <w:p w14:paraId="240CED2C" w14:textId="77777777" w:rsidR="00EA3F90" w:rsidRPr="008C295C" w:rsidRDefault="00EA3F90" w:rsidP="00C33589">
      <w:pPr>
        <w:pStyle w:val="Heading2"/>
        <w:spacing w:before="0" w:after="120" w:line="360" w:lineRule="auto"/>
        <w:jc w:val="both"/>
        <w:rPr>
          <w:rFonts w:ascii="Arial" w:eastAsia="Google Sans" w:hAnsi="Arial" w:cs="Arial"/>
          <w:b/>
          <w:bCs/>
          <w:color w:val="1F1F1F"/>
          <w:sz w:val="24"/>
          <w:szCs w:val="24"/>
        </w:rPr>
      </w:pPr>
      <w:r w:rsidRPr="008C295C">
        <w:rPr>
          <w:rFonts w:ascii="Arial" w:eastAsia="Google Sans" w:hAnsi="Arial" w:cs="Arial"/>
          <w:b/>
          <w:bCs/>
          <w:color w:val="1F1F1F"/>
          <w:sz w:val="24"/>
          <w:szCs w:val="24"/>
        </w:rPr>
        <w:t>Chapter 5: Conclusion and Recommendations</w:t>
      </w:r>
    </w:p>
    <w:p w14:paraId="1EF3764C" w14:textId="77777777" w:rsidR="00EA3F90" w:rsidRPr="008C295C" w:rsidRDefault="00EA3F90" w:rsidP="00C33589">
      <w:pPr>
        <w:pStyle w:val="Heading3"/>
        <w:spacing w:before="0" w:after="120" w:line="360" w:lineRule="auto"/>
        <w:jc w:val="both"/>
        <w:rPr>
          <w:rFonts w:ascii="Arial" w:eastAsia="Google Sans" w:hAnsi="Arial" w:cs="Arial"/>
          <w:b/>
          <w:bCs/>
          <w:color w:val="1F1F1F"/>
          <w:sz w:val="24"/>
          <w:szCs w:val="24"/>
        </w:rPr>
      </w:pPr>
      <w:r w:rsidRPr="008C295C">
        <w:rPr>
          <w:rFonts w:ascii="Arial" w:eastAsia="Google Sans" w:hAnsi="Arial" w:cs="Arial"/>
          <w:b/>
          <w:bCs/>
          <w:color w:val="1F1F1F"/>
          <w:sz w:val="24"/>
          <w:szCs w:val="24"/>
        </w:rPr>
        <w:t>5.1 Conclusion</w:t>
      </w:r>
    </w:p>
    <w:p w14:paraId="7D0DF5C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My placement at the Premier Inn Melton Mowbray provided a profound, deeply human insight into the realities of modern hotel management. By narrowing my focus exclusively to the "Manager on Duty" role, I uncovered the severe hidden costs of extreme corporate efficiency. The empirical findings validate that while Whitbread's execution of Managerial Hybridity successfully shatters traditional silos and optimises financial overhead, it fundamentally transforms the MOD role into a psychological pressure cooker. (Chen et al., 2023; Canary Technologies, 2024).</w:t>
      </w:r>
    </w:p>
    <w:p w14:paraId="1B99FD81"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The core team of five rotating managers ensures continuous operations by fluidly absorbing a vast, complex array of administrative and guest-facing tasks. They survive this immense cognitive load through a highly fragile, informal Transactive Memory System. However, the constant barrage of cognitive switching costs, the intense demand for surface acting and emotional labour, and the boundless nature of role ambiguity place these managers at severe risk of occupational burnout. As the 2026 National Living Wage increase forces even tighter labour controls and new legal mandates emerge, the hotel must urgently recognise that pushing their core hybrid managers beyond their psychological limits will ultimately destroy the operational resilience of the entire property. (Personio, 2025; Gagné &amp; Deci, 2005).</w:t>
      </w:r>
    </w:p>
    <w:p w14:paraId="7D9EF23C" w14:textId="77777777" w:rsidR="00EA3F90" w:rsidRPr="008C295C" w:rsidRDefault="00EA3F90" w:rsidP="00C33589">
      <w:pPr>
        <w:pStyle w:val="Heading3"/>
        <w:spacing w:before="0" w:after="120" w:line="360" w:lineRule="auto"/>
        <w:jc w:val="both"/>
        <w:rPr>
          <w:rFonts w:ascii="Arial" w:eastAsia="Google Sans" w:hAnsi="Arial" w:cs="Arial"/>
          <w:b/>
          <w:bCs/>
          <w:color w:val="1F1F1F"/>
          <w:sz w:val="24"/>
          <w:szCs w:val="24"/>
        </w:rPr>
      </w:pPr>
      <w:r w:rsidRPr="008C295C">
        <w:rPr>
          <w:rFonts w:ascii="Arial" w:eastAsia="Google Sans" w:hAnsi="Arial" w:cs="Arial"/>
          <w:b/>
          <w:bCs/>
          <w:color w:val="1F1F1F"/>
          <w:sz w:val="24"/>
          <w:szCs w:val="24"/>
        </w:rPr>
        <w:t>5.2 Recommendations and Practical Strategies</w:t>
      </w:r>
    </w:p>
    <w:p w14:paraId="55BFE6B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To safeguard the mental wellbeing of the core management team and ensure the long-term operational resilience of the Premier Inn Melton Mowbray, I forward the following highly targeted, practical recommendations: (Giousmpasoglou et al., 2021; Salanova &amp; Schaufeli, 2008).</w:t>
      </w:r>
    </w:p>
    <w:p w14:paraId="3E033C05"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1. Formalise the Transactive Memory System via an MOD Playbook</w:t>
      </w:r>
    </w:p>
    <w:p w14:paraId="1D226C7A"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lastRenderedPageBreak/>
        <w:t>The hotel must immediately transition away from relying on informal, tacit knowledge sharing. I recommend the creation of a formalised, digital "MOD Playbook." This resource should contain explicit, step-by-step Standard Operating Procedures (SOPs) for all highly specialised tasks (e.g., resolving Personio errors, executing emergency inventory orders). By externalising this knowledge, the cognitive load on any single MOD is drastically reduced, and the fragility of the team's memory system is protected against sudden staff turnover. (Choi et al., 2019; Kalleberg, 2003).</w:t>
      </w:r>
    </w:p>
    <w:p w14:paraId="4CA843EF"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2. Institute "Cognitive Decompression" Periods During Shifts</w:t>
      </w:r>
    </w:p>
    <w:p w14:paraId="6E4309D4"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To mitigate the severe mental fatigue caused by constant task switching, management scheduling must formally incorporate "cognitive decompression" periods. The MOD should be allocated specific, protected 30-minute blocks where they retreat from the front-of-house to execute complex administrative work without the threat of guest interruption. Another staff member must be designated to hold the front desk during this precise window, allowing the MOD to recover their cognitive focus and significantly reduce emotional dissonance. (Lee &amp; Hwang, 2016; Mews, 2024).</w:t>
      </w:r>
    </w:p>
    <w:p w14:paraId="1CDCFA56"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3. Implement Structured, Overlapping Shift Handovers</w:t>
      </w:r>
    </w:p>
    <w:p w14:paraId="647C7381"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Currently, shift changes can be chaotic, leading to role ambiguity for the incoming MOD. The hotel must mandate a strict, 15-minute overlapping handover period between the departing and incoming MOD. This time must be solely dedicated to transferring critical operational intelligence (e.g., VIP issues, stock shortages, staff morale warnings) using a standardised checklist. This practice instantly aligns the incoming manager's situational awareness, preventing the anxiety of walking blindly into a crisis. (Astari &amp; Pagalung, 2023; Heskett et al., 1994; Coaley, 2021).</w:t>
      </w:r>
    </w:p>
    <w:p w14:paraId="156819E5"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4. Provide Targeted Emotional Labour Support and Training</w:t>
      </w:r>
    </w:p>
    <w:p w14:paraId="55B62D99"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 xml:space="preserve">Whitbread’s "Winning Teams" initiative must be expanded to provide explicit psychological support for the realities of emotional labour. The core managers should receive targeted training on resilience engineering and techniques to transition from exhausting "surface acting" to more sustainable "deep acting." Regular, informal </w:t>
      </w:r>
      <w:r w:rsidRPr="00577DD2">
        <w:rPr>
          <w:rFonts w:ascii="Arial" w:eastAsia="Google Sans" w:hAnsi="Arial" w:cs="Arial"/>
          <w:color w:val="1F1F1F"/>
          <w:sz w:val="24"/>
          <w:szCs w:val="24"/>
        </w:rPr>
        <w:lastRenderedPageBreak/>
        <w:t>debriefing sessions should be held among the core five managers specifically to vent frustrations and prevent the build-up of emotional exhaustion. (Bagguley, 1990; Home Office, 2025).</w:t>
      </w:r>
    </w:p>
    <w:p w14:paraId="49002464"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5. Proactive Preparation for Martyn's Law Compliance</w:t>
      </w:r>
    </w:p>
    <w:p w14:paraId="2580FA0E"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Given the severe legal responsibilities associated with the Terrorism (Protection of Premises) Act 2025, the hotel cannot wait for the 24-month implementation period to expire before taking action. Management should immediately begin creating a highly streamlined, tiered security training module specifically designed to be rapidly digested by fractional workers. This ensures that even staff working two hours a week possess the necessary emergency awareness, thereby protecting the core MODs from bearing the sole burden of crisis management and fulfilling Whitbread's overarching duty of care to its guests and staff alike. (Institute of Licensing, 2025; UKHospitality, 2025; Learning Disability Today, 2026).</w:t>
      </w:r>
    </w:p>
    <w:p w14:paraId="6005A9E0" w14:textId="77777777" w:rsidR="00EA3F90" w:rsidRPr="00577DD2"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577DD2">
        <w:rPr>
          <w:rFonts w:ascii="Arial" w:eastAsia="Google Sans" w:hAnsi="Arial" w:cs="Arial"/>
          <w:color w:val="1F1F1F"/>
          <w:sz w:val="24"/>
          <w:szCs w:val="24"/>
        </w:rPr>
        <w:t>By systematically integrating these targeted strategies, the Premier Inn Melton Mowbray can successfully protect its most vital asset—its core hybrid managers—ensuring long-term profitability and consistent service excellence in a highly demanding environment. (Trisninawati &amp; Supardin, 2025; Braun &amp; Clarke, 2024).</w:t>
      </w:r>
    </w:p>
    <w:p w14:paraId="65E5A724" w14:textId="77777777" w:rsidR="00A56263" w:rsidRPr="00577DD2"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51C432D0" w14:textId="77777777" w:rsidR="00A56263" w:rsidRPr="00577DD2"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5B96E20E" w14:textId="77777777" w:rsidR="00A56263" w:rsidRPr="00577DD2"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17458A75" w14:textId="77777777" w:rsidR="00A56263" w:rsidRPr="00577DD2"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0653E1E0" w14:textId="77777777" w:rsidR="00A56263"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1B7A6BFA" w14:textId="77777777" w:rsidR="00A56263"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37D2B879" w14:textId="77777777" w:rsidR="00A56263"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3A022CED" w14:textId="77777777" w:rsidR="00A56263"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2001090E" w14:textId="77777777" w:rsidR="00A56263" w:rsidRPr="00C33589" w:rsidRDefault="00A56263"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5452D875" w14:textId="77777777" w:rsidR="00EA3F90" w:rsidRPr="00A56263" w:rsidRDefault="00EA3F90" w:rsidP="00C33589">
      <w:pPr>
        <w:pStyle w:val="Heading2"/>
        <w:spacing w:before="0" w:after="120" w:line="360" w:lineRule="auto"/>
        <w:jc w:val="both"/>
        <w:rPr>
          <w:rFonts w:ascii="Arial" w:eastAsia="Google Sans" w:hAnsi="Arial" w:cs="Arial"/>
          <w:b/>
          <w:bCs/>
          <w:color w:val="1F1F1F"/>
          <w:sz w:val="24"/>
          <w:szCs w:val="24"/>
        </w:rPr>
      </w:pPr>
      <w:r w:rsidRPr="00A56263">
        <w:rPr>
          <w:rFonts w:ascii="Arial" w:eastAsia="Google Sans" w:hAnsi="Arial" w:cs="Arial"/>
          <w:b/>
          <w:bCs/>
          <w:color w:val="1F1F1F"/>
          <w:sz w:val="24"/>
          <w:szCs w:val="24"/>
        </w:rPr>
        <w:t>References</w:t>
      </w:r>
    </w:p>
    <w:p w14:paraId="0946D16E"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Agina, M. et al. (2023) Workplace stressors and employee distress. Journal of Organizational Behavior. Available at: </w:t>
      </w:r>
      <w:hyperlink r:id="rId8">
        <w:r w:rsidRPr="00C33589">
          <w:rPr>
            <w:rFonts w:ascii="Arial" w:eastAsia="Google Sans" w:hAnsi="Arial" w:cs="Arial"/>
            <w:color w:val="0B57D0"/>
            <w:sz w:val="24"/>
            <w:szCs w:val="24"/>
            <w:u w:val="single"/>
          </w:rPr>
          <w:t>https://www.preprints.org/manuscript/202504.0207</w:t>
        </w:r>
      </w:hyperlink>
      <w:r w:rsidRPr="00C33589">
        <w:rPr>
          <w:rFonts w:ascii="Arial" w:eastAsia="Google Sans" w:hAnsi="Arial" w:cs="Arial"/>
          <w:color w:val="1F1F1F"/>
          <w:sz w:val="24"/>
          <w:szCs w:val="24"/>
        </w:rPr>
        <w:t xml:space="preserve"> [Accessed 12 February 2026].</w:t>
      </w:r>
    </w:p>
    <w:p w14:paraId="7CDD2307"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Ahmed, T. (2022) Emotional labor and work alienation. Human Resource Management Journal. Available at: </w:t>
      </w:r>
      <w:hyperlink r:id="rId9">
        <w:r w:rsidRPr="00C33589">
          <w:rPr>
            <w:rFonts w:ascii="Arial" w:eastAsia="Google Sans" w:hAnsi="Arial" w:cs="Arial"/>
            <w:color w:val="0B57D0"/>
            <w:sz w:val="24"/>
            <w:szCs w:val="24"/>
            <w:u w:val="single"/>
          </w:rPr>
          <w:t>https://www.frontiersin.org/journals/psychology/articles/10.3389/fpsyg.2025.1668413/full</w:t>
        </w:r>
      </w:hyperlink>
      <w:r w:rsidRPr="00C33589">
        <w:rPr>
          <w:rFonts w:ascii="Arial" w:eastAsia="Google Sans" w:hAnsi="Arial" w:cs="Arial"/>
          <w:color w:val="1F1F1F"/>
          <w:sz w:val="24"/>
          <w:szCs w:val="24"/>
        </w:rPr>
        <w:t xml:space="preserve"> [Accessed 15 February 2026].</w:t>
      </w:r>
    </w:p>
    <w:p w14:paraId="4A95BAF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Alam, M. (2024) The Influence of Service Profit Chain (SPC) on the Hospitality Industry. Asian Journal of Economics, Business and Accounting. Available at: </w:t>
      </w:r>
      <w:hyperlink r:id="rId10">
        <w:r w:rsidRPr="00C33589">
          <w:rPr>
            <w:rFonts w:ascii="Arial" w:eastAsia="Google Sans" w:hAnsi="Arial" w:cs="Arial"/>
            <w:color w:val="0B57D0"/>
            <w:sz w:val="24"/>
            <w:szCs w:val="24"/>
            <w:u w:val="single"/>
          </w:rPr>
          <w:t>http://libra.article2submit.com/2892/1/Alam2482024AJEBA121233.pdf</w:t>
        </w:r>
      </w:hyperlink>
      <w:r w:rsidRPr="00C33589">
        <w:rPr>
          <w:rFonts w:ascii="Arial" w:eastAsia="Google Sans" w:hAnsi="Arial" w:cs="Arial"/>
          <w:color w:val="1F1F1F"/>
          <w:sz w:val="24"/>
          <w:szCs w:val="24"/>
        </w:rPr>
        <w:t xml:space="preserve"> [Accessed 20 February 2026].</w:t>
      </w:r>
    </w:p>
    <w:p w14:paraId="6D32F75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Alexandrov, A. et al. (2007) Job attitudes in the hospitality sector. International Journal of Hospitality Management. Available at: </w:t>
      </w:r>
      <w:hyperlink r:id="rId11">
        <w:r w:rsidRPr="00C33589">
          <w:rPr>
            <w:rFonts w:ascii="Arial" w:eastAsia="Google Sans" w:hAnsi="Arial" w:cs="Arial"/>
            <w:color w:val="0B57D0"/>
            <w:sz w:val="24"/>
            <w:szCs w:val="24"/>
            <w:u w:val="single"/>
          </w:rPr>
          <w:t>https://www.erudit.org/fr/revues/ri/2018-v73-n2-ri03796/1048573ar/</w:t>
        </w:r>
      </w:hyperlink>
      <w:r w:rsidRPr="00C33589">
        <w:rPr>
          <w:rFonts w:ascii="Arial" w:eastAsia="Google Sans" w:hAnsi="Arial" w:cs="Arial"/>
          <w:color w:val="1F1F1F"/>
          <w:sz w:val="24"/>
          <w:szCs w:val="24"/>
        </w:rPr>
        <w:t xml:space="preserve"> [Accessed 22 February 2026].</w:t>
      </w:r>
    </w:p>
    <w:p w14:paraId="57479B5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Anand, P., &amp; Vohra, N. (2024) Work-family conflict in the hotel sector. Journal of Hospitality and Tourism Research. Available at: </w:t>
      </w:r>
      <w:hyperlink r:id="rId12">
        <w:r w:rsidRPr="00C33589">
          <w:rPr>
            <w:rFonts w:ascii="Arial" w:eastAsia="Google Sans" w:hAnsi="Arial" w:cs="Arial"/>
            <w:color w:val="0B57D0"/>
            <w:sz w:val="24"/>
            <w:szCs w:val="24"/>
            <w:u w:val="single"/>
          </w:rPr>
          <w:t>https://www.tandfonline.com/doi/full/10.1080/13683500.2024.2381241</w:t>
        </w:r>
      </w:hyperlink>
      <w:r w:rsidRPr="00C33589">
        <w:rPr>
          <w:rFonts w:ascii="Arial" w:eastAsia="Google Sans" w:hAnsi="Arial" w:cs="Arial"/>
          <w:color w:val="1F1F1F"/>
          <w:sz w:val="24"/>
          <w:szCs w:val="24"/>
        </w:rPr>
        <w:t xml:space="preserve"> [Accessed 25 February 2026].</w:t>
      </w:r>
    </w:p>
    <w:p w14:paraId="7120728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Anggraeni, A. et al. (2017) Transactional contracts and organizational citizenship behavior. Journal of Management. Available at: </w:t>
      </w:r>
      <w:hyperlink r:id="rId13">
        <w:r w:rsidRPr="00C33589">
          <w:rPr>
            <w:rFonts w:ascii="Arial" w:eastAsia="Google Sans" w:hAnsi="Arial" w:cs="Arial"/>
            <w:color w:val="0B57D0"/>
            <w:sz w:val="24"/>
            <w:szCs w:val="24"/>
            <w:u w:val="single"/>
          </w:rPr>
          <w:t>https://www.researchgate.net/publication/361318695_Invigorating_the_hospitality_industry</w:t>
        </w:r>
      </w:hyperlink>
      <w:r w:rsidRPr="00C33589">
        <w:rPr>
          <w:rFonts w:ascii="Arial" w:eastAsia="Google Sans" w:hAnsi="Arial" w:cs="Arial"/>
          <w:color w:val="1F1F1F"/>
          <w:sz w:val="24"/>
          <w:szCs w:val="24"/>
        </w:rPr>
        <w:t xml:space="preserve"> [Accessed 28 February 2026].</w:t>
      </w:r>
    </w:p>
    <w:p w14:paraId="04D6E89C"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Appelbaum, E. et al. (2000) Value adding HRM and performance outcomes. Journal of Business Research. Available at: </w:t>
      </w:r>
      <w:hyperlink r:id="rId14">
        <w:r w:rsidRPr="00C33589">
          <w:rPr>
            <w:rFonts w:ascii="Arial" w:eastAsia="Google Sans" w:hAnsi="Arial" w:cs="Arial"/>
            <w:color w:val="0B57D0"/>
            <w:sz w:val="24"/>
            <w:szCs w:val="24"/>
            <w:u w:val="single"/>
          </w:rPr>
          <w:t>https://www.cambridge.org/core/journals/the-economic-and-labour-relations-review/</w:t>
        </w:r>
      </w:hyperlink>
      <w:r w:rsidRPr="00C33589">
        <w:rPr>
          <w:rFonts w:ascii="Arial" w:eastAsia="Google Sans" w:hAnsi="Arial" w:cs="Arial"/>
          <w:color w:val="1F1F1F"/>
          <w:sz w:val="24"/>
          <w:szCs w:val="24"/>
        </w:rPr>
        <w:t xml:space="preserve"> [Accessed 1 March 2026].</w:t>
      </w:r>
    </w:p>
    <w:p w14:paraId="43A65F7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Astari, R., &amp; Pagalung, G. (2023) HRM in the tourism sector. Asian Journal of Tourism Studies. Available at: </w:t>
      </w:r>
      <w:hyperlink r:id="rId15">
        <w:r w:rsidRPr="00C33589">
          <w:rPr>
            <w:rFonts w:ascii="Arial" w:eastAsia="Google Sans" w:hAnsi="Arial" w:cs="Arial"/>
            <w:color w:val="0B57D0"/>
            <w:sz w:val="24"/>
            <w:szCs w:val="24"/>
            <w:u w:val="single"/>
          </w:rPr>
          <w:t>https://www.researchgate.net/publication/371115340_Employee_Satisfaction_Service_Profit_Chain</w:t>
        </w:r>
      </w:hyperlink>
      <w:r w:rsidRPr="00C33589">
        <w:rPr>
          <w:rFonts w:ascii="Arial" w:eastAsia="Google Sans" w:hAnsi="Arial" w:cs="Arial"/>
          <w:color w:val="1F1F1F"/>
          <w:sz w:val="24"/>
          <w:szCs w:val="24"/>
        </w:rPr>
        <w:t xml:space="preserve"> [Accessed 2 March 2026].</w:t>
      </w:r>
    </w:p>
    <w:p w14:paraId="60A869C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Atkinson, J. (1984) Manpower strategies for flexible organisations. Personnel Management. Available at: </w:t>
      </w:r>
      <w:hyperlink r:id="rId16">
        <w:r w:rsidRPr="00C33589">
          <w:rPr>
            <w:rFonts w:ascii="Arial" w:eastAsia="Google Sans" w:hAnsi="Arial" w:cs="Arial"/>
            <w:color w:val="0B57D0"/>
            <w:sz w:val="24"/>
            <w:szCs w:val="24"/>
            <w:u w:val="single"/>
          </w:rPr>
          <w:t>https://www.researchgate.net/publication/228311968_Contented_Workers_in_Inferior_Jobs</w:t>
        </w:r>
      </w:hyperlink>
      <w:r w:rsidRPr="00C33589">
        <w:rPr>
          <w:rFonts w:ascii="Arial" w:eastAsia="Google Sans" w:hAnsi="Arial" w:cs="Arial"/>
          <w:color w:val="1F1F1F"/>
          <w:sz w:val="24"/>
          <w:szCs w:val="24"/>
        </w:rPr>
        <w:t xml:space="preserve"> [Accessed 3 March 2026].</w:t>
      </w:r>
    </w:p>
    <w:p w14:paraId="37EF27E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Atkinson, J., &amp; Meager, N. (1986) Flexibility in the firm. Institute of Manpower Studies. Available at: </w:t>
      </w:r>
      <w:hyperlink r:id="rId17">
        <w:r w:rsidRPr="00C33589">
          <w:rPr>
            <w:rFonts w:ascii="Arial" w:eastAsia="Google Sans" w:hAnsi="Arial" w:cs="Arial"/>
            <w:color w:val="0B57D0"/>
            <w:sz w:val="24"/>
            <w:szCs w:val="24"/>
            <w:u w:val="single"/>
          </w:rPr>
          <w:t>https://dspace.stir.ac.uk/bitstream/1893/988/1/A%20Dawson-24032009.pdf</w:t>
        </w:r>
      </w:hyperlink>
      <w:r w:rsidRPr="00C33589">
        <w:rPr>
          <w:rFonts w:ascii="Arial" w:eastAsia="Google Sans" w:hAnsi="Arial" w:cs="Arial"/>
          <w:color w:val="1F1F1F"/>
          <w:sz w:val="24"/>
          <w:szCs w:val="24"/>
        </w:rPr>
        <w:t xml:space="preserve"> [Accessed 4 March 2026].</w:t>
      </w:r>
    </w:p>
    <w:p w14:paraId="6CDA8143"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Awad, J. A., &amp; Martín-Rojas, R. (2024) Digital transformation and organizational resilience. Journal of Innovation and Entrepreneurship. Available at: </w:t>
      </w:r>
      <w:hyperlink r:id="rId18">
        <w:r w:rsidRPr="00C33589">
          <w:rPr>
            <w:rFonts w:ascii="Arial" w:eastAsia="Google Sans" w:hAnsi="Arial" w:cs="Arial"/>
            <w:color w:val="0B57D0"/>
            <w:sz w:val="24"/>
            <w:szCs w:val="24"/>
            <w:u w:val="single"/>
          </w:rPr>
          <w:t>https://www.tandfonline.com/doi/full/10.1080/23311975.2025.2612413</w:t>
        </w:r>
      </w:hyperlink>
      <w:r w:rsidRPr="00C33589">
        <w:rPr>
          <w:rFonts w:ascii="Arial" w:eastAsia="Google Sans" w:hAnsi="Arial" w:cs="Arial"/>
          <w:color w:val="1F1F1F"/>
          <w:sz w:val="24"/>
          <w:szCs w:val="24"/>
        </w:rPr>
        <w:t xml:space="preserve"> [Accessed 5 March 2026].</w:t>
      </w:r>
    </w:p>
    <w:p w14:paraId="159DD7F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Baber, M. M. et al. (2022) Psychological Contract Breach and Violation. Pakistan Languages and Humanities Review. Available at: </w:t>
      </w:r>
      <w:hyperlink r:id="rId19">
        <w:r w:rsidRPr="00C33589">
          <w:rPr>
            <w:rFonts w:ascii="Arial" w:eastAsia="Google Sans" w:hAnsi="Arial" w:cs="Arial"/>
            <w:color w:val="0B57D0"/>
            <w:sz w:val="24"/>
            <w:szCs w:val="24"/>
            <w:u w:val="single"/>
          </w:rPr>
          <w:t>https://gtg.webhost.uoradea.ro/PDF/GTG-2spl-2025/gtg.602spl18-1494.pdf</w:t>
        </w:r>
      </w:hyperlink>
      <w:r w:rsidRPr="00C33589">
        <w:rPr>
          <w:rFonts w:ascii="Arial" w:eastAsia="Google Sans" w:hAnsi="Arial" w:cs="Arial"/>
          <w:color w:val="1F1F1F"/>
          <w:sz w:val="24"/>
          <w:szCs w:val="24"/>
        </w:rPr>
        <w:t xml:space="preserve"> [Accessed 10 February 2026].</w:t>
      </w:r>
    </w:p>
    <w:p w14:paraId="6372AC24"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Bagguley, P. (1990) Gender and labor flexibility in hotel and catering. Sociology. Available at: </w:t>
      </w:r>
      <w:hyperlink r:id="rId20">
        <w:r w:rsidRPr="00C33589">
          <w:rPr>
            <w:rFonts w:ascii="Arial" w:eastAsia="Google Sans" w:hAnsi="Arial" w:cs="Arial"/>
            <w:color w:val="0B57D0"/>
            <w:sz w:val="24"/>
            <w:szCs w:val="24"/>
            <w:u w:val="single"/>
          </w:rPr>
          <w:t>https://www.researchgate.net/publication/281393516_Performance_labour_flexibility_and_migrant_workers_in_hotels</w:t>
        </w:r>
      </w:hyperlink>
      <w:r w:rsidRPr="00C33589">
        <w:rPr>
          <w:rFonts w:ascii="Arial" w:eastAsia="Google Sans" w:hAnsi="Arial" w:cs="Arial"/>
          <w:color w:val="1F1F1F"/>
          <w:sz w:val="24"/>
          <w:szCs w:val="24"/>
        </w:rPr>
        <w:t xml:space="preserve"> [Accessed 12 February 2026].</w:t>
      </w:r>
    </w:p>
    <w:p w14:paraId="4142CEA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Baquero, A. et al. (2025) SET and Psychological Contract Fulfillment. Journal of Organizational Behavior. Available at: </w:t>
      </w:r>
      <w:hyperlink r:id="rId21">
        <w:r w:rsidRPr="00C33589">
          <w:rPr>
            <w:rFonts w:ascii="Arial" w:eastAsia="Google Sans" w:hAnsi="Arial" w:cs="Arial"/>
            <w:color w:val="0B57D0"/>
            <w:sz w:val="24"/>
            <w:szCs w:val="24"/>
            <w:u w:val="single"/>
          </w:rPr>
          <w:t>https://www.mdpi.com/2076-3387/16/2/62</w:t>
        </w:r>
      </w:hyperlink>
      <w:r w:rsidRPr="00C33589">
        <w:rPr>
          <w:rFonts w:ascii="Arial" w:eastAsia="Google Sans" w:hAnsi="Arial" w:cs="Arial"/>
          <w:color w:val="1F1F1F"/>
          <w:sz w:val="24"/>
          <w:szCs w:val="24"/>
        </w:rPr>
        <w:t xml:space="preserve"> [Accessed 15 February 2026].</w:t>
      </w:r>
    </w:p>
    <w:p w14:paraId="3AFD9908"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Barauskienė, V., &amp; Stasėnaitė, V. (2023) Information management applying Lean system 5S. Applied Scientific Research. Available at: </w:t>
      </w:r>
      <w:hyperlink r:id="rId22">
        <w:r w:rsidRPr="00C33589">
          <w:rPr>
            <w:rFonts w:ascii="Arial" w:eastAsia="Google Sans" w:hAnsi="Arial" w:cs="Arial"/>
            <w:color w:val="0B57D0"/>
            <w:sz w:val="24"/>
            <w:szCs w:val="24"/>
            <w:u w:val="single"/>
          </w:rPr>
          <w:t>https://www.eu-scientists.com/index.php/pmap/article/view/403</w:t>
        </w:r>
      </w:hyperlink>
      <w:r w:rsidRPr="00C33589">
        <w:rPr>
          <w:rFonts w:ascii="Arial" w:eastAsia="Google Sans" w:hAnsi="Arial" w:cs="Arial"/>
          <w:color w:val="1F1F1F"/>
          <w:sz w:val="24"/>
          <w:szCs w:val="24"/>
        </w:rPr>
        <w:t xml:space="preserve"> [Accessed 18 February 2026].</w:t>
      </w:r>
    </w:p>
    <w:p w14:paraId="2DE497A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Barsade, S. G., Coutifaris, C. G., &amp; Pillemer, J. (2018) Emotional contagion in organizational life. Research in Organizational Behavior. Available at: </w:t>
      </w:r>
      <w:hyperlink r:id="rId23">
        <w:r w:rsidRPr="00C33589">
          <w:rPr>
            <w:rFonts w:ascii="Arial" w:eastAsia="Google Sans" w:hAnsi="Arial" w:cs="Arial"/>
            <w:color w:val="0B57D0"/>
            <w:sz w:val="24"/>
            <w:szCs w:val="24"/>
            <w:u w:val="single"/>
          </w:rPr>
          <w:t>https://www.emerald.com/ijchm/article/33/10/3752/125511/Hospitality-employees-emotions-in-the-workplace-a</w:t>
        </w:r>
      </w:hyperlink>
      <w:r w:rsidRPr="00C33589">
        <w:rPr>
          <w:rFonts w:ascii="Arial" w:eastAsia="Google Sans" w:hAnsi="Arial" w:cs="Arial"/>
          <w:color w:val="1F1F1F"/>
          <w:sz w:val="24"/>
          <w:szCs w:val="24"/>
        </w:rPr>
        <w:t xml:space="preserve"> [Accessed 19 February 2026].</w:t>
      </w:r>
    </w:p>
    <w:p w14:paraId="3599DF85"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Berg, P. et al. (2014) Zero contract employees and financial performance. Industrial Relations Journal. Available at: </w:t>
      </w:r>
      <w:hyperlink r:id="rId24">
        <w:r w:rsidRPr="00C33589">
          <w:rPr>
            <w:rFonts w:ascii="Arial" w:eastAsia="Google Sans" w:hAnsi="Arial" w:cs="Arial"/>
            <w:color w:val="0B57D0"/>
            <w:sz w:val="24"/>
            <w:szCs w:val="24"/>
            <w:u w:val="single"/>
          </w:rPr>
          <w:t>https://openresearch.surrey.ac.uk/view/pdfCoverPage?instCode=44SUR_INST&amp;filePid=13140259970002346&amp;download=true</w:t>
        </w:r>
      </w:hyperlink>
      <w:r w:rsidRPr="00C33589">
        <w:rPr>
          <w:rFonts w:ascii="Arial" w:eastAsia="Google Sans" w:hAnsi="Arial" w:cs="Arial"/>
          <w:color w:val="1F1F1F"/>
          <w:sz w:val="24"/>
          <w:szCs w:val="24"/>
        </w:rPr>
        <w:t xml:space="preserve"> [Accessed 20 February 2026].</w:t>
      </w:r>
    </w:p>
    <w:p w14:paraId="6B20B79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Bigby, C., &amp; Humphreys, J. (2024) Practice Leadership and role clarity. Journal of Applied Psychology. Available at: </w:t>
      </w:r>
      <w:hyperlink r:id="rId25">
        <w:r w:rsidRPr="00C33589">
          <w:rPr>
            <w:rFonts w:ascii="Arial" w:eastAsia="Google Sans" w:hAnsi="Arial" w:cs="Arial"/>
            <w:color w:val="0B57D0"/>
            <w:sz w:val="24"/>
            <w:szCs w:val="24"/>
            <w:u w:val="single"/>
          </w:rPr>
          <w:t>https://pmc.ncbi.nlm.nih.gov/articles/PMC12849995/</w:t>
        </w:r>
      </w:hyperlink>
      <w:r w:rsidRPr="00C33589">
        <w:rPr>
          <w:rFonts w:ascii="Arial" w:eastAsia="Google Sans" w:hAnsi="Arial" w:cs="Arial"/>
          <w:color w:val="1F1F1F"/>
          <w:sz w:val="24"/>
          <w:szCs w:val="24"/>
        </w:rPr>
        <w:t xml:space="preserve"> [Accessed 22 February 2026].</w:t>
      </w:r>
    </w:p>
    <w:p w14:paraId="613050F5"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Boal, K., &amp; Hooijberg, R. (2000) Strategic leadership research. Leadership Quarterly. Available at: </w:t>
      </w:r>
      <w:hyperlink r:id="rId26">
        <w:r w:rsidRPr="00C33589">
          <w:rPr>
            <w:rFonts w:ascii="Arial" w:eastAsia="Google Sans" w:hAnsi="Arial" w:cs="Arial"/>
            <w:color w:val="0B57D0"/>
            <w:sz w:val="24"/>
            <w:szCs w:val="24"/>
            <w:u w:val="single"/>
          </w:rPr>
          <w:t>https://www.emerald.com/ijchm/article/36/10/3300/1225965/</w:t>
        </w:r>
      </w:hyperlink>
      <w:r w:rsidRPr="00C33589">
        <w:rPr>
          <w:rFonts w:ascii="Arial" w:eastAsia="Google Sans" w:hAnsi="Arial" w:cs="Arial"/>
          <w:color w:val="1F1F1F"/>
          <w:sz w:val="24"/>
          <w:szCs w:val="24"/>
        </w:rPr>
        <w:t xml:space="preserve"> [Accessed 25 February 2026].</w:t>
      </w:r>
    </w:p>
    <w:p w14:paraId="159EA1E5"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Borah, D. et al. (2023) Adaptive leadership and environmental performance. Journal of Environmental Management. Available at: </w:t>
      </w:r>
      <w:hyperlink r:id="rId27">
        <w:r w:rsidRPr="00C33589">
          <w:rPr>
            <w:rFonts w:ascii="Arial" w:eastAsia="Google Sans" w:hAnsi="Arial" w:cs="Arial"/>
            <w:color w:val="0B57D0"/>
            <w:sz w:val="24"/>
            <w:szCs w:val="24"/>
            <w:u w:val="single"/>
          </w:rPr>
          <w:t>https://www.emerald.com/jhti/article/doi/10.1108/JHTI-02-2025-0320/</w:t>
        </w:r>
      </w:hyperlink>
      <w:r w:rsidRPr="00C33589">
        <w:rPr>
          <w:rFonts w:ascii="Arial" w:eastAsia="Google Sans" w:hAnsi="Arial" w:cs="Arial"/>
          <w:color w:val="1F1F1F"/>
          <w:sz w:val="24"/>
          <w:szCs w:val="24"/>
        </w:rPr>
        <w:t xml:space="preserve"> [Accessed 28 February 2026].</w:t>
      </w:r>
    </w:p>
    <w:p w14:paraId="01B58E5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Braun, V. and Clarke, V. (2021) To saturate or not to saturate?. Qualitative Research in Sport, Exercise and Health. Available at: </w:t>
      </w:r>
      <w:hyperlink r:id="rId28">
        <w:r w:rsidRPr="00C33589">
          <w:rPr>
            <w:rFonts w:ascii="Arial" w:eastAsia="Google Sans" w:hAnsi="Arial" w:cs="Arial"/>
            <w:color w:val="0B57D0"/>
            <w:sz w:val="24"/>
            <w:szCs w:val="24"/>
            <w:u w:val="single"/>
          </w:rPr>
          <w:t>https://scholar.google.co.uk/citations?user=PahgjSIAAAAJ&amp;hl=en</w:t>
        </w:r>
      </w:hyperlink>
      <w:r w:rsidRPr="00C33589">
        <w:rPr>
          <w:rFonts w:ascii="Arial" w:eastAsia="Google Sans" w:hAnsi="Arial" w:cs="Arial"/>
          <w:color w:val="1F1F1F"/>
          <w:sz w:val="24"/>
          <w:szCs w:val="24"/>
        </w:rPr>
        <w:t xml:space="preserve"> [Accessed 1 March 2026].</w:t>
      </w:r>
    </w:p>
    <w:p w14:paraId="2D2218F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Braun, V. and Clarke, V. (2024) Reflexive Thematic Analysis. Qualitative Research in Psychology. Available at: </w:t>
      </w:r>
      <w:hyperlink r:id="rId29">
        <w:r w:rsidRPr="00C33589">
          <w:rPr>
            <w:rFonts w:ascii="Arial" w:eastAsia="Google Sans" w:hAnsi="Arial" w:cs="Arial"/>
            <w:color w:val="0B57D0"/>
            <w:sz w:val="24"/>
            <w:szCs w:val="24"/>
            <w:u w:val="single"/>
          </w:rPr>
          <w:t>https://www.tandfonline.com/doi/full/10.1080/14780887.2024.2382244</w:t>
        </w:r>
      </w:hyperlink>
      <w:r w:rsidRPr="00C33589">
        <w:rPr>
          <w:rFonts w:ascii="Arial" w:eastAsia="Google Sans" w:hAnsi="Arial" w:cs="Arial"/>
          <w:color w:val="1F1F1F"/>
          <w:sz w:val="24"/>
          <w:szCs w:val="24"/>
        </w:rPr>
        <w:t xml:space="preserve"> [Accessed 3 March 2026].</w:t>
      </w:r>
    </w:p>
    <w:p w14:paraId="102382A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Breen, L. (2007) The researcher in the middle: insider researcher. Qualitative Health Research. Available at: </w:t>
      </w:r>
      <w:hyperlink r:id="rId30">
        <w:r w:rsidRPr="00C33589">
          <w:rPr>
            <w:rFonts w:ascii="Arial" w:eastAsia="Google Sans" w:hAnsi="Arial" w:cs="Arial"/>
            <w:color w:val="0B57D0"/>
            <w:sz w:val="24"/>
            <w:szCs w:val="24"/>
            <w:u w:val="single"/>
          </w:rPr>
          <w:t>https://www.researchgate.net/publication/364521966_Insiders_Outsiders_and_Credible_Visitors_in_Research</w:t>
        </w:r>
      </w:hyperlink>
      <w:r w:rsidRPr="00C33589">
        <w:rPr>
          <w:rFonts w:ascii="Arial" w:eastAsia="Google Sans" w:hAnsi="Arial" w:cs="Arial"/>
          <w:color w:val="1F1F1F"/>
          <w:sz w:val="24"/>
          <w:szCs w:val="24"/>
        </w:rPr>
        <w:t xml:space="preserve"> [Accessed 2 March 2026].</w:t>
      </w:r>
    </w:p>
    <w:p w14:paraId="3D58653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Bunea, O.-I. et al. (2025) The influence of internal marketing on job satisfaction. Journal of Business Economics and Management. Available at: </w:t>
      </w:r>
      <w:hyperlink r:id="rId31">
        <w:r w:rsidRPr="00C33589">
          <w:rPr>
            <w:rFonts w:ascii="Arial" w:eastAsia="Google Sans" w:hAnsi="Arial" w:cs="Arial"/>
            <w:color w:val="0B57D0"/>
            <w:sz w:val="24"/>
            <w:szCs w:val="24"/>
            <w:u w:val="single"/>
          </w:rPr>
          <w:t>https://journals.vilniustech.lt/index.php/JBEM/article/view/23371</w:t>
        </w:r>
      </w:hyperlink>
      <w:r w:rsidRPr="00C33589">
        <w:rPr>
          <w:rFonts w:ascii="Arial" w:eastAsia="Google Sans" w:hAnsi="Arial" w:cs="Arial"/>
          <w:color w:val="1F1F1F"/>
          <w:sz w:val="24"/>
          <w:szCs w:val="24"/>
        </w:rPr>
        <w:t xml:space="preserve"> [Accessed 3 March 2026].</w:t>
      </w:r>
    </w:p>
    <w:p w14:paraId="032F9DF7"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Cabrera, E., &amp; Cabrera, A. (2005) Value adding HRM and social interaction. Personnel Review. Available at: </w:t>
      </w:r>
      <w:hyperlink r:id="rId32">
        <w:r w:rsidRPr="00C33589">
          <w:rPr>
            <w:rFonts w:ascii="Arial" w:eastAsia="Google Sans" w:hAnsi="Arial" w:cs="Arial"/>
            <w:color w:val="0B57D0"/>
            <w:sz w:val="24"/>
            <w:szCs w:val="24"/>
            <w:u w:val="single"/>
          </w:rPr>
          <w:t>https://www.cambridge.org/core/journals/the-economic-and-labour-relations-review/</w:t>
        </w:r>
      </w:hyperlink>
      <w:r w:rsidRPr="00C33589">
        <w:rPr>
          <w:rFonts w:ascii="Arial" w:eastAsia="Google Sans" w:hAnsi="Arial" w:cs="Arial"/>
          <w:color w:val="1F1F1F"/>
          <w:sz w:val="24"/>
          <w:szCs w:val="24"/>
        </w:rPr>
        <w:t xml:space="preserve"> [Accessed 3 March 2026].</w:t>
      </w:r>
    </w:p>
    <w:p w14:paraId="54CBBBE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Caldwell, J. et al. (2019) Psychological safety and workplace demands. Journal of Occupational Health. Available at: </w:t>
      </w:r>
      <w:hyperlink r:id="rId33">
        <w:r w:rsidRPr="00C33589">
          <w:rPr>
            <w:rFonts w:ascii="Arial" w:eastAsia="Google Sans" w:hAnsi="Arial" w:cs="Arial"/>
            <w:color w:val="0B57D0"/>
            <w:sz w:val="24"/>
            <w:szCs w:val="24"/>
            <w:u w:val="single"/>
          </w:rPr>
          <w:t>https://www.mdpi.com/2673-5768/6/2/72</w:t>
        </w:r>
      </w:hyperlink>
      <w:r w:rsidRPr="00C33589">
        <w:rPr>
          <w:rFonts w:ascii="Arial" w:eastAsia="Google Sans" w:hAnsi="Arial" w:cs="Arial"/>
          <w:color w:val="1F1F1F"/>
          <w:sz w:val="24"/>
          <w:szCs w:val="24"/>
        </w:rPr>
        <w:t xml:space="preserve"> [Accessed 4 March 2026].</w:t>
      </w:r>
    </w:p>
    <w:p w14:paraId="26F5AA4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Campling, J. et al. (2006) Multi-skilling and job enrichment. Management Research News. Available at: </w:t>
      </w:r>
      <w:hyperlink r:id="rId34">
        <w:r w:rsidRPr="00C33589">
          <w:rPr>
            <w:rFonts w:ascii="Arial" w:eastAsia="Google Sans" w:hAnsi="Arial" w:cs="Arial"/>
            <w:color w:val="0B57D0"/>
            <w:sz w:val="24"/>
            <w:szCs w:val="24"/>
            <w:u w:val="single"/>
          </w:rPr>
          <w:t>https://amity.edu/noida/arjtah/pdf/vol2-2/5.pdf</w:t>
        </w:r>
      </w:hyperlink>
      <w:r w:rsidRPr="00C33589">
        <w:rPr>
          <w:rFonts w:ascii="Arial" w:eastAsia="Google Sans" w:hAnsi="Arial" w:cs="Arial"/>
          <w:color w:val="1F1F1F"/>
          <w:sz w:val="24"/>
          <w:szCs w:val="24"/>
        </w:rPr>
        <w:t xml:space="preserve"> [Accessed 5 March 2026].</w:t>
      </w:r>
    </w:p>
    <w:p w14:paraId="39931AB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Canary Technologies. (2024) Hotel Checklists and Manager on Duty Duties. Available at: </w:t>
      </w:r>
      <w:hyperlink r:id="rId35">
        <w:r w:rsidRPr="00C33589">
          <w:rPr>
            <w:rFonts w:ascii="Arial" w:eastAsia="Google Sans" w:hAnsi="Arial" w:cs="Arial"/>
            <w:color w:val="0B57D0"/>
            <w:sz w:val="24"/>
            <w:szCs w:val="24"/>
            <w:u w:val="single"/>
          </w:rPr>
          <w:t>https://www.canarytechnologies.com/post/hotel-checklists</w:t>
        </w:r>
      </w:hyperlink>
      <w:r w:rsidRPr="00C33589">
        <w:rPr>
          <w:rFonts w:ascii="Arial" w:eastAsia="Google Sans" w:hAnsi="Arial" w:cs="Arial"/>
          <w:color w:val="1F1F1F"/>
          <w:sz w:val="24"/>
          <w:szCs w:val="24"/>
        </w:rPr>
        <w:t xml:space="preserve"> [Accessed 10 February 2026].</w:t>
      </w:r>
    </w:p>
    <w:p w14:paraId="5B75016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Castaño, et al. (2025) Role conflict in hospitality workers. European Journal of Tourism Research. Available at: </w:t>
      </w:r>
      <w:hyperlink r:id="rId36">
        <w:r w:rsidRPr="00C33589">
          <w:rPr>
            <w:rFonts w:ascii="Arial" w:eastAsia="Google Sans" w:hAnsi="Arial" w:cs="Arial"/>
            <w:color w:val="0B57D0"/>
            <w:sz w:val="24"/>
            <w:szCs w:val="24"/>
            <w:u w:val="single"/>
          </w:rPr>
          <w:t>https://ejtr.vumk.eu/index.php/about/article/download/3861/697/11402</w:t>
        </w:r>
      </w:hyperlink>
      <w:r w:rsidRPr="00C33589">
        <w:rPr>
          <w:rFonts w:ascii="Arial" w:eastAsia="Google Sans" w:hAnsi="Arial" w:cs="Arial"/>
          <w:color w:val="1F1F1F"/>
          <w:sz w:val="24"/>
          <w:szCs w:val="24"/>
        </w:rPr>
        <w:t xml:space="preserve"> [Accessed 12 February 2026].</w:t>
      </w:r>
    </w:p>
    <w:p w14:paraId="32C2955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CCTV. (2025) 2025 China Hotel Industry Development Report. China Business Journal. Available at: </w:t>
      </w:r>
      <w:hyperlink r:id="rId37">
        <w:r w:rsidRPr="00C33589">
          <w:rPr>
            <w:rFonts w:ascii="Arial" w:eastAsia="Google Sans" w:hAnsi="Arial" w:cs="Arial"/>
            <w:color w:val="0B57D0"/>
            <w:sz w:val="24"/>
            <w:szCs w:val="24"/>
            <w:u w:val="single"/>
          </w:rPr>
          <w:t>https://www.mdpi.com/2673-5768/7/1/4</w:t>
        </w:r>
      </w:hyperlink>
      <w:r w:rsidRPr="00C33589">
        <w:rPr>
          <w:rFonts w:ascii="Arial" w:eastAsia="Google Sans" w:hAnsi="Arial" w:cs="Arial"/>
          <w:color w:val="1F1F1F"/>
          <w:sz w:val="24"/>
          <w:szCs w:val="24"/>
        </w:rPr>
        <w:t xml:space="preserve"> [Accessed 15 February 2026].</w:t>
      </w:r>
    </w:p>
    <w:p w14:paraId="6DE91AA7"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Chambi, R. et al. (2023) Servuction and operations management. International Journal of Industrial Engineering. Available at: </w:t>
      </w:r>
      <w:hyperlink r:id="rId38">
        <w:r w:rsidRPr="00C33589">
          <w:rPr>
            <w:rFonts w:ascii="Arial" w:eastAsia="Google Sans" w:hAnsi="Arial" w:cs="Arial"/>
            <w:color w:val="0B57D0"/>
            <w:sz w:val="24"/>
            <w:szCs w:val="24"/>
            <w:u w:val="single"/>
          </w:rPr>
          <w:t>https://www.researchgate.net/publication/395871572_A_Systematic_Review_of_the_Literature_on_Operations_Management_in_Servuction_Systems</w:t>
        </w:r>
      </w:hyperlink>
      <w:r w:rsidRPr="00C33589">
        <w:rPr>
          <w:rFonts w:ascii="Arial" w:eastAsia="Google Sans" w:hAnsi="Arial" w:cs="Arial"/>
          <w:color w:val="1F1F1F"/>
          <w:sz w:val="24"/>
          <w:szCs w:val="24"/>
        </w:rPr>
        <w:t xml:space="preserve"> [Accessed 18 February 2026].</w:t>
      </w:r>
    </w:p>
    <w:p w14:paraId="22B05AE7"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Chau, K. (2019) Work-family conflict in hospitality sectors. Journal of Hospitality Management. Available at: </w:t>
      </w:r>
      <w:hyperlink r:id="rId39">
        <w:r w:rsidRPr="00C33589">
          <w:rPr>
            <w:rFonts w:ascii="Arial" w:eastAsia="Google Sans" w:hAnsi="Arial" w:cs="Arial"/>
            <w:color w:val="0B57D0"/>
            <w:sz w:val="24"/>
            <w:szCs w:val="24"/>
            <w:u w:val="single"/>
          </w:rPr>
          <w:t>https://www.tandfonline.com/doi/full/10.1080/13032917.2025.2451904</w:t>
        </w:r>
      </w:hyperlink>
      <w:r w:rsidRPr="00C33589">
        <w:rPr>
          <w:rFonts w:ascii="Arial" w:eastAsia="Google Sans" w:hAnsi="Arial" w:cs="Arial"/>
          <w:color w:val="1F1F1F"/>
          <w:sz w:val="24"/>
          <w:szCs w:val="24"/>
        </w:rPr>
        <w:t xml:space="preserve"> [Accessed 20 February 2026].</w:t>
      </w:r>
    </w:p>
    <w:p w14:paraId="629C087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Chaulagain, S. (2024) VAB model in hotel research. International Journal of Tourism Research. Available at: </w:t>
      </w:r>
      <w:hyperlink r:id="rId40">
        <w:r w:rsidRPr="00C33589">
          <w:rPr>
            <w:rFonts w:ascii="Arial" w:eastAsia="Google Sans" w:hAnsi="Arial" w:cs="Arial"/>
            <w:color w:val="0B57D0"/>
            <w:sz w:val="24"/>
            <w:szCs w:val="24"/>
            <w:u w:val="single"/>
          </w:rPr>
          <w:t>https://www.emerald.com/apjml/article/doi/10.1108/APJML-07-2025-1298/</w:t>
        </w:r>
      </w:hyperlink>
      <w:r w:rsidRPr="00C33589">
        <w:rPr>
          <w:rFonts w:ascii="Arial" w:eastAsia="Google Sans" w:hAnsi="Arial" w:cs="Arial"/>
          <w:color w:val="1F1F1F"/>
          <w:sz w:val="24"/>
          <w:szCs w:val="24"/>
        </w:rPr>
        <w:t xml:space="preserve"> [Accessed 22 February 2026].</w:t>
      </w:r>
    </w:p>
    <w:p w14:paraId="16FE829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Chavez, C. (2008) Insider research constraints and community conflicts. Qualitative Research. Available at: </w:t>
      </w:r>
      <w:hyperlink r:id="rId41">
        <w:r w:rsidRPr="00C33589">
          <w:rPr>
            <w:rFonts w:ascii="Arial" w:eastAsia="Google Sans" w:hAnsi="Arial" w:cs="Arial"/>
            <w:color w:val="0B57D0"/>
            <w:sz w:val="24"/>
            <w:szCs w:val="24"/>
            <w:u w:val="single"/>
          </w:rPr>
          <w:t>https://www.cambridge.org/core/services/aop-cambridge-core/content/</w:t>
        </w:r>
      </w:hyperlink>
      <w:r w:rsidRPr="00C33589">
        <w:rPr>
          <w:rFonts w:ascii="Arial" w:eastAsia="Google Sans" w:hAnsi="Arial" w:cs="Arial"/>
          <w:color w:val="1F1F1F"/>
          <w:sz w:val="24"/>
          <w:szCs w:val="24"/>
        </w:rPr>
        <w:t xml:space="preserve"> [Accessed 25 February 2026].</w:t>
      </w:r>
    </w:p>
    <w:p w14:paraId="3CE3E8B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Chen, X. et al. (2023) Job satisfaction and turnover intention among the young workforce. PLoS ONE. Available at: </w:t>
      </w:r>
      <w:hyperlink r:id="rId42">
        <w:r w:rsidRPr="00C33589">
          <w:rPr>
            <w:rFonts w:ascii="Arial" w:eastAsia="Google Sans" w:hAnsi="Arial" w:cs="Arial"/>
            <w:color w:val="0B57D0"/>
            <w:sz w:val="24"/>
            <w:szCs w:val="24"/>
            <w:u w:val="single"/>
          </w:rPr>
          <w:t>https://www.researchgate.net/publication/394799039_Exploring_The_Impact_of_Work-Family_Bi-Directional_Conflict</w:t>
        </w:r>
      </w:hyperlink>
      <w:r w:rsidRPr="00C33589">
        <w:rPr>
          <w:rFonts w:ascii="Arial" w:eastAsia="Google Sans" w:hAnsi="Arial" w:cs="Arial"/>
          <w:color w:val="1F1F1F"/>
          <w:sz w:val="24"/>
          <w:szCs w:val="24"/>
        </w:rPr>
        <w:t xml:space="preserve"> [Accessed 28 February 2026].</w:t>
      </w:r>
    </w:p>
    <w:p w14:paraId="0E64825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Choi, H.M. et al. (2019) Frontline employees emotional intelligence and burnout. International Journal of Hospitality Management. Available at: </w:t>
      </w:r>
      <w:hyperlink r:id="rId43">
        <w:r w:rsidRPr="00C33589">
          <w:rPr>
            <w:rFonts w:ascii="Arial" w:eastAsia="Google Sans" w:hAnsi="Arial" w:cs="Arial"/>
            <w:color w:val="0B57D0"/>
            <w:sz w:val="24"/>
            <w:szCs w:val="24"/>
            <w:u w:val="single"/>
          </w:rPr>
          <w:t>https://eprints.bournemouth.ac.uk/40842/1/CHME25_EE%20Paper.pdf</w:t>
        </w:r>
      </w:hyperlink>
      <w:r w:rsidRPr="00C33589">
        <w:rPr>
          <w:rFonts w:ascii="Arial" w:eastAsia="Google Sans" w:hAnsi="Arial" w:cs="Arial"/>
          <w:color w:val="1F1F1F"/>
          <w:sz w:val="24"/>
          <w:szCs w:val="24"/>
        </w:rPr>
        <w:t xml:space="preserve"> [Accessed 1 March 2026].</w:t>
      </w:r>
    </w:p>
    <w:p w14:paraId="40E9EC3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Chung, H. (2020) Working-time flexibility and career progression. Journal of Social Policy. Available at: </w:t>
      </w:r>
      <w:hyperlink r:id="rId44">
        <w:r w:rsidRPr="00C33589">
          <w:rPr>
            <w:rFonts w:ascii="Arial" w:eastAsia="Google Sans" w:hAnsi="Arial" w:cs="Arial"/>
            <w:color w:val="0B57D0"/>
            <w:sz w:val="24"/>
            <w:szCs w:val="24"/>
            <w:u w:val="single"/>
          </w:rPr>
          <w:t>https://www.tandfonline.com/doi/full/10.1080/13668803.2025.2535735</w:t>
        </w:r>
      </w:hyperlink>
      <w:r w:rsidRPr="00C33589">
        <w:rPr>
          <w:rFonts w:ascii="Arial" w:eastAsia="Google Sans" w:hAnsi="Arial" w:cs="Arial"/>
          <w:color w:val="1F1F1F"/>
          <w:sz w:val="24"/>
          <w:szCs w:val="24"/>
        </w:rPr>
        <w:t xml:space="preserve"> [Accessed 2 March 2026].</w:t>
      </w:r>
    </w:p>
    <w:p w14:paraId="69190B25"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Civak, B., &amp; Besler, S. (2022) Precarization in the hospitality sector. Tourism and Hospitality Management. Available at: </w:t>
      </w:r>
      <w:hyperlink r:id="rId45">
        <w:r w:rsidRPr="00C33589">
          <w:rPr>
            <w:rFonts w:ascii="Arial" w:eastAsia="Google Sans" w:hAnsi="Arial" w:cs="Arial"/>
            <w:color w:val="0B57D0"/>
            <w:sz w:val="24"/>
            <w:szCs w:val="24"/>
            <w:u w:val="single"/>
          </w:rPr>
          <w:t>https://hrcak.srce.hr/file/485969</w:t>
        </w:r>
      </w:hyperlink>
      <w:r w:rsidRPr="00C33589">
        <w:rPr>
          <w:rFonts w:ascii="Arial" w:eastAsia="Google Sans" w:hAnsi="Arial" w:cs="Arial"/>
          <w:color w:val="1F1F1F"/>
          <w:sz w:val="24"/>
          <w:szCs w:val="24"/>
        </w:rPr>
        <w:t xml:space="preserve"> [Accessed 3 March 2026].</w:t>
      </w:r>
    </w:p>
    <w:p w14:paraId="00CD779E"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Cleveland, J. et al. (2007) Irregular work patterns in Sydney hotels. Journal of Human Resources in Hospitality &amp; Tourism. Available at: </w:t>
      </w:r>
      <w:hyperlink r:id="rId46">
        <w:r w:rsidRPr="00C33589">
          <w:rPr>
            <w:rFonts w:ascii="Arial" w:eastAsia="Google Sans" w:hAnsi="Arial" w:cs="Arial"/>
            <w:color w:val="0B57D0"/>
            <w:sz w:val="24"/>
            <w:szCs w:val="24"/>
            <w:u w:val="single"/>
          </w:rPr>
          <w:t>https://www.tandfonline.com/doi/pdf/10.1080/22243534.2021.2007589</w:t>
        </w:r>
      </w:hyperlink>
      <w:r w:rsidRPr="00C33589">
        <w:rPr>
          <w:rFonts w:ascii="Arial" w:eastAsia="Google Sans" w:hAnsi="Arial" w:cs="Arial"/>
          <w:color w:val="1F1F1F"/>
          <w:sz w:val="24"/>
          <w:szCs w:val="24"/>
        </w:rPr>
        <w:t xml:space="preserve"> [Accessed 4 March 2026].</w:t>
      </w:r>
    </w:p>
    <w:p w14:paraId="65728E7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Coaley, P. C. (2021) Internal marketing and employer branding in hospitality. Journal of Service Management. Available at: </w:t>
      </w:r>
      <w:hyperlink r:id="rId47">
        <w:r w:rsidRPr="00C33589">
          <w:rPr>
            <w:rFonts w:ascii="Arial" w:eastAsia="Google Sans" w:hAnsi="Arial" w:cs="Arial"/>
            <w:color w:val="0B57D0"/>
            <w:sz w:val="24"/>
            <w:szCs w:val="24"/>
            <w:u w:val="single"/>
          </w:rPr>
          <w:t>https://www.mdpi.com/2076-3387/15/5/153</w:t>
        </w:r>
      </w:hyperlink>
      <w:r w:rsidRPr="00C33589">
        <w:rPr>
          <w:rFonts w:ascii="Arial" w:eastAsia="Google Sans" w:hAnsi="Arial" w:cs="Arial"/>
          <w:color w:val="1F1F1F"/>
          <w:sz w:val="24"/>
          <w:szCs w:val="24"/>
        </w:rPr>
        <w:t xml:space="preserve"> [Accessed 5 March 2026].</w:t>
      </w:r>
    </w:p>
    <w:p w14:paraId="76D0293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Cockburn-Wootten, C., &amp; McIntosh, A. (2020) Reflexivity and power imbalances in research. Annals of Tourism Research. Available at: </w:t>
      </w:r>
      <w:hyperlink r:id="rId48">
        <w:r w:rsidRPr="00C33589">
          <w:rPr>
            <w:rFonts w:ascii="Arial" w:eastAsia="Google Sans" w:hAnsi="Arial" w:cs="Arial"/>
            <w:color w:val="0B57D0"/>
            <w:sz w:val="24"/>
            <w:szCs w:val="24"/>
            <w:u w:val="single"/>
          </w:rPr>
          <w:t>https://www.tandfonline.com/doi/full/10.1080/14616688.2025.2546533</w:t>
        </w:r>
      </w:hyperlink>
      <w:r w:rsidRPr="00C33589">
        <w:rPr>
          <w:rFonts w:ascii="Arial" w:eastAsia="Google Sans" w:hAnsi="Arial" w:cs="Arial"/>
          <w:color w:val="1F1F1F"/>
          <w:sz w:val="24"/>
          <w:szCs w:val="24"/>
        </w:rPr>
        <w:t xml:space="preserve"> [Accessed 10 February 2026].</w:t>
      </w:r>
    </w:p>
    <w:p w14:paraId="2AC950C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Crossley, E. (2021) Deep reflexivity in tourism research. ResearchGate. Available at: </w:t>
      </w:r>
      <w:hyperlink r:id="rId49">
        <w:r w:rsidRPr="00C33589">
          <w:rPr>
            <w:rFonts w:ascii="Arial" w:eastAsia="Google Sans" w:hAnsi="Arial" w:cs="Arial"/>
            <w:color w:val="0B57D0"/>
            <w:sz w:val="24"/>
            <w:szCs w:val="24"/>
            <w:u w:val="single"/>
          </w:rPr>
          <w:t>https://www.researchgate.net/publication/331243787_Deep_reflexivity_in_tourism_research</w:t>
        </w:r>
      </w:hyperlink>
      <w:r w:rsidRPr="00C33589">
        <w:rPr>
          <w:rFonts w:ascii="Arial" w:eastAsia="Google Sans" w:hAnsi="Arial" w:cs="Arial"/>
          <w:color w:val="1F1F1F"/>
          <w:sz w:val="24"/>
          <w:szCs w:val="24"/>
        </w:rPr>
        <w:t xml:space="preserve"> [Accessed 12 February 2026].</w:t>
      </w:r>
    </w:p>
    <w:p w14:paraId="082CFEF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Darcy, S. (2012) Lived experience in tourism research. Tourism Management. Available at: </w:t>
      </w:r>
      <w:hyperlink r:id="rId50">
        <w:r w:rsidRPr="00C33589">
          <w:rPr>
            <w:rFonts w:ascii="Arial" w:eastAsia="Google Sans" w:hAnsi="Arial" w:cs="Arial"/>
            <w:color w:val="0B57D0"/>
            <w:sz w:val="24"/>
            <w:szCs w:val="24"/>
            <w:u w:val="single"/>
          </w:rPr>
          <w:t>https://www.tandfonline.com/doi/full/10.1080/14616688.2025.2546533</w:t>
        </w:r>
      </w:hyperlink>
      <w:r w:rsidRPr="00C33589">
        <w:rPr>
          <w:rFonts w:ascii="Arial" w:eastAsia="Google Sans" w:hAnsi="Arial" w:cs="Arial"/>
          <w:color w:val="1F1F1F"/>
          <w:sz w:val="24"/>
          <w:szCs w:val="24"/>
        </w:rPr>
        <w:t xml:space="preserve"> [Accessed 14 February 2026].</w:t>
      </w:r>
    </w:p>
    <w:p w14:paraId="413E42A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De Vos, A., &amp; Meganck, A. (2008) The psychological contract and employment relationship. Journal of Managerial Psychology. Available at: </w:t>
      </w:r>
      <w:hyperlink r:id="rId51">
        <w:r w:rsidRPr="00C33589">
          <w:rPr>
            <w:rFonts w:ascii="Arial" w:eastAsia="Google Sans" w:hAnsi="Arial" w:cs="Arial"/>
            <w:color w:val="0B57D0"/>
            <w:sz w:val="24"/>
            <w:szCs w:val="24"/>
            <w:u w:val="single"/>
          </w:rPr>
          <w:t>https://www.emerald.com/jmp/article/doi/10.1108/JMP-10-2023-0608/</w:t>
        </w:r>
      </w:hyperlink>
      <w:r w:rsidRPr="00C33589">
        <w:rPr>
          <w:rFonts w:ascii="Arial" w:eastAsia="Google Sans" w:hAnsi="Arial" w:cs="Arial"/>
          <w:color w:val="1F1F1F"/>
          <w:sz w:val="24"/>
          <w:szCs w:val="24"/>
        </w:rPr>
        <w:t xml:space="preserve"> [Accessed 16 February 2026].</w:t>
      </w:r>
    </w:p>
    <w:p w14:paraId="0C90540B"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Deloitte. (2022) Digital technology in business models. Deloitte Insights. Available at: </w:t>
      </w:r>
      <w:hyperlink r:id="rId52">
        <w:r w:rsidRPr="00C33589">
          <w:rPr>
            <w:rFonts w:ascii="Arial" w:eastAsia="Google Sans" w:hAnsi="Arial" w:cs="Arial"/>
            <w:color w:val="0B57D0"/>
            <w:sz w:val="24"/>
            <w:szCs w:val="24"/>
            <w:u w:val="single"/>
          </w:rPr>
          <w:t>https://www.bip.uni.lodz.pl/fileadmin/user_upload/Doctoral_Dissertation-Aygun_Kam.pdf</w:t>
        </w:r>
      </w:hyperlink>
      <w:r w:rsidRPr="00C33589">
        <w:rPr>
          <w:rFonts w:ascii="Arial" w:eastAsia="Google Sans" w:hAnsi="Arial" w:cs="Arial"/>
          <w:color w:val="1F1F1F"/>
          <w:sz w:val="24"/>
          <w:szCs w:val="24"/>
        </w:rPr>
        <w:t xml:space="preserve"> [Accessed 18 February 2026].</w:t>
      </w:r>
    </w:p>
    <w:p w14:paraId="17F4ED2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Dempsey, M. (2021) Scheduling and recovery after peak in hotels. Hospitality and Society. Available at: </w:t>
      </w:r>
      <w:hyperlink r:id="rId53">
        <w:r w:rsidRPr="00C33589">
          <w:rPr>
            <w:rFonts w:ascii="Arial" w:eastAsia="Google Sans" w:hAnsi="Arial" w:cs="Arial"/>
            <w:color w:val="0B57D0"/>
            <w:sz w:val="24"/>
            <w:szCs w:val="24"/>
            <w:u w:val="single"/>
          </w:rPr>
          <w:t>https://www.mdpi.com/2076-3387/16/2/62</w:t>
        </w:r>
      </w:hyperlink>
      <w:r w:rsidRPr="00C33589">
        <w:rPr>
          <w:rFonts w:ascii="Arial" w:eastAsia="Google Sans" w:hAnsi="Arial" w:cs="Arial"/>
          <w:color w:val="1F1F1F"/>
          <w:sz w:val="24"/>
          <w:szCs w:val="24"/>
        </w:rPr>
        <w:t xml:space="preserve"> [Accessed 20 February 2026].</w:t>
      </w:r>
    </w:p>
    <w:p w14:paraId="2A3A019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Denzin, N. K. (2017) Sociological Methods: A Sourcebook. Routledge. Available at: </w:t>
      </w:r>
      <w:hyperlink r:id="rId54">
        <w:r w:rsidRPr="00C33589">
          <w:rPr>
            <w:rFonts w:ascii="Arial" w:eastAsia="Google Sans" w:hAnsi="Arial" w:cs="Arial"/>
            <w:color w:val="0B57D0"/>
            <w:sz w:val="24"/>
            <w:szCs w:val="24"/>
            <w:u w:val="single"/>
          </w:rPr>
          <w:t>https://www.researchgate.net/publication/385894147</w:t>
        </w:r>
      </w:hyperlink>
      <w:r w:rsidRPr="00C33589">
        <w:rPr>
          <w:rFonts w:ascii="Arial" w:eastAsia="Google Sans" w:hAnsi="Arial" w:cs="Arial"/>
          <w:color w:val="1F1F1F"/>
          <w:sz w:val="24"/>
          <w:szCs w:val="24"/>
        </w:rPr>
        <w:t xml:space="preserve"> [Accessed 21 February 2026].</w:t>
      </w:r>
    </w:p>
    <w:p w14:paraId="0E5C3908"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Department for Transport. (2023) £49.5 million for Melton Mowbray as government funds vital new road scheme. GOV.UK. Available at: </w:t>
      </w:r>
      <w:hyperlink r:id="rId55">
        <w:r w:rsidRPr="00C33589">
          <w:rPr>
            <w:rFonts w:ascii="Arial" w:eastAsia="Google Sans" w:hAnsi="Arial" w:cs="Arial"/>
            <w:color w:val="0B57D0"/>
            <w:sz w:val="24"/>
            <w:szCs w:val="24"/>
            <w:u w:val="single"/>
          </w:rPr>
          <w:t>https://www.gov.uk/government/news/495-million-for-melton-mowbray-as-government-funds-vital-new-road-scheme</w:t>
        </w:r>
      </w:hyperlink>
      <w:r w:rsidRPr="00C33589">
        <w:rPr>
          <w:rFonts w:ascii="Arial" w:eastAsia="Google Sans" w:hAnsi="Arial" w:cs="Arial"/>
          <w:color w:val="1F1F1F"/>
          <w:sz w:val="24"/>
          <w:szCs w:val="24"/>
        </w:rPr>
        <w:t xml:space="preserve"> [Accessed 22 February 2026].</w:t>
      </w:r>
    </w:p>
    <w:p w14:paraId="03049158"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Dhir, A. et al. (2019) Employee loyalty and job satisfaction. International Journal of Organizational Analysis. Available at: </w:t>
      </w:r>
      <w:hyperlink r:id="rId56">
        <w:r w:rsidRPr="00C33589">
          <w:rPr>
            <w:rFonts w:ascii="Arial" w:eastAsia="Google Sans" w:hAnsi="Arial" w:cs="Arial"/>
            <w:color w:val="0B57D0"/>
            <w:sz w:val="24"/>
            <w:szCs w:val="24"/>
            <w:u w:val="single"/>
          </w:rPr>
          <w:t>https://www.pjlss.edu.pk/pdf_files/2025_1/4843-4852.pdf</w:t>
        </w:r>
      </w:hyperlink>
      <w:r w:rsidRPr="00C33589">
        <w:rPr>
          <w:rFonts w:ascii="Arial" w:eastAsia="Google Sans" w:hAnsi="Arial" w:cs="Arial"/>
          <w:color w:val="1F1F1F"/>
          <w:sz w:val="24"/>
          <w:szCs w:val="24"/>
        </w:rPr>
        <w:t xml:space="preserve"> [Accessed 22 February 2026].</w:t>
      </w:r>
    </w:p>
    <w:p w14:paraId="6148A19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Dolasinski, M., &amp; Reynolds, D. (2019) Future leadership competencies in hospitality. Journal of Hospitality and Tourism Education. Available at: </w:t>
      </w:r>
      <w:hyperlink r:id="rId57">
        <w:r w:rsidRPr="00C33589">
          <w:rPr>
            <w:rFonts w:ascii="Arial" w:eastAsia="Google Sans" w:hAnsi="Arial" w:cs="Arial"/>
            <w:color w:val="0B57D0"/>
            <w:sz w:val="24"/>
            <w:szCs w:val="24"/>
            <w:u w:val="single"/>
          </w:rPr>
          <w:t>https://www.tandfonline.com/doi/full/10.1080/15022250.2025.2499287</w:t>
        </w:r>
      </w:hyperlink>
      <w:r w:rsidRPr="00C33589">
        <w:rPr>
          <w:rFonts w:ascii="Arial" w:eastAsia="Google Sans" w:hAnsi="Arial" w:cs="Arial"/>
          <w:color w:val="1F1F1F"/>
          <w:sz w:val="24"/>
          <w:szCs w:val="24"/>
        </w:rPr>
        <w:t xml:space="preserve"> [Accessed 24 February 2026].</w:t>
      </w:r>
    </w:p>
    <w:p w14:paraId="3A6C797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Duchek, S. et al. (2020) Resilience structures and innovation. Business Research. Available at: </w:t>
      </w:r>
      <w:hyperlink r:id="rId58">
        <w:r w:rsidRPr="00C33589">
          <w:rPr>
            <w:rFonts w:ascii="Arial" w:eastAsia="Google Sans" w:hAnsi="Arial" w:cs="Arial"/>
            <w:color w:val="0B57D0"/>
            <w:sz w:val="24"/>
            <w:szCs w:val="24"/>
            <w:u w:val="single"/>
          </w:rPr>
          <w:t>https://www.emerald.com/jhti/article/doi/10.1108/JHTI-02-2025-0320/</w:t>
        </w:r>
      </w:hyperlink>
      <w:r w:rsidRPr="00C33589">
        <w:rPr>
          <w:rFonts w:ascii="Arial" w:eastAsia="Google Sans" w:hAnsi="Arial" w:cs="Arial"/>
          <w:color w:val="1F1F1F"/>
          <w:sz w:val="24"/>
          <w:szCs w:val="24"/>
        </w:rPr>
        <w:t xml:space="preserve"> [Accessed 26 February 2026].</w:t>
      </w:r>
    </w:p>
    <w:p w14:paraId="6E7CF058"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Edwards, C. et al. (2024) Insider-researcher perspectives in tourism. Annals of Tourism Research. Available at: </w:t>
      </w:r>
      <w:hyperlink r:id="rId59">
        <w:r w:rsidRPr="00C33589">
          <w:rPr>
            <w:rFonts w:ascii="Arial" w:eastAsia="Google Sans" w:hAnsi="Arial" w:cs="Arial"/>
            <w:color w:val="0B57D0"/>
            <w:sz w:val="24"/>
            <w:szCs w:val="24"/>
            <w:u w:val="single"/>
          </w:rPr>
          <w:t>https://www.tandfonline.com/doi/full/10.1080/14616688.2025.2546533</w:t>
        </w:r>
      </w:hyperlink>
      <w:r w:rsidRPr="00C33589">
        <w:rPr>
          <w:rFonts w:ascii="Arial" w:eastAsia="Google Sans" w:hAnsi="Arial" w:cs="Arial"/>
          <w:color w:val="1F1F1F"/>
          <w:sz w:val="24"/>
          <w:szCs w:val="24"/>
        </w:rPr>
        <w:t xml:space="preserve"> [Accessed 28 February 2026].</w:t>
      </w:r>
    </w:p>
    <w:p w14:paraId="4A1D548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El Shafaki, M. et al. (2024) Digital platforms and resilience in hospitality. Journal of Tourism Futures. Available at: </w:t>
      </w:r>
      <w:hyperlink r:id="rId60">
        <w:r w:rsidRPr="00C33589">
          <w:rPr>
            <w:rFonts w:ascii="Arial" w:eastAsia="Google Sans" w:hAnsi="Arial" w:cs="Arial"/>
            <w:color w:val="0B57D0"/>
            <w:sz w:val="24"/>
            <w:szCs w:val="24"/>
            <w:u w:val="single"/>
          </w:rPr>
          <w:t>https://www.emerald.com/jtf/article/doi/10.1108/JTF-06-2025-0141/</w:t>
        </w:r>
      </w:hyperlink>
      <w:r w:rsidRPr="00C33589">
        <w:rPr>
          <w:rFonts w:ascii="Arial" w:eastAsia="Google Sans" w:hAnsi="Arial" w:cs="Arial"/>
          <w:color w:val="1F1F1F"/>
          <w:sz w:val="24"/>
          <w:szCs w:val="24"/>
        </w:rPr>
        <w:t xml:space="preserve"> [Accessed 1 March 2026].</w:t>
      </w:r>
    </w:p>
    <w:p w14:paraId="6241BDB3"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Farnham, M. (2011) The Effect of Multiskilling on Labor Productivity. Amity Research Journal. Available at: </w:t>
      </w:r>
      <w:hyperlink r:id="rId61">
        <w:r w:rsidRPr="00C33589">
          <w:rPr>
            <w:rFonts w:ascii="Arial" w:eastAsia="Google Sans" w:hAnsi="Arial" w:cs="Arial"/>
            <w:color w:val="0B57D0"/>
            <w:sz w:val="24"/>
            <w:szCs w:val="24"/>
            <w:u w:val="single"/>
          </w:rPr>
          <w:t>https://amity.edu/noida/arjtah/pdf/vol2-2/5.pdf</w:t>
        </w:r>
      </w:hyperlink>
      <w:r w:rsidRPr="00C33589">
        <w:rPr>
          <w:rFonts w:ascii="Arial" w:eastAsia="Google Sans" w:hAnsi="Arial" w:cs="Arial"/>
          <w:color w:val="1F1F1F"/>
          <w:sz w:val="24"/>
          <w:szCs w:val="24"/>
        </w:rPr>
        <w:t xml:space="preserve"> [Accessed 2 March 2026].</w:t>
      </w:r>
    </w:p>
    <w:p w14:paraId="0F176E5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Fatima, T., &amp; Majeed, M. (2023) Leadership in the hotel industry. International Journal of Contemporary Hospitality Management. Available at: </w:t>
      </w:r>
      <w:hyperlink r:id="rId62">
        <w:r w:rsidRPr="00C33589">
          <w:rPr>
            <w:rFonts w:ascii="Arial" w:eastAsia="Google Sans" w:hAnsi="Arial" w:cs="Arial"/>
            <w:color w:val="0B57D0"/>
            <w:sz w:val="24"/>
            <w:szCs w:val="24"/>
            <w:u w:val="single"/>
          </w:rPr>
          <w:t>https://eprints.bournemouth.ac.uk/40842/1/CHME25_EE%20Paper.pdf</w:t>
        </w:r>
      </w:hyperlink>
      <w:r w:rsidRPr="00C33589">
        <w:rPr>
          <w:rFonts w:ascii="Arial" w:eastAsia="Google Sans" w:hAnsi="Arial" w:cs="Arial"/>
          <w:color w:val="1F1F1F"/>
          <w:sz w:val="24"/>
          <w:szCs w:val="24"/>
        </w:rPr>
        <w:t xml:space="preserve"> [Accessed 3 March 2026].</w:t>
      </w:r>
    </w:p>
    <w:p w14:paraId="10F1ED0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Fausett, L. et al. (2024) Open communication and resilience. Journal of Organizational Change Management. Available at: </w:t>
      </w:r>
      <w:hyperlink r:id="rId63">
        <w:r w:rsidRPr="00C33589">
          <w:rPr>
            <w:rFonts w:ascii="Arial" w:eastAsia="Google Sans" w:hAnsi="Arial" w:cs="Arial"/>
            <w:color w:val="0B57D0"/>
            <w:sz w:val="24"/>
            <w:szCs w:val="24"/>
            <w:u w:val="single"/>
          </w:rPr>
          <w:t>https://www.emerald.com/jhti/article/doi/10.1108/JHTI-02-2025-0320/</w:t>
        </w:r>
      </w:hyperlink>
      <w:r w:rsidRPr="00C33589">
        <w:rPr>
          <w:rFonts w:ascii="Arial" w:eastAsia="Google Sans" w:hAnsi="Arial" w:cs="Arial"/>
          <w:color w:val="1F1F1F"/>
          <w:sz w:val="24"/>
          <w:szCs w:val="24"/>
        </w:rPr>
        <w:t xml:space="preserve"> [Accessed 4 March 2026].</w:t>
      </w:r>
    </w:p>
    <w:p w14:paraId="2C1F206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Franco, C., &amp; Landini, F. (2022) Functional flexibility and training costs. Industrial Relations Journal. Available at: </w:t>
      </w:r>
      <w:hyperlink r:id="rId64">
        <w:r w:rsidRPr="00C33589">
          <w:rPr>
            <w:rFonts w:ascii="Arial" w:eastAsia="Google Sans" w:hAnsi="Arial" w:cs="Arial"/>
            <w:color w:val="0B57D0"/>
            <w:sz w:val="24"/>
            <w:szCs w:val="24"/>
            <w:u w:val="single"/>
          </w:rPr>
          <w:t>https://ujcontent.uj.ac.za/view/pdfCoverPage?instCode=27UOJ_INST&amp;filePid=1312498570007691</w:t>
        </w:r>
      </w:hyperlink>
      <w:r w:rsidRPr="00C33589">
        <w:rPr>
          <w:rFonts w:ascii="Arial" w:eastAsia="Google Sans" w:hAnsi="Arial" w:cs="Arial"/>
          <w:color w:val="1F1F1F"/>
          <w:sz w:val="24"/>
          <w:szCs w:val="24"/>
        </w:rPr>
        <w:t xml:space="preserve"> [Accessed 5 March 2026].</w:t>
      </w:r>
    </w:p>
    <w:p w14:paraId="412BCB3E"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Gagné, M., &amp; Deci, E. (2005) Self-Determination Theory and work motivation. Journal of Organizational Behavior. Available at: </w:t>
      </w:r>
      <w:hyperlink r:id="rId65">
        <w:r w:rsidRPr="00C33589">
          <w:rPr>
            <w:rFonts w:ascii="Arial" w:eastAsia="Google Sans" w:hAnsi="Arial" w:cs="Arial"/>
            <w:color w:val="0B57D0"/>
            <w:sz w:val="24"/>
            <w:szCs w:val="24"/>
            <w:u w:val="single"/>
          </w:rPr>
          <w:t>https://www.emerald.com/ijotb/article/doi/10.1108/IJOTB-11-2024-0229/</w:t>
        </w:r>
      </w:hyperlink>
      <w:r w:rsidRPr="00C33589">
        <w:rPr>
          <w:rFonts w:ascii="Arial" w:eastAsia="Google Sans" w:hAnsi="Arial" w:cs="Arial"/>
          <w:color w:val="1F1F1F"/>
          <w:sz w:val="24"/>
          <w:szCs w:val="24"/>
        </w:rPr>
        <w:t xml:space="preserve"> [Accessed 10 February 2026].</w:t>
      </w:r>
    </w:p>
    <w:p w14:paraId="4820D49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Giousmpasoglou, C. et al. (2021) Crisis management in the hospitality sector. International Journal of Hospitality Management. Available at: </w:t>
      </w:r>
      <w:hyperlink r:id="rId66">
        <w:r w:rsidRPr="00C33589">
          <w:rPr>
            <w:rFonts w:ascii="Arial" w:eastAsia="Google Sans" w:hAnsi="Arial" w:cs="Arial"/>
            <w:color w:val="0B57D0"/>
            <w:sz w:val="24"/>
            <w:szCs w:val="24"/>
            <w:u w:val="single"/>
          </w:rPr>
          <w:t>https://www.researchgate.net/publication/370412865_Psychological_contract_of_employees_in_family-owned_hotels</w:t>
        </w:r>
      </w:hyperlink>
      <w:r w:rsidRPr="00C33589">
        <w:rPr>
          <w:rFonts w:ascii="Arial" w:eastAsia="Google Sans" w:hAnsi="Arial" w:cs="Arial"/>
          <w:color w:val="1F1F1F"/>
          <w:sz w:val="24"/>
          <w:szCs w:val="24"/>
        </w:rPr>
        <w:t xml:space="preserve"> [Accessed 11 February 2026].</w:t>
      </w:r>
    </w:p>
    <w:p w14:paraId="2E88F1F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Goh, E., &amp; Lee, C. (2018) Low wages and turnover in tourism. Tourism Management Perspectives. Available at: </w:t>
      </w:r>
      <w:hyperlink r:id="rId67">
        <w:r w:rsidRPr="00C33589">
          <w:rPr>
            <w:rFonts w:ascii="Arial" w:eastAsia="Google Sans" w:hAnsi="Arial" w:cs="Arial"/>
            <w:color w:val="0B57D0"/>
            <w:sz w:val="24"/>
            <w:szCs w:val="24"/>
            <w:u w:val="single"/>
          </w:rPr>
          <w:t>https://hrcak.srce.hr/file/485969</w:t>
        </w:r>
      </w:hyperlink>
      <w:r w:rsidRPr="00C33589">
        <w:rPr>
          <w:rFonts w:ascii="Arial" w:eastAsia="Google Sans" w:hAnsi="Arial" w:cs="Arial"/>
          <w:color w:val="1F1F1F"/>
          <w:sz w:val="24"/>
          <w:szCs w:val="24"/>
        </w:rPr>
        <w:t xml:space="preserve"> [Accessed 12 February 2026].</w:t>
      </w:r>
    </w:p>
    <w:p w14:paraId="56B63D6F"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Guerrier, Y., &amp; Lockwood, A. (1989) Peripheral workforce in the hotel industry. Personnel Review. Available at: </w:t>
      </w:r>
      <w:hyperlink r:id="rId68">
        <w:r w:rsidRPr="00C33589">
          <w:rPr>
            <w:rFonts w:ascii="Arial" w:eastAsia="Google Sans" w:hAnsi="Arial" w:cs="Arial"/>
            <w:color w:val="0B57D0"/>
            <w:sz w:val="24"/>
            <w:szCs w:val="24"/>
            <w:u w:val="single"/>
          </w:rPr>
          <w:t>https://www.researchgate.net/publication/37377098_The_core_and_the_periphery</w:t>
        </w:r>
      </w:hyperlink>
      <w:r w:rsidRPr="00C33589">
        <w:rPr>
          <w:rFonts w:ascii="Arial" w:eastAsia="Google Sans" w:hAnsi="Arial" w:cs="Arial"/>
          <w:color w:val="1F1F1F"/>
          <w:sz w:val="24"/>
          <w:szCs w:val="24"/>
        </w:rPr>
        <w:t xml:space="preserve"> [Accessed 14 February 2026].</w:t>
      </w:r>
    </w:p>
    <w:p w14:paraId="285F9C7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Hall, C.M., &amp; Safonov, A. (2022) Resilience in hospitality and tourism: issues, synthesis and agenda. International Journal of Contemporary Hospitality Management. Available at: </w:t>
      </w:r>
      <w:hyperlink r:id="rId69">
        <w:r w:rsidRPr="00C33589">
          <w:rPr>
            <w:rFonts w:ascii="Arial" w:eastAsia="Google Sans" w:hAnsi="Arial" w:cs="Arial"/>
            <w:color w:val="0B57D0"/>
            <w:sz w:val="24"/>
            <w:szCs w:val="24"/>
            <w:u w:val="single"/>
          </w:rPr>
          <w:t>https://www.researchgate.net/publication/363916326_Resilience_in_hospitality_and_tourism_issues_synthesis_and_agenda</w:t>
        </w:r>
      </w:hyperlink>
      <w:r w:rsidRPr="00C33589">
        <w:rPr>
          <w:rFonts w:ascii="Arial" w:eastAsia="Google Sans" w:hAnsi="Arial" w:cs="Arial"/>
          <w:color w:val="1F1F1F"/>
          <w:sz w:val="24"/>
          <w:szCs w:val="24"/>
        </w:rPr>
        <w:t xml:space="preserve"> [Accessed 14 February 2026].</w:t>
      </w:r>
    </w:p>
    <w:p w14:paraId="77029CEE"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Handy, C. (1989) The Age of Unreason: The Shamrock Organization. Harvard Business School Press. Available at: </w:t>
      </w:r>
      <w:hyperlink r:id="rId70">
        <w:r w:rsidRPr="00C33589">
          <w:rPr>
            <w:rFonts w:ascii="Arial" w:eastAsia="Google Sans" w:hAnsi="Arial" w:cs="Arial"/>
            <w:color w:val="0B57D0"/>
            <w:sz w:val="24"/>
            <w:szCs w:val="24"/>
            <w:u w:val="single"/>
          </w:rPr>
          <w:t>https://www.business.com/articles/management-theory-of-charles-handy/</w:t>
        </w:r>
      </w:hyperlink>
      <w:r w:rsidRPr="00C33589">
        <w:rPr>
          <w:rFonts w:ascii="Arial" w:eastAsia="Google Sans" w:hAnsi="Arial" w:cs="Arial"/>
          <w:color w:val="1F1F1F"/>
          <w:sz w:val="24"/>
          <w:szCs w:val="24"/>
        </w:rPr>
        <w:t xml:space="preserve"> [Accessed 15 February 2026].</w:t>
      </w:r>
    </w:p>
    <w:p w14:paraId="3A4B418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Herrera, I., &amp; Praetorius, G. (2025) Resilience Engineering - Theoretical and Practical Reflections on a 20-Year Journey. ESREL SRA-E Organizers. Available at: </w:t>
      </w:r>
      <w:hyperlink r:id="rId71">
        <w:r w:rsidRPr="00C33589">
          <w:rPr>
            <w:rFonts w:ascii="Arial" w:eastAsia="Google Sans" w:hAnsi="Arial" w:cs="Arial"/>
            <w:color w:val="0B57D0"/>
            <w:sz w:val="24"/>
            <w:szCs w:val="24"/>
            <w:u w:val="single"/>
          </w:rPr>
          <w:t>https://www.researchgate.net/publication/392774166_Resilience_Engineering_-Theoretical_and_Practical_Reflections_on_a_20-Year_Journey</w:t>
        </w:r>
      </w:hyperlink>
      <w:r w:rsidRPr="00C33589">
        <w:rPr>
          <w:rFonts w:ascii="Arial" w:eastAsia="Google Sans" w:hAnsi="Arial" w:cs="Arial"/>
          <w:color w:val="1F1F1F"/>
          <w:sz w:val="24"/>
          <w:szCs w:val="24"/>
        </w:rPr>
        <w:t xml:space="preserve"> [Accessed 15 February 2026].</w:t>
      </w:r>
    </w:p>
    <w:p w14:paraId="741DEDF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Heskett, J.L. et al. (1994) Putting the Service-Profit Chain to Work. Harvard Business Review. Available at: </w:t>
      </w:r>
      <w:hyperlink r:id="rId72">
        <w:r w:rsidRPr="00C33589">
          <w:rPr>
            <w:rFonts w:ascii="Arial" w:eastAsia="Google Sans" w:hAnsi="Arial" w:cs="Arial"/>
            <w:color w:val="0B57D0"/>
            <w:sz w:val="24"/>
            <w:szCs w:val="24"/>
            <w:u w:val="single"/>
          </w:rPr>
          <w:t>https://pubsonline.informs.org/doi/10.1287/mksc.21.3.294.140</w:t>
        </w:r>
      </w:hyperlink>
      <w:r w:rsidRPr="00C33589">
        <w:rPr>
          <w:rFonts w:ascii="Arial" w:eastAsia="Google Sans" w:hAnsi="Arial" w:cs="Arial"/>
          <w:color w:val="1F1F1F"/>
          <w:sz w:val="24"/>
          <w:szCs w:val="24"/>
        </w:rPr>
        <w:t xml:space="preserve"> [Accessed 16 February 2026].</w:t>
      </w:r>
    </w:p>
    <w:p w14:paraId="3B3F550E"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Hodgson, D. et al. (2025) Managerial hybridity in service sectors. Academy of Management Proceedings. Available at: </w:t>
      </w:r>
      <w:hyperlink r:id="rId73">
        <w:r w:rsidRPr="00C33589">
          <w:rPr>
            <w:rFonts w:ascii="Arial" w:eastAsia="Google Sans" w:hAnsi="Arial" w:cs="Arial"/>
            <w:color w:val="0B57D0"/>
            <w:sz w:val="24"/>
            <w:szCs w:val="24"/>
            <w:u w:val="single"/>
          </w:rPr>
          <w:t>https://sheffield.ac.uk/management/people/academic-staff/weo/damian-hodgson</w:t>
        </w:r>
      </w:hyperlink>
      <w:r w:rsidRPr="00C33589">
        <w:rPr>
          <w:rFonts w:ascii="Arial" w:eastAsia="Google Sans" w:hAnsi="Arial" w:cs="Arial"/>
          <w:color w:val="1F1F1F"/>
          <w:sz w:val="24"/>
          <w:szCs w:val="24"/>
        </w:rPr>
        <w:t xml:space="preserve"> [Accessed 17 February 2026].</w:t>
      </w:r>
    </w:p>
    <w:p w14:paraId="07AECDA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Home Office. (2025) Martyn's Law Factsheet. GOV.UK. Available at: </w:t>
      </w:r>
      <w:hyperlink r:id="rId74">
        <w:r w:rsidRPr="00C33589">
          <w:rPr>
            <w:rFonts w:ascii="Arial" w:eastAsia="Google Sans" w:hAnsi="Arial" w:cs="Arial"/>
            <w:color w:val="0B57D0"/>
            <w:sz w:val="24"/>
            <w:szCs w:val="24"/>
            <w:u w:val="single"/>
          </w:rPr>
          <w:t>https://homeofficemedia.blog.gov.uk/2025/04/03/martyns-law-factsheet/</w:t>
        </w:r>
      </w:hyperlink>
      <w:r w:rsidRPr="00C33589">
        <w:rPr>
          <w:rFonts w:ascii="Arial" w:eastAsia="Google Sans" w:hAnsi="Arial" w:cs="Arial"/>
          <w:color w:val="1F1F1F"/>
          <w:sz w:val="24"/>
          <w:szCs w:val="24"/>
        </w:rPr>
        <w:t xml:space="preserve"> [Accessed 3 March 2026].</w:t>
      </w:r>
    </w:p>
    <w:p w14:paraId="581387A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Hunter, R. (2025) Investors check out Whitbread shares after these results. interactive investor. Available at: </w:t>
      </w:r>
      <w:hyperlink r:id="rId75">
        <w:r w:rsidRPr="00C33589">
          <w:rPr>
            <w:rFonts w:ascii="Arial" w:eastAsia="Google Sans" w:hAnsi="Arial" w:cs="Arial"/>
            <w:color w:val="0B57D0"/>
            <w:sz w:val="24"/>
            <w:szCs w:val="24"/>
            <w:u w:val="single"/>
          </w:rPr>
          <w:t>https://www.ii.co.uk/analysis-commentary/investors-check-out-whitbread-shares-after-these-results-ii536940</w:t>
        </w:r>
      </w:hyperlink>
      <w:r w:rsidRPr="00C33589">
        <w:rPr>
          <w:rFonts w:ascii="Arial" w:eastAsia="Google Sans" w:hAnsi="Arial" w:cs="Arial"/>
          <w:color w:val="1F1F1F"/>
          <w:sz w:val="24"/>
          <w:szCs w:val="24"/>
        </w:rPr>
        <w:t xml:space="preserve"> [Accessed 18 February 2026].</w:t>
      </w:r>
    </w:p>
    <w:p w14:paraId="00472C25"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Institute of Licensing. (2025) Institute of Licensing Publishes Martyn's Law Guidance. Available at: </w:t>
      </w:r>
      <w:hyperlink r:id="rId76">
        <w:r w:rsidRPr="00C33589">
          <w:rPr>
            <w:rFonts w:ascii="Arial" w:eastAsia="Google Sans" w:hAnsi="Arial" w:cs="Arial"/>
            <w:color w:val="0B57D0"/>
            <w:sz w:val="24"/>
            <w:szCs w:val="24"/>
            <w:u w:val="single"/>
          </w:rPr>
          <w:t>https://instituteoflicensing.org/network-news/institute-of-licensing-publishes-martyns-law-guidance/</w:t>
        </w:r>
      </w:hyperlink>
      <w:r w:rsidRPr="00C33589">
        <w:rPr>
          <w:rFonts w:ascii="Arial" w:eastAsia="Google Sans" w:hAnsi="Arial" w:cs="Arial"/>
          <w:color w:val="1F1F1F"/>
          <w:sz w:val="24"/>
          <w:szCs w:val="24"/>
        </w:rPr>
        <w:t xml:space="preserve"> [Accessed 3 March 2026].</w:t>
      </w:r>
    </w:p>
    <w:p w14:paraId="3CAD0331"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Investing.com (2026) Whitbread Q3 sales rise 2% as UK and Germany accommodation demand increases. Available at: </w:t>
      </w:r>
      <w:hyperlink r:id="rId77">
        <w:r w:rsidRPr="00C33589">
          <w:rPr>
            <w:rFonts w:ascii="Arial" w:eastAsia="Google Sans" w:hAnsi="Arial" w:cs="Arial"/>
            <w:color w:val="0B57D0"/>
            <w:sz w:val="24"/>
            <w:szCs w:val="24"/>
            <w:u w:val="single"/>
          </w:rPr>
          <w:t>https://uk.investing.com/news/earnings/whitbread-q3-sales-rise-2-as-uk-and-germany-accommodation-demand-increases-4450118</w:t>
        </w:r>
      </w:hyperlink>
      <w:r w:rsidRPr="00C33589">
        <w:rPr>
          <w:rFonts w:ascii="Arial" w:eastAsia="Google Sans" w:hAnsi="Arial" w:cs="Arial"/>
          <w:color w:val="1F1F1F"/>
          <w:sz w:val="24"/>
          <w:szCs w:val="24"/>
        </w:rPr>
        <w:t xml:space="preserve"> [Accessed 5 March 2026].</w:t>
      </w:r>
    </w:p>
    <w:p w14:paraId="54604DA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Jovanovic, S. et al. (2023) Challenges of Lean Implementation in Hospitality. Available at: </w:t>
      </w:r>
      <w:hyperlink r:id="rId78">
        <w:r w:rsidRPr="00C33589">
          <w:rPr>
            <w:rFonts w:ascii="Arial" w:eastAsia="Google Sans" w:hAnsi="Arial" w:cs="Arial"/>
            <w:color w:val="0B57D0"/>
            <w:sz w:val="24"/>
            <w:szCs w:val="24"/>
            <w:u w:val="single"/>
          </w:rPr>
          <w:t>https://sites.les.univr.it/eisic/wp-content/uploads/2023/11/JOVANOVIC-SIMEUNOVIC-GATIC-TULIMIROVIC-SLOVIC.pdf</w:t>
        </w:r>
      </w:hyperlink>
      <w:r w:rsidRPr="00C33589">
        <w:rPr>
          <w:rFonts w:ascii="Arial" w:eastAsia="Google Sans" w:hAnsi="Arial" w:cs="Arial"/>
          <w:color w:val="1F1F1F"/>
          <w:sz w:val="24"/>
          <w:szCs w:val="24"/>
        </w:rPr>
        <w:t xml:space="preserve"> [Accessed 19 February 2026].</w:t>
      </w:r>
    </w:p>
    <w:p w14:paraId="0D902497"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Kabir, S.M. (2024) Book Review: Thematic Analysis: A Practical Guide. ResearchGate. Available at: </w:t>
      </w:r>
      <w:hyperlink r:id="rId79">
        <w:r w:rsidRPr="00C33589">
          <w:rPr>
            <w:rFonts w:ascii="Arial" w:eastAsia="Google Sans" w:hAnsi="Arial" w:cs="Arial"/>
            <w:color w:val="0B57D0"/>
            <w:sz w:val="24"/>
            <w:szCs w:val="24"/>
            <w:u w:val="single"/>
          </w:rPr>
          <w:t>https://www.researchgate.net/publication/382853995_Thematic_Analysis_A_Practical_Guide</w:t>
        </w:r>
      </w:hyperlink>
      <w:r w:rsidRPr="00C33589">
        <w:rPr>
          <w:rFonts w:ascii="Arial" w:eastAsia="Google Sans" w:hAnsi="Arial" w:cs="Arial"/>
          <w:color w:val="1F1F1F"/>
          <w:sz w:val="24"/>
          <w:szCs w:val="24"/>
        </w:rPr>
        <w:t xml:space="preserve"> [Accessed 20 February 2026].</w:t>
      </w:r>
    </w:p>
    <w:p w14:paraId="6DD8605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Kalleberg, A. (2003) Flexible firms and labor market segmentation. Work and Occupations. Available at: </w:t>
      </w:r>
      <w:hyperlink r:id="rId80">
        <w:r w:rsidRPr="00C33589">
          <w:rPr>
            <w:rFonts w:ascii="Arial" w:eastAsia="Google Sans" w:hAnsi="Arial" w:cs="Arial"/>
            <w:color w:val="0B57D0"/>
            <w:sz w:val="24"/>
            <w:szCs w:val="24"/>
            <w:u w:val="single"/>
          </w:rPr>
          <w:t>https://www.researchgate.net/publication/259390108_Interim_Management_Utilization_Firm_Flexibility</w:t>
        </w:r>
      </w:hyperlink>
      <w:r w:rsidRPr="00C33589">
        <w:rPr>
          <w:rFonts w:ascii="Arial" w:eastAsia="Google Sans" w:hAnsi="Arial" w:cs="Arial"/>
          <w:color w:val="1F1F1F"/>
          <w:sz w:val="24"/>
          <w:szCs w:val="24"/>
        </w:rPr>
        <w:t xml:space="preserve"> [Accessed 21 February 2026].</w:t>
      </w:r>
    </w:p>
    <w:p w14:paraId="20F3C464"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Khan, S. (2023) Building middle-range theories using case studies in hospitality management. International Journal of Hospitality Management. Available at: </w:t>
      </w:r>
      <w:hyperlink r:id="rId81">
        <w:r w:rsidRPr="00C33589">
          <w:rPr>
            <w:rFonts w:ascii="Arial" w:eastAsia="Google Sans" w:hAnsi="Arial" w:cs="Arial"/>
            <w:color w:val="0B57D0"/>
            <w:sz w:val="24"/>
            <w:szCs w:val="24"/>
            <w:u w:val="single"/>
          </w:rPr>
          <w:t>https://international.appisi.or.id/index.php/momat/article/view/604</w:t>
        </w:r>
      </w:hyperlink>
      <w:r w:rsidRPr="00C33589">
        <w:rPr>
          <w:rFonts w:ascii="Arial" w:eastAsia="Google Sans" w:hAnsi="Arial" w:cs="Arial"/>
          <w:color w:val="1F1F1F"/>
          <w:sz w:val="24"/>
          <w:szCs w:val="24"/>
        </w:rPr>
        <w:t xml:space="preserve"> [Accessed 22 February 2026].</w:t>
      </w:r>
    </w:p>
    <w:p w14:paraId="42C1F663"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Kim, M. J. (2025) Emotional labor resources and hotel employee well-being. ResearchGate. Available at: </w:t>
      </w:r>
      <w:hyperlink r:id="rId82">
        <w:r w:rsidRPr="00C33589">
          <w:rPr>
            <w:rFonts w:ascii="Arial" w:eastAsia="Google Sans" w:hAnsi="Arial" w:cs="Arial"/>
            <w:color w:val="0B57D0"/>
            <w:sz w:val="24"/>
            <w:szCs w:val="24"/>
            <w:u w:val="single"/>
          </w:rPr>
          <w:t>https://www.researchgate.net/publication/395254482_Emotional_labor_resources_and_hotel_employee_well-being</w:t>
        </w:r>
      </w:hyperlink>
      <w:r w:rsidRPr="00C33589">
        <w:rPr>
          <w:rFonts w:ascii="Arial" w:eastAsia="Google Sans" w:hAnsi="Arial" w:cs="Arial"/>
          <w:color w:val="1F1F1F"/>
          <w:sz w:val="24"/>
          <w:szCs w:val="24"/>
        </w:rPr>
        <w:t xml:space="preserve"> [Accessed 23 February 2026].</w:t>
      </w:r>
    </w:p>
    <w:p w14:paraId="2616077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Kokkranikal, J., &amp; Antony, J. (2015) Barriers and challenges in the application of Six Sigma in the hospitality industry. Reflective Practice. Available at: </w:t>
      </w:r>
      <w:hyperlink r:id="rId83">
        <w:r w:rsidRPr="00C33589">
          <w:rPr>
            <w:rFonts w:ascii="Arial" w:eastAsia="Google Sans" w:hAnsi="Arial" w:cs="Arial"/>
            <w:color w:val="0B57D0"/>
            <w:sz w:val="24"/>
            <w:szCs w:val="24"/>
            <w:u w:val="single"/>
          </w:rPr>
          <w:t>https://www.researchgate.net/publication/259828282_Barriers_and_Challenges_in_the_application_of_Six_Sigma_in_Hospitality_Industry_Some_observations_and_findings</w:t>
        </w:r>
      </w:hyperlink>
      <w:r w:rsidRPr="00C33589">
        <w:rPr>
          <w:rFonts w:ascii="Arial" w:eastAsia="Google Sans" w:hAnsi="Arial" w:cs="Arial"/>
          <w:color w:val="1F1F1F"/>
          <w:sz w:val="24"/>
          <w:szCs w:val="24"/>
        </w:rPr>
        <w:t xml:space="preserve"> [Accessed 23 February 2026].</w:t>
      </w:r>
    </w:p>
    <w:p w14:paraId="3628148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Kravariti, F. et al. (2024) Talent management in the hospitality and tourism industry. International Journal of Contemporary Hospitality Management. Available at: </w:t>
      </w:r>
      <w:hyperlink r:id="rId84">
        <w:r w:rsidRPr="00C33589">
          <w:rPr>
            <w:rFonts w:ascii="Arial" w:eastAsia="Google Sans" w:hAnsi="Arial" w:cs="Arial"/>
            <w:color w:val="0B57D0"/>
            <w:sz w:val="24"/>
            <w:szCs w:val="24"/>
            <w:u w:val="single"/>
          </w:rPr>
          <w:t>https://researchportal.port.ac.uk/en/publications/talent-management-in-the-hospitality-and-tourism-industry-the-rol/</w:t>
        </w:r>
      </w:hyperlink>
      <w:r w:rsidRPr="00C33589">
        <w:rPr>
          <w:rFonts w:ascii="Arial" w:eastAsia="Google Sans" w:hAnsi="Arial" w:cs="Arial"/>
          <w:color w:val="1F1F1F"/>
          <w:sz w:val="24"/>
          <w:szCs w:val="24"/>
        </w:rPr>
        <w:t xml:space="preserve"> [Accessed 24 February 2026].</w:t>
      </w:r>
    </w:p>
    <w:p w14:paraId="3AA750E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Learning Disability Today (2026) Premier Inn expands its Thrive programme for inclusive employment. Available at: </w:t>
      </w:r>
      <w:hyperlink r:id="rId85">
        <w:r w:rsidRPr="00C33589">
          <w:rPr>
            <w:rFonts w:ascii="Arial" w:eastAsia="Google Sans" w:hAnsi="Arial" w:cs="Arial"/>
            <w:color w:val="0B57D0"/>
            <w:sz w:val="24"/>
            <w:szCs w:val="24"/>
            <w:u w:val="single"/>
          </w:rPr>
          <w:t>https://www.learningdisabilitytoday.co.uk/news/premier-inn-expands-its-thrive-programme-for-inclusive-employment/</w:t>
        </w:r>
      </w:hyperlink>
      <w:r w:rsidRPr="00C33589">
        <w:rPr>
          <w:rFonts w:ascii="Arial" w:eastAsia="Google Sans" w:hAnsi="Arial" w:cs="Arial"/>
          <w:color w:val="1F1F1F"/>
          <w:sz w:val="24"/>
          <w:szCs w:val="24"/>
        </w:rPr>
        <w:t xml:space="preserve"> [Accessed 5 March 2026].</w:t>
      </w:r>
    </w:p>
    <w:p w14:paraId="3FD7CF64"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Lee, C., &amp; Hwang, K. (2016) Emotional labor regulations and display rules. Journal of Hospitality Marketing &amp; Management. Available at: </w:t>
      </w:r>
      <w:hyperlink r:id="rId86">
        <w:r w:rsidRPr="00C33589">
          <w:rPr>
            <w:rFonts w:ascii="Arial" w:eastAsia="Google Sans" w:hAnsi="Arial" w:cs="Arial"/>
            <w:color w:val="0B57D0"/>
            <w:sz w:val="24"/>
            <w:szCs w:val="24"/>
            <w:u w:val="single"/>
          </w:rPr>
          <w:t>https://www.frontiersin.org/journals/psychology/articles/10.3389/fpsyg.2025.1668413/full</w:t>
        </w:r>
      </w:hyperlink>
      <w:r w:rsidRPr="00C33589">
        <w:rPr>
          <w:rFonts w:ascii="Arial" w:eastAsia="Google Sans" w:hAnsi="Arial" w:cs="Arial"/>
          <w:color w:val="1F1F1F"/>
          <w:sz w:val="24"/>
          <w:szCs w:val="24"/>
        </w:rPr>
        <w:t xml:space="preserve"> [Accessed 25 February 2026].</w:t>
      </w:r>
    </w:p>
    <w:p w14:paraId="553BF383"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Leo, et al. (2023) Operational resilience in organizations. Emerald Publishing. Available at: </w:t>
      </w:r>
      <w:hyperlink r:id="rId87">
        <w:r w:rsidRPr="00C33589">
          <w:rPr>
            <w:rFonts w:ascii="Arial" w:eastAsia="Google Sans" w:hAnsi="Arial" w:cs="Arial"/>
            <w:color w:val="0B57D0"/>
            <w:sz w:val="24"/>
            <w:szCs w:val="24"/>
            <w:u w:val="single"/>
          </w:rPr>
          <w:t>https://www.emerald.com/ijchm/article/36/10/3300/1225965/</w:t>
        </w:r>
      </w:hyperlink>
      <w:r w:rsidRPr="00C33589">
        <w:rPr>
          <w:rFonts w:ascii="Arial" w:eastAsia="Google Sans" w:hAnsi="Arial" w:cs="Arial"/>
          <w:color w:val="1F1F1F"/>
          <w:sz w:val="24"/>
          <w:szCs w:val="24"/>
        </w:rPr>
        <w:t xml:space="preserve"> [Accessed 26 February 2026].</w:t>
      </w:r>
    </w:p>
    <w:p w14:paraId="77F9CDA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Lepak, D. P., &amp; Snell, S. A. (1999) The human resource architecture. Academy of Management Review. Available at: </w:t>
      </w:r>
      <w:hyperlink r:id="rId88">
        <w:r w:rsidRPr="00C33589">
          <w:rPr>
            <w:rFonts w:ascii="Arial" w:eastAsia="Google Sans" w:hAnsi="Arial" w:cs="Arial"/>
            <w:color w:val="0B57D0"/>
            <w:sz w:val="24"/>
            <w:szCs w:val="24"/>
            <w:u w:val="single"/>
          </w:rPr>
          <w:t>https://www.scribd.com/document/781483844/The-human-resource-architecture-model</w:t>
        </w:r>
      </w:hyperlink>
      <w:r w:rsidRPr="00C33589">
        <w:rPr>
          <w:rFonts w:ascii="Arial" w:eastAsia="Google Sans" w:hAnsi="Arial" w:cs="Arial"/>
          <w:color w:val="1F1F1F"/>
          <w:sz w:val="24"/>
          <w:szCs w:val="24"/>
        </w:rPr>
        <w:t xml:space="preserve"> [Accessed 27 February 2026].</w:t>
      </w:r>
    </w:p>
    <w:p w14:paraId="4553F43C"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London Stock Exchange. (2025) Whitbread Interim Results &amp; Five-Year Plan. Available at: </w:t>
      </w:r>
      <w:hyperlink r:id="rId89">
        <w:r w:rsidRPr="00C33589">
          <w:rPr>
            <w:rFonts w:ascii="Arial" w:eastAsia="Google Sans" w:hAnsi="Arial" w:cs="Arial"/>
            <w:color w:val="0B57D0"/>
            <w:sz w:val="24"/>
            <w:szCs w:val="24"/>
            <w:u w:val="single"/>
          </w:rPr>
          <w:t>https://www.londonstockexchange.com/news-article/WTB/whitbread-interim-results/17280887</w:t>
        </w:r>
      </w:hyperlink>
      <w:r w:rsidRPr="00C33589">
        <w:rPr>
          <w:rFonts w:ascii="Arial" w:eastAsia="Google Sans" w:hAnsi="Arial" w:cs="Arial"/>
          <w:color w:val="1F1F1F"/>
          <w:sz w:val="24"/>
          <w:szCs w:val="24"/>
        </w:rPr>
        <w:t xml:space="preserve"> [Accessed 28 February 2026].</w:t>
      </w:r>
    </w:p>
    <w:p w14:paraId="40CD76D7"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Low Pay Commission. (2025) LPC advice to government on 2026 minimum wage rates. GOV.UK. Available at: </w:t>
      </w:r>
      <w:hyperlink r:id="rId90">
        <w:r w:rsidRPr="00C33589">
          <w:rPr>
            <w:rFonts w:ascii="Arial" w:eastAsia="Google Sans" w:hAnsi="Arial" w:cs="Arial"/>
            <w:color w:val="0B57D0"/>
            <w:sz w:val="24"/>
            <w:szCs w:val="24"/>
            <w:u w:val="single"/>
          </w:rPr>
          <w:t>https://www.gov.uk/government/publications/minimum-wage-rates-for-2026/</w:t>
        </w:r>
      </w:hyperlink>
      <w:r w:rsidRPr="00C33589">
        <w:rPr>
          <w:rFonts w:ascii="Arial" w:eastAsia="Google Sans" w:hAnsi="Arial" w:cs="Arial"/>
          <w:color w:val="1F1F1F"/>
          <w:sz w:val="24"/>
          <w:szCs w:val="24"/>
        </w:rPr>
        <w:t xml:space="preserve"> [Accessed 28 February 2026].</w:t>
      </w:r>
    </w:p>
    <w:p w14:paraId="2554F62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MacInnes, J. (1988) The Question of Flexibility. Personnel Review. Available at: </w:t>
      </w:r>
      <w:hyperlink r:id="rId91">
        <w:r w:rsidRPr="00C33589">
          <w:rPr>
            <w:rFonts w:ascii="Arial" w:eastAsia="Google Sans" w:hAnsi="Arial" w:cs="Arial"/>
            <w:color w:val="0B57D0"/>
            <w:sz w:val="24"/>
            <w:szCs w:val="24"/>
            <w:u w:val="single"/>
          </w:rPr>
          <w:t>https://www.researchgate.net/publication/228311968_Contented_Workers_in_Inferior_Jobs</w:t>
        </w:r>
      </w:hyperlink>
      <w:r w:rsidRPr="00C33589">
        <w:rPr>
          <w:rFonts w:ascii="Arial" w:eastAsia="Google Sans" w:hAnsi="Arial" w:cs="Arial"/>
          <w:color w:val="1F1F1F"/>
          <w:sz w:val="24"/>
          <w:szCs w:val="24"/>
        </w:rPr>
        <w:t xml:space="preserve"> [Accessed 1 March 2026].</w:t>
      </w:r>
    </w:p>
    <w:p w14:paraId="47747DD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Maslach, C., &amp; Leiter, M. P. (2016) Understanding the burnout experience. SAGE Open. Available at: </w:t>
      </w:r>
      <w:hyperlink r:id="rId92">
        <w:r w:rsidRPr="00C33589">
          <w:rPr>
            <w:rFonts w:ascii="Arial" w:eastAsia="Google Sans" w:hAnsi="Arial" w:cs="Arial"/>
            <w:color w:val="0B57D0"/>
            <w:sz w:val="24"/>
            <w:szCs w:val="24"/>
            <w:u w:val="single"/>
          </w:rPr>
          <w:t>https://www.mdpi.com/2673-5768/6/2/72</w:t>
        </w:r>
      </w:hyperlink>
      <w:r w:rsidRPr="00C33589">
        <w:rPr>
          <w:rFonts w:ascii="Arial" w:eastAsia="Google Sans" w:hAnsi="Arial" w:cs="Arial"/>
          <w:color w:val="1F1F1F"/>
          <w:sz w:val="24"/>
          <w:szCs w:val="24"/>
        </w:rPr>
        <w:t xml:space="preserve"> [Accessed 1 March 2026].</w:t>
      </w:r>
    </w:p>
    <w:p w14:paraId="5B0CF0CE"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Mews. (2024) Cross-training in the hospitality industry. Available at: </w:t>
      </w:r>
      <w:hyperlink r:id="rId93">
        <w:r w:rsidRPr="00C33589">
          <w:rPr>
            <w:rFonts w:ascii="Arial" w:eastAsia="Google Sans" w:hAnsi="Arial" w:cs="Arial"/>
            <w:color w:val="0B57D0"/>
            <w:sz w:val="24"/>
            <w:szCs w:val="24"/>
            <w:u w:val="single"/>
          </w:rPr>
          <w:t>https://www.mews.com/en/blog/cross-training-in-hospitality-industry</w:t>
        </w:r>
      </w:hyperlink>
      <w:r w:rsidRPr="00C33589">
        <w:rPr>
          <w:rFonts w:ascii="Arial" w:eastAsia="Google Sans" w:hAnsi="Arial" w:cs="Arial"/>
          <w:color w:val="1F1F1F"/>
          <w:sz w:val="24"/>
          <w:szCs w:val="24"/>
        </w:rPr>
        <w:t xml:space="preserve"> [Accessed 2 March 2026].</w:t>
      </w:r>
    </w:p>
    <w:p w14:paraId="1A7EFC2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Mishra, S. (2025) Dissecting the Case Study Research: Yin and Eisenhardt Approaches. Medium. Available at: </w:t>
      </w:r>
      <w:hyperlink r:id="rId94">
        <w:r w:rsidRPr="00C33589">
          <w:rPr>
            <w:rFonts w:ascii="Arial" w:eastAsia="Google Sans" w:hAnsi="Arial" w:cs="Arial"/>
            <w:color w:val="0B57D0"/>
            <w:sz w:val="24"/>
            <w:szCs w:val="24"/>
            <w:u w:val="single"/>
          </w:rPr>
          <w:t>https://medium.com/@ak.dey/dissecting-the-case-study-research-yin-and-eisenhardt-approaches</w:t>
        </w:r>
      </w:hyperlink>
      <w:r w:rsidRPr="00C33589">
        <w:rPr>
          <w:rFonts w:ascii="Arial" w:eastAsia="Google Sans" w:hAnsi="Arial" w:cs="Arial"/>
          <w:color w:val="1F1F1F"/>
          <w:sz w:val="24"/>
          <w:szCs w:val="24"/>
        </w:rPr>
        <w:t xml:space="preserve"> [Accessed 3 March 2026].</w:t>
      </w:r>
    </w:p>
    <w:p w14:paraId="149C64E6"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Oswald, C.E. (2024) Our POV on Navigating Labor Challenges in 2024. Aperture Hotels. Available at: </w:t>
      </w:r>
      <w:hyperlink r:id="rId95">
        <w:r w:rsidRPr="00C33589">
          <w:rPr>
            <w:rFonts w:ascii="Arial" w:eastAsia="Google Sans" w:hAnsi="Arial" w:cs="Arial"/>
            <w:color w:val="0B57D0"/>
            <w:sz w:val="24"/>
            <w:szCs w:val="24"/>
            <w:u w:val="single"/>
          </w:rPr>
          <w:t>https://www.aperturehotels.com/news-and-resources/our-pov-on-navigating-labor-challenges-in-2024</w:t>
        </w:r>
      </w:hyperlink>
      <w:r w:rsidRPr="00C33589">
        <w:rPr>
          <w:rFonts w:ascii="Arial" w:eastAsia="Google Sans" w:hAnsi="Arial" w:cs="Arial"/>
          <w:color w:val="1F1F1F"/>
          <w:sz w:val="24"/>
          <w:szCs w:val="24"/>
        </w:rPr>
        <w:t xml:space="preserve"> [Accessed 4 March 2026].</w:t>
      </w:r>
    </w:p>
    <w:p w14:paraId="4ED78147"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Perdomo-Verdecia, V. et al. (2022) Lean management in hotels. International Journal of Hospitality Management. Available at: </w:t>
      </w:r>
      <w:hyperlink r:id="rId96">
        <w:r w:rsidRPr="00C33589">
          <w:rPr>
            <w:rFonts w:ascii="Arial" w:eastAsia="Google Sans" w:hAnsi="Arial" w:cs="Arial"/>
            <w:color w:val="0B57D0"/>
            <w:sz w:val="24"/>
            <w:szCs w:val="24"/>
            <w:u w:val="single"/>
          </w:rPr>
          <w:t>https://sites.les.univr.it/eisic/wp-content/uploads/2023/11/JOVANOVIC-SIMEUNOVIC-GATIC-TULIMIROVIC-SLOVIC.pdf</w:t>
        </w:r>
      </w:hyperlink>
      <w:r w:rsidRPr="00C33589">
        <w:rPr>
          <w:rFonts w:ascii="Arial" w:eastAsia="Google Sans" w:hAnsi="Arial" w:cs="Arial"/>
          <w:color w:val="1F1F1F"/>
          <w:sz w:val="24"/>
          <w:szCs w:val="24"/>
        </w:rPr>
        <w:t xml:space="preserve"> [Accessed 5 March 2026].</w:t>
      </w:r>
    </w:p>
    <w:p w14:paraId="3C8763B3"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Perramon, et al. (2024) Economic and operational resilience in hospitality. MDPI. Available at: </w:t>
      </w:r>
      <w:hyperlink r:id="rId97">
        <w:r w:rsidRPr="00C33589">
          <w:rPr>
            <w:rFonts w:ascii="Arial" w:eastAsia="Google Sans" w:hAnsi="Arial" w:cs="Arial"/>
            <w:color w:val="0B57D0"/>
            <w:sz w:val="24"/>
            <w:szCs w:val="24"/>
            <w:u w:val="single"/>
          </w:rPr>
          <w:t>https://www.mdpi.com/2076-3387/14/11/297</w:t>
        </w:r>
      </w:hyperlink>
      <w:r w:rsidRPr="00C33589">
        <w:rPr>
          <w:rFonts w:ascii="Arial" w:eastAsia="Google Sans" w:hAnsi="Arial" w:cs="Arial"/>
          <w:color w:val="1F1F1F"/>
          <w:sz w:val="24"/>
          <w:szCs w:val="24"/>
        </w:rPr>
        <w:t xml:space="preserve"> [Accessed 10 February 2026].</w:t>
      </w:r>
    </w:p>
    <w:p w14:paraId="31089AE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Personio. (2025) Case Study: Premier Inn HR Transformation. Available at: </w:t>
      </w:r>
      <w:hyperlink r:id="rId98">
        <w:r w:rsidRPr="00C33589">
          <w:rPr>
            <w:rFonts w:ascii="Arial" w:eastAsia="Google Sans" w:hAnsi="Arial" w:cs="Arial"/>
            <w:color w:val="0B57D0"/>
            <w:sz w:val="24"/>
            <w:szCs w:val="24"/>
            <w:u w:val="single"/>
          </w:rPr>
          <w:t>https://www.personio.com/references/case-study-premier-inn/</w:t>
        </w:r>
      </w:hyperlink>
      <w:r w:rsidRPr="00C33589">
        <w:rPr>
          <w:rFonts w:ascii="Arial" w:eastAsia="Google Sans" w:hAnsi="Arial" w:cs="Arial"/>
          <w:color w:val="1F1F1F"/>
          <w:sz w:val="24"/>
          <w:szCs w:val="24"/>
        </w:rPr>
        <w:t xml:space="preserve"> [Accessed 11 February 2026].</w:t>
      </w:r>
    </w:p>
    <w:p w14:paraId="322A5CD7"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Pink, S. (2015) Doing Sensory Ethnography. SAGE Publications. Available at: </w:t>
      </w:r>
      <w:hyperlink r:id="rId99">
        <w:r w:rsidRPr="00C33589">
          <w:rPr>
            <w:rFonts w:ascii="Arial" w:eastAsia="Google Sans" w:hAnsi="Arial" w:cs="Arial"/>
            <w:color w:val="0B57D0"/>
            <w:sz w:val="24"/>
            <w:szCs w:val="24"/>
            <w:u w:val="single"/>
          </w:rPr>
          <w:t>https://www.mdpi.com/2673-8945/6/1/22</w:t>
        </w:r>
      </w:hyperlink>
      <w:r w:rsidRPr="00C33589">
        <w:rPr>
          <w:rFonts w:ascii="Arial" w:eastAsia="Google Sans" w:hAnsi="Arial" w:cs="Arial"/>
          <w:color w:val="1F1F1F"/>
          <w:sz w:val="24"/>
          <w:szCs w:val="24"/>
        </w:rPr>
        <w:t xml:space="preserve"> [Accessed 11 February 2026].</w:t>
      </w:r>
    </w:p>
    <w:p w14:paraId="1E38794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PwC. (2026) UK Hotels Forecast 2026. PwC UK. Available at: </w:t>
      </w:r>
      <w:hyperlink r:id="rId100">
        <w:r w:rsidRPr="00C33589">
          <w:rPr>
            <w:rFonts w:ascii="Arial" w:eastAsia="Google Sans" w:hAnsi="Arial" w:cs="Arial"/>
            <w:color w:val="0B57D0"/>
            <w:sz w:val="24"/>
            <w:szCs w:val="24"/>
            <w:u w:val="single"/>
          </w:rPr>
          <w:t>https://www.pwc.co.uk/industries/hospitality-leisure/insights/uk-hotels-forecast.html</w:t>
        </w:r>
      </w:hyperlink>
      <w:r w:rsidRPr="00C33589">
        <w:rPr>
          <w:rFonts w:ascii="Arial" w:eastAsia="Google Sans" w:hAnsi="Arial" w:cs="Arial"/>
          <w:color w:val="1F1F1F"/>
          <w:sz w:val="24"/>
          <w:szCs w:val="24"/>
        </w:rPr>
        <w:t xml:space="preserve"> [Accessed 12 February 2026].</w:t>
      </w:r>
    </w:p>
    <w:p w14:paraId="7792469A"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QX Global Group. (2025) Hospitality Financial Planning: Lessons from 2024 UK Closures. Available at: </w:t>
      </w:r>
      <w:hyperlink r:id="rId101">
        <w:r w:rsidRPr="00C33589">
          <w:rPr>
            <w:rFonts w:ascii="Arial" w:eastAsia="Google Sans" w:hAnsi="Arial" w:cs="Arial"/>
            <w:color w:val="0B57D0"/>
            <w:sz w:val="24"/>
            <w:szCs w:val="24"/>
            <w:u w:val="single"/>
          </w:rPr>
          <w:t>https://qxglobalgroup.com/fa/uk/blog/hospitality-financial-planning-lessons-from-2024-uk-closures/</w:t>
        </w:r>
      </w:hyperlink>
      <w:r w:rsidRPr="00C33589">
        <w:rPr>
          <w:rFonts w:ascii="Arial" w:eastAsia="Google Sans" w:hAnsi="Arial" w:cs="Arial"/>
          <w:color w:val="1F1F1F"/>
          <w:sz w:val="24"/>
          <w:szCs w:val="24"/>
        </w:rPr>
        <w:t xml:space="preserve"> [Accessed 14 February 2026].</w:t>
      </w:r>
    </w:p>
    <w:p w14:paraId="41AB74A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Riley, M. (1992) Functional flexibility in hotels-is it feasible?. Tourism Management. Available at: </w:t>
      </w:r>
      <w:hyperlink r:id="rId102">
        <w:r w:rsidRPr="00C33589">
          <w:rPr>
            <w:rFonts w:ascii="Arial" w:eastAsia="Google Sans" w:hAnsi="Arial" w:cs="Arial"/>
            <w:color w:val="0B57D0"/>
            <w:sz w:val="24"/>
            <w:szCs w:val="24"/>
            <w:u w:val="single"/>
          </w:rPr>
          <w:t>https://www.researchgate.net/publication/281393516_Performance_labour_flexibility_and_migrant_workers_in_hotels</w:t>
        </w:r>
      </w:hyperlink>
      <w:r w:rsidRPr="00C33589">
        <w:rPr>
          <w:rFonts w:ascii="Arial" w:eastAsia="Google Sans" w:hAnsi="Arial" w:cs="Arial"/>
          <w:color w:val="1F1F1F"/>
          <w:sz w:val="24"/>
          <w:szCs w:val="24"/>
        </w:rPr>
        <w:t xml:space="preserve"> [Accessed 15 February 2026].</w:t>
      </w:r>
    </w:p>
    <w:p w14:paraId="69A754D4"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Rousseau, D. M. (1989) Psychological and implied contracts in organizations. Employee Responsibilities and Rights Journal. Available at: </w:t>
      </w:r>
      <w:hyperlink r:id="rId103">
        <w:r w:rsidRPr="00C33589">
          <w:rPr>
            <w:rFonts w:ascii="Arial" w:eastAsia="Google Sans" w:hAnsi="Arial" w:cs="Arial"/>
            <w:color w:val="0B57D0"/>
            <w:sz w:val="24"/>
            <w:szCs w:val="24"/>
            <w:u w:val="single"/>
          </w:rPr>
          <w:t>https://gtg.webhost.uoradea.ro/PDF/GTG-2spl-2025/gtg.602spl18-1494.pdf</w:t>
        </w:r>
      </w:hyperlink>
      <w:r w:rsidRPr="00C33589">
        <w:rPr>
          <w:rFonts w:ascii="Arial" w:eastAsia="Google Sans" w:hAnsi="Arial" w:cs="Arial"/>
          <w:color w:val="1F1F1F"/>
          <w:sz w:val="24"/>
          <w:szCs w:val="24"/>
        </w:rPr>
        <w:t xml:space="preserve"> [Accessed 16 February 2026].</w:t>
      </w:r>
    </w:p>
    <w:p w14:paraId="536E3643"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Salanova, M., &amp; Schaufeli, W. B. (2008) A cross-national study of work engagement. Educational and Psychological Measurement. Available at: </w:t>
      </w:r>
      <w:hyperlink r:id="rId104">
        <w:r w:rsidRPr="00C33589">
          <w:rPr>
            <w:rFonts w:ascii="Arial" w:eastAsia="Google Sans" w:hAnsi="Arial" w:cs="Arial"/>
            <w:color w:val="0B57D0"/>
            <w:sz w:val="24"/>
            <w:szCs w:val="24"/>
            <w:u w:val="single"/>
          </w:rPr>
          <w:t>https://www.emerald.com/ebhrm/article/13/5/832/</w:t>
        </w:r>
      </w:hyperlink>
      <w:r w:rsidRPr="00C33589">
        <w:rPr>
          <w:rFonts w:ascii="Arial" w:eastAsia="Google Sans" w:hAnsi="Arial" w:cs="Arial"/>
          <w:color w:val="1F1F1F"/>
          <w:sz w:val="24"/>
          <w:szCs w:val="24"/>
        </w:rPr>
        <w:t xml:space="preserve"> [Accessed 17 February 2026].</w:t>
      </w:r>
    </w:p>
    <w:p w14:paraId="46247BBC"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Sidiq, M., &amp; Pasaribu, V. (2025) Turnover Intention in Hospitality Industry: The Role of Work-Family Conflict. World Journal of Advanced Research and Reviews. Available at: </w:t>
      </w:r>
      <w:hyperlink r:id="rId105">
        <w:r w:rsidRPr="00C33589">
          <w:rPr>
            <w:rFonts w:ascii="Arial" w:eastAsia="Google Sans" w:hAnsi="Arial" w:cs="Arial"/>
            <w:color w:val="0B57D0"/>
            <w:sz w:val="24"/>
            <w:szCs w:val="24"/>
            <w:u w:val="single"/>
          </w:rPr>
          <w:t>https://journalwjarr.com/sites/default/files/fulltext_pdf/WJARR-2026-0097.pdf</w:t>
        </w:r>
      </w:hyperlink>
      <w:r w:rsidRPr="00C33589">
        <w:rPr>
          <w:rFonts w:ascii="Arial" w:eastAsia="Google Sans" w:hAnsi="Arial" w:cs="Arial"/>
          <w:color w:val="1F1F1F"/>
          <w:sz w:val="24"/>
          <w:szCs w:val="24"/>
        </w:rPr>
        <w:t xml:space="preserve"> [Accessed 19 February 2026].</w:t>
      </w:r>
    </w:p>
    <w:p w14:paraId="00ABBB8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Singal, M. (2015) How is the hospitality and tourism industry different?. International Journal of Hospitality Management. Available at: </w:t>
      </w:r>
      <w:hyperlink r:id="rId106">
        <w:r w:rsidRPr="00C33589">
          <w:rPr>
            <w:rFonts w:ascii="Arial" w:eastAsia="Google Sans" w:hAnsi="Arial" w:cs="Arial"/>
            <w:color w:val="0B57D0"/>
            <w:sz w:val="24"/>
            <w:szCs w:val="24"/>
            <w:u w:val="single"/>
          </w:rPr>
          <w:t>https://pmc.ncbi.nlm.nih.gov/articles/PMC9989892/</w:t>
        </w:r>
      </w:hyperlink>
      <w:r w:rsidRPr="00C33589">
        <w:rPr>
          <w:rFonts w:ascii="Arial" w:eastAsia="Google Sans" w:hAnsi="Arial" w:cs="Arial"/>
          <w:color w:val="1F1F1F"/>
          <w:sz w:val="24"/>
          <w:szCs w:val="24"/>
        </w:rPr>
        <w:t xml:space="preserve"> [Accessed 19 February 2026].</w:t>
      </w:r>
    </w:p>
    <w:p w14:paraId="57452665"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Slack, N., Chambers, S., and Johnston, R. (2016) Operations Management. FT Prentice Hall. Available at: </w:t>
      </w:r>
      <w:hyperlink r:id="rId107">
        <w:r w:rsidRPr="00C33589">
          <w:rPr>
            <w:rFonts w:ascii="Arial" w:eastAsia="Google Sans" w:hAnsi="Arial" w:cs="Arial"/>
            <w:color w:val="0B57D0"/>
            <w:sz w:val="24"/>
            <w:szCs w:val="24"/>
            <w:u w:val="single"/>
          </w:rPr>
          <w:t>https://www.academia.edu/37202509/Lean_principles_application_in_the_budget_hotel_segment</w:t>
        </w:r>
      </w:hyperlink>
      <w:r w:rsidRPr="00C33589">
        <w:rPr>
          <w:rFonts w:ascii="Arial" w:eastAsia="Google Sans" w:hAnsi="Arial" w:cs="Arial"/>
          <w:color w:val="1F1F1F"/>
          <w:sz w:val="24"/>
          <w:szCs w:val="24"/>
        </w:rPr>
        <w:t xml:space="preserve"> [Accessed 20 February 2026].</w:t>
      </w:r>
    </w:p>
    <w:p w14:paraId="12DEC511"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Stevenson, R. (2024) Fractional workforce in hotel management. Spotify Podcasts. Available at: </w:t>
      </w:r>
      <w:hyperlink r:id="rId108">
        <w:r w:rsidRPr="00C33589">
          <w:rPr>
            <w:rFonts w:ascii="Arial" w:eastAsia="Google Sans" w:hAnsi="Arial" w:cs="Arial"/>
            <w:color w:val="0B57D0"/>
            <w:sz w:val="24"/>
            <w:szCs w:val="24"/>
            <w:u w:val="single"/>
          </w:rPr>
          <w:t>https://creators.spotify.com/pod/profile/uncaged-show/episodes/UNCAGED-With-Robert-Stevenson-e1njgq9/a-a8giml4</w:t>
        </w:r>
      </w:hyperlink>
      <w:r w:rsidRPr="00C33589">
        <w:rPr>
          <w:rFonts w:ascii="Arial" w:eastAsia="Google Sans" w:hAnsi="Arial" w:cs="Arial"/>
          <w:color w:val="1F1F1F"/>
          <w:sz w:val="24"/>
          <w:szCs w:val="24"/>
        </w:rPr>
        <w:t xml:space="preserve"> [Accessed 21 February 2026].</w:t>
      </w:r>
    </w:p>
    <w:p w14:paraId="073AC9FD"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Trisninawati, T., &amp; Supardin, L. (2025) The Influence of Internal Marketing on Job Satisfaction. Pakistan Journal of Life and Social Sciences. Available at: </w:t>
      </w:r>
      <w:hyperlink r:id="rId109">
        <w:r w:rsidRPr="00C33589">
          <w:rPr>
            <w:rFonts w:ascii="Arial" w:eastAsia="Google Sans" w:hAnsi="Arial" w:cs="Arial"/>
            <w:color w:val="0B57D0"/>
            <w:sz w:val="24"/>
            <w:szCs w:val="24"/>
            <w:u w:val="single"/>
          </w:rPr>
          <w:t>https://www.pjlss.edu.pk/pdf_files/2025_1/4843-4852.pdf</w:t>
        </w:r>
      </w:hyperlink>
      <w:r w:rsidRPr="00C33589">
        <w:rPr>
          <w:rFonts w:ascii="Arial" w:eastAsia="Google Sans" w:hAnsi="Arial" w:cs="Arial"/>
          <w:color w:val="1F1F1F"/>
          <w:sz w:val="24"/>
          <w:szCs w:val="24"/>
        </w:rPr>
        <w:t xml:space="preserve"> [Accessed 21 February 2026].</w:t>
      </w:r>
    </w:p>
    <w:p w14:paraId="756393D9"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UKHospitality. (2025) Martyn's Law Guidance. Available at: </w:t>
      </w:r>
      <w:hyperlink r:id="rId110">
        <w:r w:rsidRPr="00C33589">
          <w:rPr>
            <w:rFonts w:ascii="Arial" w:eastAsia="Google Sans" w:hAnsi="Arial" w:cs="Arial"/>
            <w:color w:val="0B57D0"/>
            <w:sz w:val="24"/>
            <w:szCs w:val="24"/>
            <w:u w:val="single"/>
          </w:rPr>
          <w:t>https://www.ukhospitality.org.uk/guidance/martyns-law/</w:t>
        </w:r>
      </w:hyperlink>
      <w:r w:rsidRPr="00C33589">
        <w:rPr>
          <w:rFonts w:ascii="Arial" w:eastAsia="Google Sans" w:hAnsi="Arial" w:cs="Arial"/>
          <w:color w:val="1F1F1F"/>
          <w:sz w:val="24"/>
          <w:szCs w:val="24"/>
        </w:rPr>
        <w:t xml:space="preserve"> [Accessed 3 March 2026].</w:t>
      </w:r>
    </w:p>
    <w:p w14:paraId="082BDABB"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Vegetarian Society. (2025) British Pie Awards 2026 Judging. Available at: </w:t>
      </w:r>
      <w:hyperlink r:id="rId111">
        <w:r w:rsidRPr="00C33589">
          <w:rPr>
            <w:rFonts w:ascii="Arial" w:eastAsia="Google Sans" w:hAnsi="Arial" w:cs="Arial"/>
            <w:color w:val="0B57D0"/>
            <w:sz w:val="24"/>
            <w:szCs w:val="24"/>
            <w:u w:val="single"/>
          </w:rPr>
          <w:t>https://vegsoc.org/pie-awards-2026-judging/</w:t>
        </w:r>
      </w:hyperlink>
      <w:r w:rsidRPr="00C33589">
        <w:rPr>
          <w:rFonts w:ascii="Arial" w:eastAsia="Google Sans" w:hAnsi="Arial" w:cs="Arial"/>
          <w:color w:val="1F1F1F"/>
          <w:sz w:val="24"/>
          <w:szCs w:val="24"/>
        </w:rPr>
        <w:t xml:space="preserve"> [Accessed 22 February 2026].</w:t>
      </w:r>
    </w:p>
    <w:p w14:paraId="1572E4D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Visit Leicester. (2025) Positive growth for Leicester and Leicestershire visitor economy. Leicestershire County Council. Available at: </w:t>
      </w:r>
      <w:hyperlink r:id="rId112">
        <w:r w:rsidRPr="00C33589">
          <w:rPr>
            <w:rFonts w:ascii="Arial" w:eastAsia="Google Sans" w:hAnsi="Arial" w:cs="Arial"/>
            <w:color w:val="0B57D0"/>
            <w:sz w:val="24"/>
            <w:szCs w:val="24"/>
            <w:u w:val="single"/>
          </w:rPr>
          <w:t>https://www.leicestershire.gov.uk/news/positive-growth-for-leicester-and-leicestershire-visitor-economy</w:t>
        </w:r>
      </w:hyperlink>
      <w:r w:rsidRPr="00C33589">
        <w:rPr>
          <w:rFonts w:ascii="Arial" w:eastAsia="Google Sans" w:hAnsi="Arial" w:cs="Arial"/>
          <w:color w:val="1F1F1F"/>
          <w:sz w:val="24"/>
          <w:szCs w:val="24"/>
        </w:rPr>
        <w:t xml:space="preserve"> [Accessed 23 February 2026].</w:t>
      </w:r>
    </w:p>
    <w:p w14:paraId="73C0F83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Whitbread PLC. (2024) Annual Report and Accounts 2023/24. Available at: </w:t>
      </w:r>
      <w:hyperlink r:id="rId113">
        <w:r w:rsidRPr="00C33589">
          <w:rPr>
            <w:rFonts w:ascii="Arial" w:eastAsia="Google Sans" w:hAnsi="Arial" w:cs="Arial"/>
            <w:color w:val="0B57D0"/>
            <w:sz w:val="24"/>
            <w:szCs w:val="24"/>
            <w:u w:val="single"/>
          </w:rPr>
          <w:t>https://cdn.whitbread.co.uk/media/2024/05/Whitbread-PLC-Annual-Report-and-Accounts-2023_Single_pages-1.pdf</w:t>
        </w:r>
      </w:hyperlink>
      <w:r w:rsidRPr="00C33589">
        <w:rPr>
          <w:rFonts w:ascii="Arial" w:eastAsia="Google Sans" w:hAnsi="Arial" w:cs="Arial"/>
          <w:color w:val="1F1F1F"/>
          <w:sz w:val="24"/>
          <w:szCs w:val="24"/>
        </w:rPr>
        <w:t xml:space="preserve"> [Accessed 24 February 2026].</w:t>
      </w:r>
    </w:p>
    <w:p w14:paraId="4CFE80F0"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lastRenderedPageBreak/>
        <w:t xml:space="preserve">Whitbread PLC. (2025) Annual Report and Accounts 2024/25. Available at: </w:t>
      </w:r>
      <w:hyperlink r:id="rId114">
        <w:r w:rsidRPr="00C33589">
          <w:rPr>
            <w:rFonts w:ascii="Arial" w:eastAsia="Google Sans" w:hAnsi="Arial" w:cs="Arial"/>
            <w:color w:val="0B57D0"/>
            <w:sz w:val="24"/>
            <w:szCs w:val="24"/>
            <w:u w:val="single"/>
          </w:rPr>
          <w:t>https://cdn.whitbread.co.uk/media/2025/05/Whitbread-PLC-Annual-Report-and-Accounts-2024-25.pdf</w:t>
        </w:r>
      </w:hyperlink>
      <w:r w:rsidRPr="00C33589">
        <w:rPr>
          <w:rFonts w:ascii="Arial" w:eastAsia="Google Sans" w:hAnsi="Arial" w:cs="Arial"/>
          <w:color w:val="1F1F1F"/>
          <w:sz w:val="24"/>
          <w:szCs w:val="24"/>
        </w:rPr>
        <w:t xml:space="preserve"> [Accessed 25 February 2026].</w:t>
      </w:r>
    </w:p>
    <w:p w14:paraId="5AA54AE2" w14:textId="77777777" w:rsidR="00EA3F90" w:rsidRPr="00C33589" w:rsidRDefault="00EA3F90"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C33589">
        <w:rPr>
          <w:rFonts w:ascii="Arial" w:eastAsia="Google Sans" w:hAnsi="Arial" w:cs="Arial"/>
          <w:color w:val="1F1F1F"/>
          <w:sz w:val="24"/>
          <w:szCs w:val="24"/>
        </w:rPr>
        <w:t xml:space="preserve">Williams, C. (2022) Identity, positionality and reflexivity in research. PMC. Available at: </w:t>
      </w:r>
      <w:hyperlink r:id="rId115">
        <w:r w:rsidRPr="00C33589">
          <w:rPr>
            <w:rFonts w:ascii="Arial" w:eastAsia="Google Sans" w:hAnsi="Arial" w:cs="Arial"/>
            <w:color w:val="0B57D0"/>
            <w:sz w:val="24"/>
            <w:szCs w:val="24"/>
            <w:u w:val="single"/>
          </w:rPr>
          <w:t>https://pmc.ncbi.nlm.nih.gov/articles/PMC9662153/</w:t>
        </w:r>
      </w:hyperlink>
      <w:r w:rsidRPr="00C33589">
        <w:rPr>
          <w:rFonts w:ascii="Arial" w:eastAsia="Google Sans" w:hAnsi="Arial" w:cs="Arial"/>
          <w:color w:val="1F1F1F"/>
          <w:sz w:val="24"/>
          <w:szCs w:val="24"/>
        </w:rPr>
        <w:t xml:space="preserve"> [Accessed 26 February 2026].</w:t>
      </w:r>
    </w:p>
    <w:p w14:paraId="51CDC929"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63FFBAD8"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489A773B"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7DA08965"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7CEB1D4F" w14:textId="77777777" w:rsidR="009F04B2" w:rsidRPr="00C33589" w:rsidRDefault="009F04B2"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7D6B12FA" w14:textId="77777777" w:rsidR="00716A21" w:rsidRPr="00C33589" w:rsidRDefault="00716A21"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243D511C" w14:textId="77777777" w:rsidR="008B178B" w:rsidRPr="00C33589" w:rsidRDefault="008B178B" w:rsidP="00C33589">
      <w:pPr>
        <w:spacing w:line="360" w:lineRule="auto"/>
        <w:jc w:val="both"/>
        <w:rPr>
          <w:rFonts w:ascii="Arial" w:hAnsi="Arial" w:cs="Arial"/>
          <w:sz w:val="24"/>
          <w:szCs w:val="24"/>
        </w:rPr>
      </w:pPr>
    </w:p>
    <w:p w14:paraId="11A6E2F2" w14:textId="77777777" w:rsidR="00256747" w:rsidRPr="00C33589" w:rsidRDefault="00256747" w:rsidP="00C33589">
      <w:pPr>
        <w:spacing w:line="360" w:lineRule="auto"/>
        <w:jc w:val="both"/>
        <w:rPr>
          <w:rFonts w:ascii="Arial" w:hAnsi="Arial" w:cs="Arial"/>
          <w:sz w:val="24"/>
          <w:szCs w:val="24"/>
        </w:rPr>
      </w:pPr>
    </w:p>
    <w:p w14:paraId="6DB92EC9" w14:textId="77777777" w:rsidR="00256747" w:rsidRPr="00C33589" w:rsidRDefault="00256747" w:rsidP="00C33589">
      <w:pPr>
        <w:spacing w:line="360" w:lineRule="auto"/>
        <w:jc w:val="both"/>
        <w:rPr>
          <w:rFonts w:ascii="Arial" w:hAnsi="Arial" w:cs="Arial"/>
          <w:sz w:val="24"/>
          <w:szCs w:val="24"/>
        </w:rPr>
      </w:pPr>
    </w:p>
    <w:p w14:paraId="0C64C389" w14:textId="77777777" w:rsidR="00256747" w:rsidRPr="00C33589" w:rsidRDefault="00256747" w:rsidP="00C33589">
      <w:pPr>
        <w:spacing w:line="360" w:lineRule="auto"/>
        <w:jc w:val="both"/>
        <w:rPr>
          <w:rFonts w:ascii="Arial" w:hAnsi="Arial" w:cs="Arial"/>
          <w:sz w:val="24"/>
          <w:szCs w:val="24"/>
        </w:rPr>
      </w:pPr>
    </w:p>
    <w:p w14:paraId="1CE77D12" w14:textId="77777777" w:rsidR="008B178B" w:rsidRPr="00C33589" w:rsidRDefault="008B178B" w:rsidP="00C33589">
      <w:pPr>
        <w:spacing w:line="360" w:lineRule="auto"/>
        <w:jc w:val="both"/>
        <w:rPr>
          <w:rFonts w:ascii="Arial" w:hAnsi="Arial" w:cs="Arial"/>
          <w:sz w:val="24"/>
          <w:szCs w:val="24"/>
        </w:rPr>
      </w:pPr>
    </w:p>
    <w:p w14:paraId="6FE2A6BB" w14:textId="77777777" w:rsidR="00E6499D" w:rsidRPr="00C33589" w:rsidRDefault="00E6499D" w:rsidP="00C33589">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1EEE0CA6" w14:textId="77777777" w:rsidR="008B178B" w:rsidRPr="00C33589" w:rsidRDefault="008B178B" w:rsidP="00C33589">
      <w:pPr>
        <w:spacing w:line="360" w:lineRule="auto"/>
        <w:jc w:val="both"/>
        <w:rPr>
          <w:rFonts w:ascii="Arial" w:hAnsi="Arial" w:cs="Arial"/>
          <w:sz w:val="24"/>
          <w:szCs w:val="24"/>
        </w:rPr>
      </w:pPr>
    </w:p>
    <w:p w14:paraId="512419A5" w14:textId="77777777" w:rsidR="005327E3" w:rsidRPr="00C33589" w:rsidRDefault="005327E3" w:rsidP="00C33589">
      <w:pPr>
        <w:spacing w:line="360" w:lineRule="auto"/>
        <w:jc w:val="both"/>
        <w:rPr>
          <w:rFonts w:ascii="Arial" w:hAnsi="Arial" w:cs="Arial"/>
          <w:sz w:val="24"/>
          <w:szCs w:val="24"/>
        </w:rPr>
      </w:pPr>
    </w:p>
    <w:p w14:paraId="70F8AFE5" w14:textId="77777777" w:rsidR="005327E3" w:rsidRPr="00C33589" w:rsidRDefault="005327E3" w:rsidP="00C33589">
      <w:pPr>
        <w:spacing w:line="360" w:lineRule="auto"/>
        <w:jc w:val="both"/>
        <w:rPr>
          <w:rFonts w:ascii="Arial" w:hAnsi="Arial" w:cs="Arial"/>
          <w:sz w:val="24"/>
          <w:szCs w:val="24"/>
        </w:rPr>
      </w:pPr>
    </w:p>
    <w:p w14:paraId="0F80E60C" w14:textId="77777777" w:rsidR="005327E3" w:rsidRPr="00C33589" w:rsidRDefault="005327E3" w:rsidP="00C33589">
      <w:pPr>
        <w:spacing w:line="360" w:lineRule="auto"/>
        <w:jc w:val="both"/>
        <w:rPr>
          <w:rFonts w:ascii="Arial" w:hAnsi="Arial" w:cs="Arial"/>
          <w:sz w:val="24"/>
          <w:szCs w:val="24"/>
        </w:rPr>
      </w:pPr>
    </w:p>
    <w:p w14:paraId="5F060597" w14:textId="77777777" w:rsidR="005327E3" w:rsidRPr="00C33589" w:rsidRDefault="005327E3" w:rsidP="00C33589">
      <w:pPr>
        <w:spacing w:line="360" w:lineRule="auto"/>
        <w:jc w:val="both"/>
        <w:rPr>
          <w:rFonts w:ascii="Arial" w:hAnsi="Arial" w:cs="Arial"/>
          <w:sz w:val="24"/>
          <w:szCs w:val="24"/>
        </w:rPr>
      </w:pPr>
    </w:p>
    <w:p w14:paraId="05116AA5" w14:textId="77777777" w:rsidR="005327E3" w:rsidRPr="00C33589" w:rsidRDefault="005327E3" w:rsidP="00C33589">
      <w:pPr>
        <w:spacing w:line="360" w:lineRule="auto"/>
        <w:jc w:val="both"/>
        <w:rPr>
          <w:rFonts w:ascii="Arial" w:hAnsi="Arial" w:cs="Arial"/>
          <w:sz w:val="24"/>
          <w:szCs w:val="24"/>
        </w:rPr>
      </w:pPr>
    </w:p>
    <w:p w14:paraId="0834E7EE" w14:textId="77777777" w:rsidR="005327E3" w:rsidRPr="00C33589" w:rsidRDefault="005327E3" w:rsidP="00C33589">
      <w:pPr>
        <w:spacing w:line="360" w:lineRule="auto"/>
        <w:jc w:val="both"/>
        <w:rPr>
          <w:rFonts w:ascii="Arial" w:hAnsi="Arial" w:cs="Arial"/>
          <w:sz w:val="24"/>
          <w:szCs w:val="24"/>
        </w:rPr>
      </w:pPr>
    </w:p>
    <w:p w14:paraId="70B23A79" w14:textId="77777777" w:rsidR="005327E3" w:rsidRPr="00C33589" w:rsidRDefault="005327E3" w:rsidP="00C33589">
      <w:pPr>
        <w:spacing w:line="360" w:lineRule="auto"/>
        <w:jc w:val="both"/>
        <w:rPr>
          <w:rFonts w:ascii="Arial" w:hAnsi="Arial" w:cs="Arial"/>
          <w:sz w:val="24"/>
          <w:szCs w:val="24"/>
        </w:rPr>
      </w:pPr>
    </w:p>
    <w:p w14:paraId="007A29D3" w14:textId="77777777" w:rsidR="005327E3" w:rsidRPr="00C33589" w:rsidRDefault="005327E3" w:rsidP="00C33589">
      <w:pPr>
        <w:spacing w:line="360" w:lineRule="auto"/>
        <w:jc w:val="both"/>
        <w:rPr>
          <w:rFonts w:ascii="Arial" w:hAnsi="Arial" w:cs="Arial"/>
          <w:sz w:val="24"/>
          <w:szCs w:val="24"/>
        </w:rPr>
      </w:pPr>
    </w:p>
    <w:p w14:paraId="69A32C7C" w14:textId="77777777" w:rsidR="005327E3" w:rsidRPr="00C33589" w:rsidRDefault="005327E3" w:rsidP="00C33589">
      <w:pPr>
        <w:spacing w:line="360" w:lineRule="auto"/>
        <w:jc w:val="both"/>
        <w:rPr>
          <w:rFonts w:ascii="Arial" w:hAnsi="Arial" w:cs="Arial"/>
          <w:sz w:val="24"/>
          <w:szCs w:val="24"/>
        </w:rPr>
      </w:pPr>
    </w:p>
    <w:p w14:paraId="33EE9107" w14:textId="77777777" w:rsidR="005327E3" w:rsidRPr="00C33589" w:rsidRDefault="005327E3" w:rsidP="00C33589">
      <w:pPr>
        <w:spacing w:line="360" w:lineRule="auto"/>
        <w:jc w:val="both"/>
        <w:rPr>
          <w:rFonts w:ascii="Arial" w:hAnsi="Arial" w:cs="Arial"/>
          <w:sz w:val="24"/>
          <w:szCs w:val="24"/>
        </w:rPr>
      </w:pPr>
    </w:p>
    <w:p w14:paraId="623E81C6" w14:textId="77777777" w:rsidR="005327E3" w:rsidRPr="00C33589" w:rsidRDefault="005327E3" w:rsidP="00C33589">
      <w:pPr>
        <w:spacing w:line="360" w:lineRule="auto"/>
        <w:jc w:val="both"/>
        <w:rPr>
          <w:rFonts w:ascii="Arial" w:hAnsi="Arial" w:cs="Arial"/>
          <w:sz w:val="24"/>
          <w:szCs w:val="24"/>
        </w:rPr>
      </w:pPr>
    </w:p>
    <w:p w14:paraId="130566AB" w14:textId="77777777" w:rsidR="005327E3" w:rsidRPr="00C33589" w:rsidRDefault="005327E3" w:rsidP="00C33589">
      <w:pPr>
        <w:spacing w:line="360" w:lineRule="auto"/>
        <w:jc w:val="both"/>
        <w:rPr>
          <w:rFonts w:ascii="Arial" w:hAnsi="Arial" w:cs="Arial"/>
          <w:sz w:val="24"/>
          <w:szCs w:val="24"/>
        </w:rPr>
      </w:pPr>
    </w:p>
    <w:p w14:paraId="51406A83" w14:textId="77777777" w:rsidR="005327E3" w:rsidRPr="00C33589" w:rsidRDefault="005327E3" w:rsidP="00C33589">
      <w:pPr>
        <w:spacing w:line="360" w:lineRule="auto"/>
        <w:jc w:val="both"/>
        <w:rPr>
          <w:rFonts w:ascii="Arial" w:hAnsi="Arial" w:cs="Arial"/>
          <w:sz w:val="24"/>
          <w:szCs w:val="24"/>
        </w:rPr>
      </w:pPr>
    </w:p>
    <w:p w14:paraId="2F430CDE" w14:textId="77777777" w:rsidR="005327E3" w:rsidRPr="00C33589" w:rsidRDefault="005327E3" w:rsidP="00C33589">
      <w:pPr>
        <w:spacing w:line="360" w:lineRule="auto"/>
        <w:jc w:val="both"/>
        <w:rPr>
          <w:rFonts w:ascii="Arial" w:hAnsi="Arial" w:cs="Arial"/>
          <w:sz w:val="24"/>
          <w:szCs w:val="24"/>
        </w:rPr>
      </w:pPr>
    </w:p>
    <w:p w14:paraId="3A515BFE" w14:textId="77777777" w:rsidR="005327E3" w:rsidRPr="00C33589" w:rsidRDefault="005327E3" w:rsidP="00C33589">
      <w:pPr>
        <w:spacing w:line="360" w:lineRule="auto"/>
        <w:jc w:val="both"/>
        <w:rPr>
          <w:rFonts w:ascii="Arial" w:hAnsi="Arial" w:cs="Arial"/>
          <w:sz w:val="24"/>
          <w:szCs w:val="24"/>
        </w:rPr>
      </w:pPr>
    </w:p>
    <w:p w14:paraId="5E42F3B7" w14:textId="77777777" w:rsidR="005327E3" w:rsidRPr="00C33589" w:rsidRDefault="005327E3" w:rsidP="00C33589">
      <w:pPr>
        <w:pStyle w:val="Heading2"/>
        <w:spacing w:before="0" w:after="120" w:line="360" w:lineRule="auto"/>
        <w:jc w:val="both"/>
        <w:rPr>
          <w:rFonts w:ascii="Arial" w:eastAsiaTheme="minorHAnsi" w:hAnsi="Arial" w:cs="Arial"/>
          <w:b/>
          <w:bCs/>
          <w:sz w:val="24"/>
          <w:szCs w:val="24"/>
        </w:rPr>
      </w:pPr>
    </w:p>
    <w:p w14:paraId="148653C7" w14:textId="77777777" w:rsidR="005327E3" w:rsidRPr="00C33589" w:rsidRDefault="005327E3" w:rsidP="00C33589">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0048BFE1" w14:textId="77777777" w:rsidR="005327E3" w:rsidRPr="00C33589" w:rsidRDefault="005327E3" w:rsidP="00C33589">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01F5D244" w14:textId="77777777" w:rsidR="005327E3" w:rsidRPr="00C33589" w:rsidRDefault="005327E3" w:rsidP="00C33589">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4E901EAB" w14:textId="77777777" w:rsidR="005327E3" w:rsidRPr="00C33589" w:rsidRDefault="005327E3" w:rsidP="00C33589">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09F57588" w14:textId="77777777" w:rsidR="005327E3" w:rsidRPr="00C33589" w:rsidRDefault="005327E3" w:rsidP="00C33589">
      <w:pPr>
        <w:pBdr>
          <w:top w:val="nil"/>
          <w:left w:val="nil"/>
          <w:bottom w:val="nil"/>
          <w:right w:val="nil"/>
          <w:between w:val="nil"/>
        </w:pBdr>
        <w:spacing w:after="240" w:line="360" w:lineRule="auto"/>
        <w:jc w:val="both"/>
        <w:rPr>
          <w:rFonts w:ascii="Arial" w:eastAsia="Google Sans Text" w:hAnsi="Arial" w:cs="Arial"/>
          <w:b/>
          <w:color w:val="1F1F1F"/>
          <w:sz w:val="24"/>
          <w:szCs w:val="24"/>
        </w:rPr>
      </w:pPr>
    </w:p>
    <w:p w14:paraId="28AA99C8" w14:textId="77777777" w:rsidR="005327E3" w:rsidRPr="00C33589" w:rsidRDefault="005327E3" w:rsidP="00C33589">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33DA4A0D" w14:textId="77777777" w:rsidR="005327E3" w:rsidRPr="00C33589" w:rsidRDefault="005327E3" w:rsidP="00C33589">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585797A2" w14:textId="77777777" w:rsidR="005327E3" w:rsidRPr="00C33589" w:rsidRDefault="005327E3" w:rsidP="00C33589">
      <w:pPr>
        <w:pBdr>
          <w:top w:val="nil"/>
          <w:left w:val="nil"/>
          <w:bottom w:val="nil"/>
          <w:right w:val="nil"/>
          <w:between w:val="nil"/>
        </w:pBdr>
        <w:spacing w:after="240" w:line="360" w:lineRule="auto"/>
        <w:jc w:val="both"/>
        <w:rPr>
          <w:rFonts w:ascii="Arial" w:eastAsia="Google Sans Text" w:hAnsi="Arial" w:cs="Arial"/>
          <w:color w:val="1F1F1F"/>
          <w:sz w:val="24"/>
          <w:szCs w:val="24"/>
        </w:rPr>
      </w:pPr>
    </w:p>
    <w:p w14:paraId="3361038F" w14:textId="77777777" w:rsidR="005327E3" w:rsidRPr="00C33589" w:rsidRDefault="005327E3" w:rsidP="00C33589">
      <w:pPr>
        <w:spacing w:line="360" w:lineRule="auto"/>
        <w:jc w:val="both"/>
        <w:rPr>
          <w:rFonts w:ascii="Arial" w:hAnsi="Arial" w:cs="Arial"/>
          <w:sz w:val="24"/>
          <w:szCs w:val="24"/>
        </w:rPr>
      </w:pPr>
    </w:p>
    <w:p w14:paraId="569D6D0B" w14:textId="77777777" w:rsidR="004D0EE5" w:rsidRPr="00C33589" w:rsidRDefault="004D0EE5" w:rsidP="00C33589">
      <w:pPr>
        <w:spacing w:line="360" w:lineRule="auto"/>
        <w:jc w:val="both"/>
        <w:rPr>
          <w:rFonts w:ascii="Arial" w:hAnsi="Arial" w:cs="Arial"/>
          <w:sz w:val="24"/>
          <w:szCs w:val="24"/>
        </w:rPr>
      </w:pPr>
    </w:p>
    <w:sectPr w:rsidR="004D0EE5" w:rsidRPr="00C33589" w:rsidSect="00F2762D">
      <w:footerReference w:type="default" r:id="rId11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35569" w14:textId="77777777" w:rsidR="009F1BEC" w:rsidRDefault="009F1BEC" w:rsidP="00F2762D">
      <w:pPr>
        <w:spacing w:after="0" w:line="240" w:lineRule="auto"/>
      </w:pPr>
      <w:r>
        <w:separator/>
      </w:r>
    </w:p>
  </w:endnote>
  <w:endnote w:type="continuationSeparator" w:id="0">
    <w:p w14:paraId="5995D8C7" w14:textId="77777777" w:rsidR="009F1BEC" w:rsidRDefault="009F1BEC" w:rsidP="00F27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oogle Sans">
    <w:altName w:val="Times New Roman"/>
    <w:charset w:val="00"/>
    <w:family w:val="auto"/>
    <w:pitch w:val="default"/>
  </w:font>
  <w:font w:name="Google Sans Tex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077231"/>
      <w:docPartObj>
        <w:docPartGallery w:val="Page Numbers (Bottom of Page)"/>
        <w:docPartUnique/>
      </w:docPartObj>
    </w:sdtPr>
    <w:sdtEndPr>
      <w:rPr>
        <w:noProof/>
      </w:rPr>
    </w:sdtEndPr>
    <w:sdtContent>
      <w:p w14:paraId="4FDEE736" w14:textId="357A0CAC" w:rsidR="00F2762D" w:rsidRDefault="00F276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609474" w14:textId="77777777" w:rsidR="00F2762D" w:rsidRDefault="00F27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FD96B" w14:textId="77777777" w:rsidR="009F1BEC" w:rsidRDefault="009F1BEC" w:rsidP="00F2762D">
      <w:pPr>
        <w:spacing w:after="0" w:line="240" w:lineRule="auto"/>
      </w:pPr>
      <w:r>
        <w:separator/>
      </w:r>
    </w:p>
  </w:footnote>
  <w:footnote w:type="continuationSeparator" w:id="0">
    <w:p w14:paraId="1D72F87C" w14:textId="77777777" w:rsidR="009F1BEC" w:rsidRDefault="009F1BEC" w:rsidP="00F27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14191"/>
    <w:multiLevelType w:val="multilevel"/>
    <w:tmpl w:val="4EAEEC46"/>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200639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6C2575"/>
    <w:rsid w:val="00020263"/>
    <w:rsid w:val="000627F3"/>
    <w:rsid w:val="000B6566"/>
    <w:rsid w:val="000C5B84"/>
    <w:rsid w:val="000F74B1"/>
    <w:rsid w:val="001D40EE"/>
    <w:rsid w:val="00240060"/>
    <w:rsid w:val="00256747"/>
    <w:rsid w:val="002A2DF4"/>
    <w:rsid w:val="002E4419"/>
    <w:rsid w:val="00324911"/>
    <w:rsid w:val="00343827"/>
    <w:rsid w:val="00377F7C"/>
    <w:rsid w:val="003B6240"/>
    <w:rsid w:val="003E2881"/>
    <w:rsid w:val="004079EA"/>
    <w:rsid w:val="00441690"/>
    <w:rsid w:val="004D0EE5"/>
    <w:rsid w:val="005327E3"/>
    <w:rsid w:val="00566D24"/>
    <w:rsid w:val="00577DD2"/>
    <w:rsid w:val="006104A5"/>
    <w:rsid w:val="006C2575"/>
    <w:rsid w:val="006E4558"/>
    <w:rsid w:val="00716A21"/>
    <w:rsid w:val="00757B14"/>
    <w:rsid w:val="00762329"/>
    <w:rsid w:val="0080567C"/>
    <w:rsid w:val="00811A73"/>
    <w:rsid w:val="008465D8"/>
    <w:rsid w:val="008809AF"/>
    <w:rsid w:val="008931A6"/>
    <w:rsid w:val="008B178B"/>
    <w:rsid w:val="008C295C"/>
    <w:rsid w:val="008F4794"/>
    <w:rsid w:val="009715DA"/>
    <w:rsid w:val="009F04B2"/>
    <w:rsid w:val="009F1BEC"/>
    <w:rsid w:val="00A02C1C"/>
    <w:rsid w:val="00A56263"/>
    <w:rsid w:val="00AD037C"/>
    <w:rsid w:val="00AD594C"/>
    <w:rsid w:val="00B16BC6"/>
    <w:rsid w:val="00B5248E"/>
    <w:rsid w:val="00B96AE5"/>
    <w:rsid w:val="00BB10B9"/>
    <w:rsid w:val="00BE7FFD"/>
    <w:rsid w:val="00C13849"/>
    <w:rsid w:val="00C33589"/>
    <w:rsid w:val="00C37E7C"/>
    <w:rsid w:val="00C77F87"/>
    <w:rsid w:val="00D70969"/>
    <w:rsid w:val="00DB2294"/>
    <w:rsid w:val="00E01EB0"/>
    <w:rsid w:val="00E54357"/>
    <w:rsid w:val="00E6499D"/>
    <w:rsid w:val="00E845E4"/>
    <w:rsid w:val="00E957F5"/>
    <w:rsid w:val="00EA3F90"/>
    <w:rsid w:val="00EA5BAA"/>
    <w:rsid w:val="00F2762D"/>
    <w:rsid w:val="00F36F13"/>
    <w:rsid w:val="00F514A5"/>
    <w:rsid w:val="00F64A6C"/>
    <w:rsid w:val="00FA0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B98F3B5"/>
  <w15:chartTrackingRefBased/>
  <w15:docId w15:val="{FBED0B57-41D5-42BD-AB28-F9380A7C7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7E3"/>
    <w:rPr>
      <w:kern w:val="0"/>
    </w:rPr>
  </w:style>
  <w:style w:type="paragraph" w:styleId="Heading1">
    <w:name w:val="heading 1"/>
    <w:basedOn w:val="Normal"/>
    <w:next w:val="Normal"/>
    <w:link w:val="Heading1Char"/>
    <w:uiPriority w:val="9"/>
    <w:qFormat/>
    <w:rsid w:val="006C257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6C257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C257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C257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C257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C25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5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5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5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57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6C257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C257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C257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C257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C2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575"/>
    <w:rPr>
      <w:rFonts w:eastAsiaTheme="majorEastAsia" w:cstheme="majorBidi"/>
      <w:color w:val="272727" w:themeColor="text1" w:themeTint="D8"/>
    </w:rPr>
  </w:style>
  <w:style w:type="paragraph" w:styleId="Title">
    <w:name w:val="Title"/>
    <w:basedOn w:val="Normal"/>
    <w:next w:val="Normal"/>
    <w:link w:val="TitleChar"/>
    <w:uiPriority w:val="10"/>
    <w:qFormat/>
    <w:rsid w:val="006C2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57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5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2575"/>
    <w:rPr>
      <w:i/>
      <w:iCs/>
      <w:color w:val="404040" w:themeColor="text1" w:themeTint="BF"/>
    </w:rPr>
  </w:style>
  <w:style w:type="paragraph" w:styleId="ListParagraph">
    <w:name w:val="List Paragraph"/>
    <w:basedOn w:val="Normal"/>
    <w:uiPriority w:val="34"/>
    <w:qFormat/>
    <w:rsid w:val="006C2575"/>
    <w:pPr>
      <w:ind w:left="720"/>
      <w:contextualSpacing/>
    </w:pPr>
  </w:style>
  <w:style w:type="character" w:styleId="IntenseEmphasis">
    <w:name w:val="Intense Emphasis"/>
    <w:basedOn w:val="DefaultParagraphFont"/>
    <w:uiPriority w:val="21"/>
    <w:qFormat/>
    <w:rsid w:val="006C2575"/>
    <w:rPr>
      <w:i/>
      <w:iCs/>
      <w:color w:val="365F91" w:themeColor="accent1" w:themeShade="BF"/>
    </w:rPr>
  </w:style>
  <w:style w:type="paragraph" w:styleId="IntenseQuote">
    <w:name w:val="Intense Quote"/>
    <w:basedOn w:val="Normal"/>
    <w:next w:val="Normal"/>
    <w:link w:val="IntenseQuoteChar"/>
    <w:uiPriority w:val="30"/>
    <w:qFormat/>
    <w:rsid w:val="006C257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C2575"/>
    <w:rPr>
      <w:i/>
      <w:iCs/>
      <w:color w:val="365F91" w:themeColor="accent1" w:themeShade="BF"/>
    </w:rPr>
  </w:style>
  <w:style w:type="character" w:styleId="IntenseReference">
    <w:name w:val="Intense Reference"/>
    <w:basedOn w:val="DefaultParagraphFont"/>
    <w:uiPriority w:val="32"/>
    <w:qFormat/>
    <w:rsid w:val="006C2575"/>
    <w:rPr>
      <w:b/>
      <w:bCs/>
      <w:smallCaps/>
      <w:color w:val="365F91" w:themeColor="accent1" w:themeShade="BF"/>
      <w:spacing w:val="5"/>
    </w:rPr>
  </w:style>
  <w:style w:type="character" w:customStyle="1" w:styleId="NoSpacingChar">
    <w:name w:val="No Spacing Char"/>
    <w:basedOn w:val="DefaultParagraphFont"/>
    <w:link w:val="NoSpacing"/>
    <w:uiPriority w:val="1"/>
    <w:locked/>
    <w:rsid w:val="005327E3"/>
    <w:rPr>
      <w:rFonts w:ascii="Times New Roman" w:eastAsiaTheme="minorEastAsia" w:hAnsi="Times New Roman" w:cs="Times New Roman"/>
    </w:rPr>
  </w:style>
  <w:style w:type="paragraph" w:styleId="NoSpacing">
    <w:name w:val="No Spacing"/>
    <w:link w:val="NoSpacingChar"/>
    <w:uiPriority w:val="1"/>
    <w:qFormat/>
    <w:rsid w:val="005327E3"/>
    <w:pPr>
      <w:spacing w:after="0" w:line="240" w:lineRule="auto"/>
    </w:pPr>
    <w:rPr>
      <w:rFonts w:ascii="Times New Roman" w:eastAsiaTheme="minorEastAsia" w:hAnsi="Times New Roman" w:cs="Times New Roman"/>
    </w:rPr>
  </w:style>
  <w:style w:type="character" w:styleId="Hyperlink">
    <w:name w:val="Hyperlink"/>
    <w:basedOn w:val="DefaultParagraphFont"/>
    <w:uiPriority w:val="99"/>
    <w:unhideWhenUsed/>
    <w:rsid w:val="005327E3"/>
    <w:rPr>
      <w:color w:val="0000FF"/>
      <w:u w:val="single"/>
    </w:rPr>
  </w:style>
  <w:style w:type="paragraph" w:styleId="Header">
    <w:name w:val="header"/>
    <w:basedOn w:val="Normal"/>
    <w:link w:val="HeaderChar"/>
    <w:uiPriority w:val="99"/>
    <w:unhideWhenUsed/>
    <w:rsid w:val="00F276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62D"/>
    <w:rPr>
      <w:kern w:val="0"/>
    </w:rPr>
  </w:style>
  <w:style w:type="paragraph" w:styleId="Footer">
    <w:name w:val="footer"/>
    <w:basedOn w:val="Normal"/>
    <w:link w:val="FooterChar"/>
    <w:uiPriority w:val="99"/>
    <w:unhideWhenUsed/>
    <w:rsid w:val="00F276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62D"/>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merald.com/ijchm/article/36/10/3300/1225965/" TargetMode="External"/><Relationship Id="rId117" Type="http://schemas.openxmlformats.org/officeDocument/2006/relationships/fontTable" Target="fontTable.xml"/><Relationship Id="rId21" Type="http://schemas.openxmlformats.org/officeDocument/2006/relationships/hyperlink" Target="https://www.mdpi.com/2076-3387/16/2/62" TargetMode="External"/><Relationship Id="rId42" Type="http://schemas.openxmlformats.org/officeDocument/2006/relationships/hyperlink" Target="https://www.researchgate.net/publication/394799039_Exploring_The_Impact_of_Work-Family_Bi-Directional_Conflict" TargetMode="External"/><Relationship Id="rId47" Type="http://schemas.openxmlformats.org/officeDocument/2006/relationships/hyperlink" Target="https://www.mdpi.com/2076-3387/15/5/153" TargetMode="External"/><Relationship Id="rId63" Type="http://schemas.openxmlformats.org/officeDocument/2006/relationships/hyperlink" Target="https://www.emerald.com/jhti/article/doi/10.1108/JHTI-02-2025-0320/" TargetMode="External"/><Relationship Id="rId68" Type="http://schemas.openxmlformats.org/officeDocument/2006/relationships/hyperlink" Target="https://www.researchgate.net/publication/37377098_The_core_and_the_periphery" TargetMode="External"/><Relationship Id="rId84" Type="http://schemas.openxmlformats.org/officeDocument/2006/relationships/hyperlink" Target="https://researchportal.port.ac.uk/en/publications/talent-management-in-the-hospitality-and-tourism-industry-the-rol/" TargetMode="External"/><Relationship Id="rId89" Type="http://schemas.openxmlformats.org/officeDocument/2006/relationships/hyperlink" Target="https://www.londonstockexchange.com/news-article/WTB/whitbread-interim-results/17280887" TargetMode="External"/><Relationship Id="rId112" Type="http://schemas.openxmlformats.org/officeDocument/2006/relationships/hyperlink" Target="https://www.leicestershire.gov.uk/news/positive-growth-for-leicester-and-leicestershire-visitor-economy" TargetMode="External"/><Relationship Id="rId16" Type="http://schemas.openxmlformats.org/officeDocument/2006/relationships/hyperlink" Target="https://www.researchgate.net/publication/228311968_Contented_Workers_in_Inferior_Jobs" TargetMode="External"/><Relationship Id="rId107" Type="http://schemas.openxmlformats.org/officeDocument/2006/relationships/hyperlink" Target="https://www.academia.edu/37202509/Lean_principles_application_in_the_budget_hotel_segment" TargetMode="External"/><Relationship Id="rId11" Type="http://schemas.openxmlformats.org/officeDocument/2006/relationships/hyperlink" Target="https://www.erudit.org/fr/revues/ri/2018-v73-n2-ri03796/1048573ar/" TargetMode="External"/><Relationship Id="rId32" Type="http://schemas.openxmlformats.org/officeDocument/2006/relationships/hyperlink" Target="https://www.cambridge.org/core/journals/the-economic-and-labour-relations-review/" TargetMode="External"/><Relationship Id="rId37" Type="http://schemas.openxmlformats.org/officeDocument/2006/relationships/hyperlink" Target="https://www.mdpi.com/2673-5768/7/1/4" TargetMode="External"/><Relationship Id="rId53" Type="http://schemas.openxmlformats.org/officeDocument/2006/relationships/hyperlink" Target="https://www.mdpi.com/2076-3387/16/2/62" TargetMode="External"/><Relationship Id="rId58" Type="http://schemas.openxmlformats.org/officeDocument/2006/relationships/hyperlink" Target="https://www.emerald.com/jhti/article/doi/10.1108/JHTI-02-2025-0320/" TargetMode="External"/><Relationship Id="rId74" Type="http://schemas.openxmlformats.org/officeDocument/2006/relationships/hyperlink" Target="https://homeofficemedia.blog.gov.uk/2025/04/03/martyns-law-factsheet/" TargetMode="External"/><Relationship Id="rId79" Type="http://schemas.openxmlformats.org/officeDocument/2006/relationships/hyperlink" Target="https://www.researchgate.net/publication/382853995_Thematic_Analysis_A_Practical_Guide" TargetMode="External"/><Relationship Id="rId102" Type="http://schemas.openxmlformats.org/officeDocument/2006/relationships/hyperlink" Target="https://www.researchgate.net/publication/281393516_Performance_labour_flexibility_and_migrant_workers_in_hotels" TargetMode="External"/><Relationship Id="rId5" Type="http://schemas.openxmlformats.org/officeDocument/2006/relationships/footnotes" Target="footnotes.xml"/><Relationship Id="rId90" Type="http://schemas.openxmlformats.org/officeDocument/2006/relationships/hyperlink" Target="https://www.gov.uk/government/publications/minimum-wage-rates-for-2026/" TargetMode="External"/><Relationship Id="rId95" Type="http://schemas.openxmlformats.org/officeDocument/2006/relationships/hyperlink" Target="https://www.aperturehotels.com/news-and-resources/our-pov-on-navigating-labor-challenges-in-2024" TargetMode="External"/><Relationship Id="rId22" Type="http://schemas.openxmlformats.org/officeDocument/2006/relationships/hyperlink" Target="https://www.eu-scientists.com/index.php/pmap/article/view/403" TargetMode="External"/><Relationship Id="rId27" Type="http://schemas.openxmlformats.org/officeDocument/2006/relationships/hyperlink" Target="https://www.emerald.com/jhti/article/doi/10.1108/JHTI-02-2025-0320/" TargetMode="External"/><Relationship Id="rId43" Type="http://schemas.openxmlformats.org/officeDocument/2006/relationships/hyperlink" Target="https://eprints.bournemouth.ac.uk/40842/1/CHME25_EE%20Paper.pdf" TargetMode="External"/><Relationship Id="rId48" Type="http://schemas.openxmlformats.org/officeDocument/2006/relationships/hyperlink" Target="https://www.tandfonline.com/doi/full/10.1080/14616688.2025.2546533" TargetMode="External"/><Relationship Id="rId64" Type="http://schemas.openxmlformats.org/officeDocument/2006/relationships/hyperlink" Target="https://ujcontent.uj.ac.za/view/pdfCoverPage?instCode=27UOJ_INST&amp;filePid=1312498570007691" TargetMode="External"/><Relationship Id="rId69" Type="http://schemas.openxmlformats.org/officeDocument/2006/relationships/hyperlink" Target="https://www.researchgate.net/publication/363916326_Resilience_in_hospitality_and_tourism_issues_synthesis_and_agenda" TargetMode="External"/><Relationship Id="rId113" Type="http://schemas.openxmlformats.org/officeDocument/2006/relationships/hyperlink" Target="https://cdn.whitbread.co.uk/media/2024/05/Whitbread-PLC-Annual-Report-and-Accounts-2023_Single_pages-1.pdf" TargetMode="External"/><Relationship Id="rId118" Type="http://schemas.openxmlformats.org/officeDocument/2006/relationships/theme" Target="theme/theme1.xml"/><Relationship Id="rId80" Type="http://schemas.openxmlformats.org/officeDocument/2006/relationships/hyperlink" Target="https://www.researchgate.net/publication/259390108_Interim_Management_Utilization_Firm_Flexibility" TargetMode="External"/><Relationship Id="rId85" Type="http://schemas.openxmlformats.org/officeDocument/2006/relationships/hyperlink" Target="https://www.learningdisabilitytoday.co.uk/news/premier-inn-expands-its-thrive-programme-for-inclusive-employment/" TargetMode="External"/><Relationship Id="rId12" Type="http://schemas.openxmlformats.org/officeDocument/2006/relationships/hyperlink" Target="https://www.tandfonline.com/doi/full/10.1080/13683500.2024.2381241" TargetMode="External"/><Relationship Id="rId17" Type="http://schemas.openxmlformats.org/officeDocument/2006/relationships/hyperlink" Target="https://dspace.stir.ac.uk/bitstream/1893/988/1/A%20Dawson-24032009.pdf" TargetMode="External"/><Relationship Id="rId33" Type="http://schemas.openxmlformats.org/officeDocument/2006/relationships/hyperlink" Target="https://www.mdpi.com/2673-5768/6/2/72" TargetMode="External"/><Relationship Id="rId38" Type="http://schemas.openxmlformats.org/officeDocument/2006/relationships/hyperlink" Target="https://www.researchgate.net/publication/395871572_A_Systematic_Review_of_the_Literature_on_Operations_Management_in_Servuction_Systems" TargetMode="External"/><Relationship Id="rId59" Type="http://schemas.openxmlformats.org/officeDocument/2006/relationships/hyperlink" Target="https://www.tandfonline.com/doi/full/10.1080/14616688.2025.2546533" TargetMode="External"/><Relationship Id="rId103" Type="http://schemas.openxmlformats.org/officeDocument/2006/relationships/hyperlink" Target="https://gtg.webhost.uoradea.ro/PDF/GTG-2spl-2025/gtg.602spl18-1494.pdf" TargetMode="External"/><Relationship Id="rId108" Type="http://schemas.openxmlformats.org/officeDocument/2006/relationships/hyperlink" Target="https://creators.spotify.com/pod/profile/uncaged-show/episodes/UNCAGED-With-Robert-Stevenson-e1njgq9/a-a8giml4" TargetMode="External"/><Relationship Id="rId54" Type="http://schemas.openxmlformats.org/officeDocument/2006/relationships/hyperlink" Target="https://www.researchgate.net/publication/385894147" TargetMode="External"/><Relationship Id="rId70" Type="http://schemas.openxmlformats.org/officeDocument/2006/relationships/hyperlink" Target="https://www.business.com/articles/management-theory-of-charles-handy/" TargetMode="External"/><Relationship Id="rId75" Type="http://schemas.openxmlformats.org/officeDocument/2006/relationships/hyperlink" Target="https://www.ii.co.uk/analysis-commentary/investors-check-out-whitbread-shares-after-these-results-ii536940" TargetMode="External"/><Relationship Id="rId91" Type="http://schemas.openxmlformats.org/officeDocument/2006/relationships/hyperlink" Target="https://www.researchgate.net/publication/228311968_Contented_Workers_in_Inferior_Jobs" TargetMode="External"/><Relationship Id="rId96" Type="http://schemas.openxmlformats.org/officeDocument/2006/relationships/hyperlink" Target="https://sites.les.univr.it/eisic/wp-content/uploads/2023/11/JOVANOVIC-SIMEUNOVIC-GATIC-TULIMIROVIC-SLOVIC.pdf"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emerald.com/ijchm/article/33/10/3752/125511/Hospitality-employees-emotions-in-the-workplace-a" TargetMode="External"/><Relationship Id="rId28" Type="http://schemas.openxmlformats.org/officeDocument/2006/relationships/hyperlink" Target="https://scholar.google.co.uk/citations?user=PahgjSIAAAAJ&amp;hl=en" TargetMode="External"/><Relationship Id="rId49" Type="http://schemas.openxmlformats.org/officeDocument/2006/relationships/hyperlink" Target="https://www.researchgate.net/publication/331243787_Deep_reflexivity_in_tourism_research" TargetMode="External"/><Relationship Id="rId114" Type="http://schemas.openxmlformats.org/officeDocument/2006/relationships/hyperlink" Target="https://cdn.whitbread.co.uk/media/2025/05/Whitbread-PLC-Annual-Report-and-Accounts-2024-25.pdf" TargetMode="External"/><Relationship Id="rId10" Type="http://schemas.openxmlformats.org/officeDocument/2006/relationships/hyperlink" Target="http://libra.article2submit.com/2892/1/Alam2482024AJEBA121233.pdf" TargetMode="External"/><Relationship Id="rId31" Type="http://schemas.openxmlformats.org/officeDocument/2006/relationships/hyperlink" Target="https://journals.vilniustech.lt/index.php/JBEM/article/view/23371" TargetMode="External"/><Relationship Id="rId44" Type="http://schemas.openxmlformats.org/officeDocument/2006/relationships/hyperlink" Target="https://www.tandfonline.com/doi/full/10.1080/13668803.2025.2535735" TargetMode="External"/><Relationship Id="rId52" Type="http://schemas.openxmlformats.org/officeDocument/2006/relationships/hyperlink" Target="https://www.bip.uni.lodz.pl/fileadmin/user_upload/Doctoral_Dissertation-Aygun_Kam.pdf" TargetMode="External"/><Relationship Id="rId60" Type="http://schemas.openxmlformats.org/officeDocument/2006/relationships/hyperlink" Target="https://www.emerald.com/jtf/article/doi/10.1108/JTF-06-2025-0141/" TargetMode="External"/><Relationship Id="rId65" Type="http://schemas.openxmlformats.org/officeDocument/2006/relationships/hyperlink" Target="https://www.emerald.com/ijotb/article/doi/10.1108/IJOTB-11-2024-0229/" TargetMode="External"/><Relationship Id="rId73" Type="http://schemas.openxmlformats.org/officeDocument/2006/relationships/hyperlink" Target="https://sheffield.ac.uk/management/people/academic-staff/weo/damian-hodgson" TargetMode="External"/><Relationship Id="rId78" Type="http://schemas.openxmlformats.org/officeDocument/2006/relationships/hyperlink" Target="https://sites.les.univr.it/eisic/wp-content/uploads/2023/11/JOVANOVIC-SIMEUNOVIC-GATIC-TULIMIROVIC-SLOVIC.pdf" TargetMode="External"/><Relationship Id="rId81" Type="http://schemas.openxmlformats.org/officeDocument/2006/relationships/hyperlink" Target="https://international.appisi.or.id/index.php/momat/article/view/604" TargetMode="External"/><Relationship Id="rId86" Type="http://schemas.openxmlformats.org/officeDocument/2006/relationships/hyperlink" Target="https://www.frontiersin.org/journals/psychology/articles/10.3389/fpsyg.2025.1668413/full" TargetMode="External"/><Relationship Id="rId94" Type="http://schemas.openxmlformats.org/officeDocument/2006/relationships/hyperlink" Target="https://medium.com/@ak.dey/dissecting-the-case-study-research-yin-and-eisenhardt-approaches" TargetMode="External"/><Relationship Id="rId99" Type="http://schemas.openxmlformats.org/officeDocument/2006/relationships/hyperlink" Target="https://www.mdpi.com/2673-8945/6/1/22" TargetMode="External"/><Relationship Id="rId101" Type="http://schemas.openxmlformats.org/officeDocument/2006/relationships/hyperlink" Target="https://qxglobalgroup.com/fa/uk/blog/hospitality-financial-planning-lessons-from-2024-uk-closures/" TargetMode="External"/><Relationship Id="rId4" Type="http://schemas.openxmlformats.org/officeDocument/2006/relationships/webSettings" Target="webSettings.xml"/><Relationship Id="rId9" Type="http://schemas.openxmlformats.org/officeDocument/2006/relationships/hyperlink" Target="https://www.frontiersin.org/journals/psychology/articles/10.3389/fpsyg.2025.1668413/full" TargetMode="External"/><Relationship Id="rId13" Type="http://schemas.openxmlformats.org/officeDocument/2006/relationships/hyperlink" Target="https://www.researchgate.net/publication/361318695_Invigorating_the_hospitality_industry" TargetMode="External"/><Relationship Id="rId18" Type="http://schemas.openxmlformats.org/officeDocument/2006/relationships/hyperlink" Target="https://www.tandfonline.com/doi/full/10.1080/23311975.2025.2612413" TargetMode="External"/><Relationship Id="rId39" Type="http://schemas.openxmlformats.org/officeDocument/2006/relationships/hyperlink" Target="https://www.tandfonline.com/doi/full/10.1080/13032917.2025.2451904" TargetMode="External"/><Relationship Id="rId109" Type="http://schemas.openxmlformats.org/officeDocument/2006/relationships/hyperlink" Target="https://www.pjlss.edu.pk/pdf_files/2025_1/4843-4852.pdf" TargetMode="External"/><Relationship Id="rId34" Type="http://schemas.openxmlformats.org/officeDocument/2006/relationships/hyperlink" Target="https://amity.edu/noida/arjtah/pdf/vol2-2/5.pdf" TargetMode="External"/><Relationship Id="rId50" Type="http://schemas.openxmlformats.org/officeDocument/2006/relationships/hyperlink" Target="https://www.tandfonline.com/doi/full/10.1080/14616688.2025.2546533" TargetMode="External"/><Relationship Id="rId55" Type="http://schemas.openxmlformats.org/officeDocument/2006/relationships/hyperlink" Target="https://www.gov.uk/government/news/495-million-for-melton-mowbray-as-government-funds-vital-new-road-scheme" TargetMode="External"/><Relationship Id="rId76" Type="http://schemas.openxmlformats.org/officeDocument/2006/relationships/hyperlink" Target="https://instituteoflicensing.org/network-news/institute-of-licensing-publishes-martyns-law-guidance/" TargetMode="External"/><Relationship Id="rId97" Type="http://schemas.openxmlformats.org/officeDocument/2006/relationships/hyperlink" Target="https://www.mdpi.com/2076-3387/14/11/297" TargetMode="External"/><Relationship Id="rId104" Type="http://schemas.openxmlformats.org/officeDocument/2006/relationships/hyperlink" Target="https://www.emerald.com/ebhrm/article/13/5/832/" TargetMode="External"/><Relationship Id="rId7" Type="http://schemas.openxmlformats.org/officeDocument/2006/relationships/image" Target="media/image1.gif"/><Relationship Id="rId71" Type="http://schemas.openxmlformats.org/officeDocument/2006/relationships/hyperlink" Target="https://www.researchgate.net/publication/392774166_Resilience_Engineering_-Theoretical_and_Practical_Reflections_on_a_20-Year_Journey" TargetMode="External"/><Relationship Id="rId92" Type="http://schemas.openxmlformats.org/officeDocument/2006/relationships/hyperlink" Target="https://www.mdpi.com/2673-5768/6/2/72" TargetMode="External"/><Relationship Id="rId2" Type="http://schemas.openxmlformats.org/officeDocument/2006/relationships/styles" Target="styles.xml"/><Relationship Id="rId29" Type="http://schemas.openxmlformats.org/officeDocument/2006/relationships/hyperlink" Target="https://www.tandfonline.com/doi/full/10.1080/14780887.2024.2382244" TargetMode="External"/><Relationship Id="rId24" Type="http://schemas.openxmlformats.org/officeDocument/2006/relationships/hyperlink" Target="https://openresearch.surrey.ac.uk/view/pdfCoverPage?instCode=44SUR_INST&amp;filePid=13140259970002346&amp;download=true" TargetMode="External"/><Relationship Id="rId40" Type="http://schemas.openxmlformats.org/officeDocument/2006/relationships/hyperlink" Target="https://www.emerald.com/apjml/article/doi/10.1108/APJML-07-2025-1298/" TargetMode="External"/><Relationship Id="rId45" Type="http://schemas.openxmlformats.org/officeDocument/2006/relationships/hyperlink" Target="https://hrcak.srce.hr/file/485969" TargetMode="External"/><Relationship Id="rId66" Type="http://schemas.openxmlformats.org/officeDocument/2006/relationships/hyperlink" Target="https://www.researchgate.net/publication/370412865_Psychological_contract_of_employees_in_family-owned_hotels" TargetMode="External"/><Relationship Id="rId87" Type="http://schemas.openxmlformats.org/officeDocument/2006/relationships/hyperlink" Target="https://www.emerald.com/ijchm/article/36/10/3300/1225965/" TargetMode="External"/><Relationship Id="rId110" Type="http://schemas.openxmlformats.org/officeDocument/2006/relationships/hyperlink" Target="https://www.ukhospitality.org.uk/guidance/martyns-law/" TargetMode="External"/><Relationship Id="rId115" Type="http://schemas.openxmlformats.org/officeDocument/2006/relationships/hyperlink" Target="https://pmc.ncbi.nlm.nih.gov/articles/PMC9662153/" TargetMode="External"/><Relationship Id="rId61" Type="http://schemas.openxmlformats.org/officeDocument/2006/relationships/hyperlink" Target="https://amity.edu/noida/arjtah/pdf/vol2-2/5.pdf" TargetMode="External"/><Relationship Id="rId82" Type="http://schemas.openxmlformats.org/officeDocument/2006/relationships/hyperlink" Target="https://www.researchgate.net/publication/395254482_Emotional_labor_resources_and_hotel_employee_well-being" TargetMode="External"/><Relationship Id="rId19" Type="http://schemas.openxmlformats.org/officeDocument/2006/relationships/hyperlink" Target="https://gtg.webhost.uoradea.ro/PDF/GTG-2spl-2025/gtg.602spl18-1494.pdf" TargetMode="External"/><Relationship Id="rId14" Type="http://schemas.openxmlformats.org/officeDocument/2006/relationships/hyperlink" Target="https://www.cambridge.org/core/journals/the-economic-and-labour-relations-review/" TargetMode="External"/><Relationship Id="rId30" Type="http://schemas.openxmlformats.org/officeDocument/2006/relationships/hyperlink" Target="https://www.researchgate.net/publication/364521966_Insiders_Outsiders_and_Credible_Visitors_in_Research" TargetMode="External"/><Relationship Id="rId35" Type="http://schemas.openxmlformats.org/officeDocument/2006/relationships/hyperlink" Target="https://www.canarytechnologies.com/post/hotel-checklists" TargetMode="External"/><Relationship Id="rId56" Type="http://schemas.openxmlformats.org/officeDocument/2006/relationships/hyperlink" Target="https://www.pjlss.edu.pk/pdf_files/2025_1/4843-4852.pdf" TargetMode="External"/><Relationship Id="rId77" Type="http://schemas.openxmlformats.org/officeDocument/2006/relationships/hyperlink" Target="https://uk.investing.com/news/earnings/whitbread-q3-sales-rise-2-as-uk-and-germany-accommodation-demand-increases-4450118" TargetMode="External"/><Relationship Id="rId100" Type="http://schemas.openxmlformats.org/officeDocument/2006/relationships/hyperlink" Target="https://www.pwc.co.uk/industries/hospitality-leisure/insights/uk-hotels-forecast.html" TargetMode="External"/><Relationship Id="rId105" Type="http://schemas.openxmlformats.org/officeDocument/2006/relationships/hyperlink" Target="https://journalwjarr.com/sites/default/files/fulltext_pdf/WJARR-2026-0097.pdf" TargetMode="External"/><Relationship Id="rId8" Type="http://schemas.openxmlformats.org/officeDocument/2006/relationships/hyperlink" Target="https://www.preprints.org/manuscript/202504.0207" TargetMode="External"/><Relationship Id="rId51" Type="http://schemas.openxmlformats.org/officeDocument/2006/relationships/hyperlink" Target="https://www.emerald.com/jmp/article/doi/10.1108/JMP-10-2023-0608/" TargetMode="External"/><Relationship Id="rId72" Type="http://schemas.openxmlformats.org/officeDocument/2006/relationships/hyperlink" Target="https://pubsonline.informs.org/doi/10.1287/mksc.21.3.294.140" TargetMode="External"/><Relationship Id="rId93" Type="http://schemas.openxmlformats.org/officeDocument/2006/relationships/hyperlink" Target="https://www.mews.com/en/blog/cross-training-in-hospitality-industry" TargetMode="External"/><Relationship Id="rId98" Type="http://schemas.openxmlformats.org/officeDocument/2006/relationships/hyperlink" Target="https://www.personio.com/references/case-study-premier-inn/" TargetMode="External"/><Relationship Id="rId3" Type="http://schemas.openxmlformats.org/officeDocument/2006/relationships/settings" Target="settings.xml"/><Relationship Id="rId25" Type="http://schemas.openxmlformats.org/officeDocument/2006/relationships/hyperlink" Target="https://pmc.ncbi.nlm.nih.gov/articles/PMC12849995/" TargetMode="External"/><Relationship Id="rId46" Type="http://schemas.openxmlformats.org/officeDocument/2006/relationships/hyperlink" Target="https://www.tandfonline.com/doi/pdf/10.1080/22243534.2021.2007589" TargetMode="External"/><Relationship Id="rId67" Type="http://schemas.openxmlformats.org/officeDocument/2006/relationships/hyperlink" Target="https://hrcak.srce.hr/file/485969" TargetMode="External"/><Relationship Id="rId116" Type="http://schemas.openxmlformats.org/officeDocument/2006/relationships/footer" Target="footer1.xml"/><Relationship Id="rId20" Type="http://schemas.openxmlformats.org/officeDocument/2006/relationships/hyperlink" Target="https://www.researchgate.net/publication/281393516_Performance_labour_flexibility_and_migrant_workers_in_hotels" TargetMode="External"/><Relationship Id="rId41" Type="http://schemas.openxmlformats.org/officeDocument/2006/relationships/hyperlink" Target="https://www.cambridge.org/core/services/aop-cambridge-core/content/" TargetMode="External"/><Relationship Id="rId62" Type="http://schemas.openxmlformats.org/officeDocument/2006/relationships/hyperlink" Target="https://eprints.bournemouth.ac.uk/40842/1/CHME25_EE%20Paper.pdf" TargetMode="External"/><Relationship Id="rId83" Type="http://schemas.openxmlformats.org/officeDocument/2006/relationships/hyperlink" Target="https://www.researchgate.net/publication/259828282_Barriers_and_Challenges_in_the_application_of_Six_Sigma_in_Hospitality_Industry_Some_observations_and_findings" TargetMode="External"/><Relationship Id="rId88" Type="http://schemas.openxmlformats.org/officeDocument/2006/relationships/hyperlink" Target="https://www.scribd.com/document/781483844/The-human-resource-architecture-model" TargetMode="External"/><Relationship Id="rId111" Type="http://schemas.openxmlformats.org/officeDocument/2006/relationships/hyperlink" Target="https://vegsoc.org/pie-awards-2026-judging/" TargetMode="External"/><Relationship Id="rId15" Type="http://schemas.openxmlformats.org/officeDocument/2006/relationships/hyperlink" Target="https://www.researchgate.net/publication/371115340_Employee_Satisfaction_Service_Profit_Chain" TargetMode="External"/><Relationship Id="rId36" Type="http://schemas.openxmlformats.org/officeDocument/2006/relationships/hyperlink" Target="https://ejtr.vumk.eu/index.php/about/article/download/3861/697/11402" TargetMode="External"/><Relationship Id="rId57" Type="http://schemas.openxmlformats.org/officeDocument/2006/relationships/hyperlink" Target="https://www.tandfonline.com/doi/full/10.1080/15022250.2025.2499287" TargetMode="External"/><Relationship Id="rId106" Type="http://schemas.openxmlformats.org/officeDocument/2006/relationships/hyperlink" Target="https://pmc.ncbi.nlm.nih.gov/articles/PMC99898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630</TotalTime>
  <Pages>44</Pages>
  <Words>12517</Words>
  <Characters>71352</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57</cp:revision>
  <dcterms:created xsi:type="dcterms:W3CDTF">2026-02-15T10:04:00Z</dcterms:created>
  <dcterms:modified xsi:type="dcterms:W3CDTF">2026-03-05T23:51:00Z</dcterms:modified>
</cp:coreProperties>
</file>