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491122"/>
        <w:docPartObj>
          <w:docPartGallery w:val="Cover Pages"/>
          <w:docPartUnique/>
        </w:docPartObj>
      </w:sdtPr>
      <w:sdtEndPr/>
      <w:sdtContent>
        <w:p w14:paraId="43387CBE" w14:textId="4BC25FDB" w:rsidR="00986CB8" w:rsidRDefault="00986CB8">
          <w:r>
            <w:rPr>
              <w:noProof/>
            </w:rPr>
            <mc:AlternateContent>
              <mc:Choice Requires="wpg">
                <w:drawing>
                  <wp:anchor distT="0" distB="0" distL="114300" distR="114300" simplePos="0" relativeHeight="251659264" behindDoc="1" locked="0" layoutInCell="1" allowOverlap="1" wp14:anchorId="69165C9D" wp14:editId="19EBD9D7">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C82780" w14:textId="77777777" w:rsidR="00986CB8" w:rsidRDefault="00986CB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FD5149F" w14:textId="3E349117" w:rsidR="00986CB8" w:rsidRDefault="00986CB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jADE BROWN -2319007</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C851AAA" w14:textId="47F64E58" w:rsidR="00986CB8" w:rsidRDefault="00F52C61">
                                      <w:pPr>
                                        <w:pStyle w:val="NoSpacing"/>
                                        <w:spacing w:before="120"/>
                                        <w:rPr>
                                          <w:color w:val="156082" w:themeColor="accent1"/>
                                          <w:sz w:val="36"/>
                                          <w:szCs w:val="36"/>
                                        </w:rPr>
                                      </w:pPr>
                                      <w:r>
                                        <w:rPr>
                                          <w:color w:val="156082" w:themeColor="accent1"/>
                                          <w:sz w:val="36"/>
                                          <w:szCs w:val="36"/>
                                        </w:rPr>
                                        <w:t>CONTRACT LAW</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165C9D"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7AC82780" w14:textId="77777777" w:rsidR="00986CB8" w:rsidRDefault="00986CB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FD5149F" w14:textId="3E349117" w:rsidR="00986CB8" w:rsidRDefault="00986CB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jADE BROWN -2319007</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C851AAA" w14:textId="47F64E58" w:rsidR="00986CB8" w:rsidRDefault="00F52C61">
                                <w:pPr>
                                  <w:pStyle w:val="NoSpacing"/>
                                  <w:spacing w:before="120"/>
                                  <w:rPr>
                                    <w:color w:val="156082" w:themeColor="accent1"/>
                                    <w:sz w:val="36"/>
                                    <w:szCs w:val="36"/>
                                  </w:rPr>
                                </w:pPr>
                                <w:r>
                                  <w:rPr>
                                    <w:color w:val="156082" w:themeColor="accent1"/>
                                    <w:sz w:val="36"/>
                                    <w:szCs w:val="36"/>
                                  </w:rPr>
                                  <w:t>CONTRACT LAW</w:t>
                                </w:r>
                              </w:p>
                            </w:sdtContent>
                          </w:sdt>
                        </w:txbxContent>
                      </v:textbox>
                    </v:shape>
                    <w10:wrap anchorx="page" anchory="page"/>
                  </v:group>
                </w:pict>
              </mc:Fallback>
            </mc:AlternateContent>
          </w:r>
        </w:p>
        <w:p w14:paraId="037C4C41" w14:textId="14785732" w:rsidR="00986CB8" w:rsidRDefault="00986CB8">
          <w:r>
            <w:br w:type="page"/>
          </w:r>
        </w:p>
      </w:sdtContent>
    </w:sdt>
    <w:p w14:paraId="105A0626" w14:textId="1A4C7DA1" w:rsidR="00EE40CC" w:rsidRPr="00674AE8" w:rsidRDefault="00EE40CC" w:rsidP="00EE40CC">
      <w:r w:rsidRPr="00674AE8">
        <w:lastRenderedPageBreak/>
        <w:t>Dear Mr. Smith</w:t>
      </w:r>
    </w:p>
    <w:p w14:paraId="1EC7335E" w14:textId="47BE8CC3" w:rsidR="00EE40CC" w:rsidRPr="00FD2B38" w:rsidRDefault="00EE40CC" w:rsidP="00EE40CC">
      <w:r w:rsidRPr="00674AE8">
        <w:t xml:space="preserve">I hope this letter finds you well. I am writing to formally address our recent discussions regarding the potential tenancy of your flat. After viewing your flat and expressing my interest in renting it, you offered to let the property to me for £500 per month, commencing on 1st September 2025. The following day, I emailed you to finalise the details, confirming my acceptance of your terms and arrangements for the deposit, which was subsequently transferred to you. However, you have now informed me that the flat has been rented to another party who offered a higher deposit. Given the nature of our communications and the commitments that were seemingly made, I have taken the step of seeking legal advice to ascertain whether a legally binding contract was </w:t>
      </w:r>
      <w:r w:rsidRPr="00FD2B38">
        <w:t>formed between us.</w:t>
      </w:r>
    </w:p>
    <w:p w14:paraId="5B0A5F4F" w14:textId="77777777" w:rsidR="00EE40CC" w:rsidRPr="00FD2B38" w:rsidRDefault="00EE40CC" w:rsidP="00EE40CC">
      <w:r w:rsidRPr="00FD2B38">
        <w:t>The purpose of this letter is to outline the key legal principles governing contract formation and to evaluate whether an enforceable agreement exists in our case.</w:t>
      </w:r>
    </w:p>
    <w:p w14:paraId="030A519E" w14:textId="77777777" w:rsidR="0076020A" w:rsidRPr="00FD2B38" w:rsidRDefault="0076020A" w:rsidP="0076020A">
      <w:r w:rsidRPr="00FD2B38">
        <w:rPr>
          <w:b/>
          <w:bCs/>
        </w:rPr>
        <w:t>Elements of a Legally Binding Contract</w:t>
      </w:r>
    </w:p>
    <w:p w14:paraId="3DE9BE37" w14:textId="77777777" w:rsidR="0076020A" w:rsidRPr="00FD2B38" w:rsidRDefault="0076020A" w:rsidP="0076020A">
      <w:r w:rsidRPr="00FD2B38">
        <w:t>For a contract to be legally enforceable, certain key elements must be present:</w:t>
      </w:r>
    </w:p>
    <w:p w14:paraId="4B331714" w14:textId="77777777" w:rsidR="0076020A" w:rsidRPr="00FD2B38" w:rsidRDefault="0076020A" w:rsidP="0076020A">
      <w:pPr>
        <w:numPr>
          <w:ilvl w:val="0"/>
          <w:numId w:val="1"/>
        </w:numPr>
      </w:pPr>
      <w:r w:rsidRPr="00FD2B38">
        <w:t>Offer – A clear statement of terms by one party intending to be bound if accepted.</w:t>
      </w:r>
    </w:p>
    <w:p w14:paraId="0209359B" w14:textId="77777777" w:rsidR="0076020A" w:rsidRPr="00FD2B38" w:rsidRDefault="0076020A" w:rsidP="0076020A">
      <w:pPr>
        <w:numPr>
          <w:ilvl w:val="0"/>
          <w:numId w:val="1"/>
        </w:numPr>
      </w:pPr>
      <w:r w:rsidRPr="00FD2B38">
        <w:t>Acceptance – An unqualified agreement to those terms.</w:t>
      </w:r>
    </w:p>
    <w:p w14:paraId="365A3EE5" w14:textId="77777777" w:rsidR="0076020A" w:rsidRPr="00FD2B38" w:rsidRDefault="0076020A" w:rsidP="0076020A">
      <w:pPr>
        <w:numPr>
          <w:ilvl w:val="0"/>
          <w:numId w:val="1"/>
        </w:numPr>
      </w:pPr>
      <w:r w:rsidRPr="00FD2B38">
        <w:t>Consideration – Something of value exchanged between the parties.</w:t>
      </w:r>
    </w:p>
    <w:p w14:paraId="3F2BAAE4" w14:textId="77777777" w:rsidR="0076020A" w:rsidRPr="00FD2B38" w:rsidRDefault="0076020A" w:rsidP="0076020A">
      <w:pPr>
        <w:numPr>
          <w:ilvl w:val="0"/>
          <w:numId w:val="1"/>
        </w:numPr>
      </w:pPr>
      <w:r w:rsidRPr="00FD2B38">
        <w:t>Intention to Create Legal Relations – A commitment to be legally bound.</w:t>
      </w:r>
    </w:p>
    <w:p w14:paraId="7EB90F48" w14:textId="5EE2BF66" w:rsidR="00661D3E" w:rsidRPr="00FD2B38" w:rsidRDefault="0076020A" w:rsidP="00122841">
      <w:pPr>
        <w:pStyle w:val="ListParagraph"/>
        <w:numPr>
          <w:ilvl w:val="0"/>
          <w:numId w:val="1"/>
        </w:numPr>
      </w:pPr>
      <w:r w:rsidRPr="00FD2B38">
        <w:t xml:space="preserve">Capacity to Contract – The legal ability of both parties to enter a contract </w:t>
      </w:r>
      <w:r w:rsidR="00661D3E" w:rsidRPr="00FD2B38">
        <w:t>(</w:t>
      </w:r>
      <w:r w:rsidR="00BA21EA" w:rsidRPr="00FD2B38">
        <w:t>Quinn,</w:t>
      </w:r>
      <w:r w:rsidR="00135CE5" w:rsidRPr="00FD2B38">
        <w:t xml:space="preserve"> </w:t>
      </w:r>
      <w:r w:rsidR="00BA21EA" w:rsidRPr="00FD2B38">
        <w:t>2019, p</w:t>
      </w:r>
      <w:r w:rsidR="00963BA6" w:rsidRPr="00FD2B38">
        <w:t>.</w:t>
      </w:r>
      <w:r w:rsidR="00BA21EA" w:rsidRPr="00FD2B38">
        <w:t xml:space="preserve"> 1</w:t>
      </w:r>
      <w:r w:rsidR="00135CE5" w:rsidRPr="00FD2B38">
        <w:t>)</w:t>
      </w:r>
      <w:r w:rsidR="00122841" w:rsidRPr="00FD2B38">
        <w:t>.</w:t>
      </w:r>
    </w:p>
    <w:p w14:paraId="718FDF04" w14:textId="391DECB2" w:rsidR="008B6C28" w:rsidRPr="00FD2B38" w:rsidRDefault="008B6C28" w:rsidP="008B6C28">
      <w:r w:rsidRPr="00FD2B38">
        <w:t xml:space="preserve">Applying these elements to our agreement are as follows - </w:t>
      </w:r>
    </w:p>
    <w:p w14:paraId="3B4E469D" w14:textId="77777777" w:rsidR="00967675" w:rsidRPr="00FD2B38" w:rsidRDefault="008B6C28" w:rsidP="001E0A7E">
      <w:r w:rsidRPr="00FD2B38">
        <w:rPr>
          <w:b/>
          <w:bCs/>
        </w:rPr>
        <w:t>Offer &amp; Acceptance</w:t>
      </w:r>
      <w:r w:rsidRPr="00FD2B38">
        <w:t xml:space="preserve"> –</w:t>
      </w:r>
    </w:p>
    <w:p w14:paraId="00C7FEB5" w14:textId="7532132F" w:rsidR="002F025D" w:rsidRPr="00FD2B38" w:rsidRDefault="0094194C" w:rsidP="001E0A7E">
      <w:r w:rsidRPr="00FD2B38">
        <w:t>One route to an agreement is</w:t>
      </w:r>
      <w:r w:rsidR="004A09A3" w:rsidRPr="00FD2B38">
        <w:t>,</w:t>
      </w:r>
      <w:r w:rsidRPr="00FD2B38">
        <w:t xml:space="preserve"> invitation </w:t>
      </w:r>
      <w:r w:rsidR="007736F0" w:rsidRPr="00FD2B38">
        <w:t>+ offer + acceptance, a</w:t>
      </w:r>
      <w:r w:rsidR="00967675" w:rsidRPr="00FD2B38">
        <w:t>n offer is different from an invitation to treat. If the person making the statement clearly intends to be bound by its acceptance, then it is considered an offer, and once accepted, a binding contract is formed. In general, advertisements of any kind are regarded as invitations to treat rather than offers</w:t>
      </w:r>
      <w:r w:rsidR="007B70D1" w:rsidRPr="00FD2B38">
        <w:t xml:space="preserve"> (Merkin and Sainter,</w:t>
      </w:r>
      <w:r w:rsidR="002B477A" w:rsidRPr="00FD2B38">
        <w:t xml:space="preserve"> </w:t>
      </w:r>
      <w:r w:rsidR="007B70D1" w:rsidRPr="00FD2B38">
        <w:t>201</w:t>
      </w:r>
      <w:r w:rsidR="005D5917" w:rsidRPr="00FD2B38">
        <w:t>9</w:t>
      </w:r>
      <w:r w:rsidR="00822ADC" w:rsidRPr="00FD2B38">
        <w:t xml:space="preserve">, p. 25) </w:t>
      </w:r>
      <w:r w:rsidR="007479F0" w:rsidRPr="00FD2B38">
        <w:t>‘</w:t>
      </w:r>
      <w:r w:rsidR="00822ADC" w:rsidRPr="00FD2B38">
        <w:t>Partridge v Crittenden</w:t>
      </w:r>
      <w:r w:rsidR="007479F0" w:rsidRPr="00FD2B38">
        <w:t>’</w:t>
      </w:r>
      <w:r w:rsidR="00822ADC" w:rsidRPr="00FD2B38">
        <w:t xml:space="preserve"> </w:t>
      </w:r>
      <w:r w:rsidR="007449DA" w:rsidRPr="00FD2B38">
        <w:t>(</w:t>
      </w:r>
      <w:r w:rsidR="00822ADC" w:rsidRPr="00FD2B38">
        <w:t>1968</w:t>
      </w:r>
      <w:r w:rsidR="007449DA" w:rsidRPr="00FD2B38">
        <w:t>)</w:t>
      </w:r>
      <w:r w:rsidR="002B477A" w:rsidRPr="00FD2B38">
        <w:t>.</w:t>
      </w:r>
    </w:p>
    <w:p w14:paraId="2F6E7524" w14:textId="7A4B7BB5" w:rsidR="001E0A7E" w:rsidRPr="00FD2B38" w:rsidRDefault="00C2647E" w:rsidP="001E0A7E">
      <w:r w:rsidRPr="00FD2B38">
        <w:t xml:space="preserve">A contract is formed when </w:t>
      </w:r>
      <w:r w:rsidR="001E11D2" w:rsidRPr="00FD2B38">
        <w:t xml:space="preserve">an </w:t>
      </w:r>
      <w:r w:rsidRPr="00FD2B38">
        <w:t xml:space="preserve">offer that is accepted by the person to whom it was made. An offer is essentially a statement, either written or spoken, expressing a willingness to be bound by its terms. The rules of offer and acceptance are generally applicable to all contracts, not just some. </w:t>
      </w:r>
      <w:r w:rsidR="001E11D2" w:rsidRPr="00FD2B38">
        <w:t xml:space="preserve">In </w:t>
      </w:r>
      <w:r w:rsidR="000E7E6C" w:rsidRPr="00FD2B38">
        <w:t xml:space="preserve">law you </w:t>
      </w:r>
      <w:r w:rsidRPr="00FD2B38">
        <w:t>don’t need to search for a strict offer and acceptance</w:t>
      </w:r>
      <w:r w:rsidR="00AD7B62" w:rsidRPr="00FD2B38">
        <w:t xml:space="preserve"> </w:t>
      </w:r>
      <w:r w:rsidRPr="00FD2B38">
        <w:t xml:space="preserve">instead, </w:t>
      </w:r>
      <w:r w:rsidR="000E7E6C" w:rsidRPr="00FD2B38">
        <w:t xml:space="preserve">the courts will </w:t>
      </w:r>
      <w:r w:rsidRPr="00FD2B38">
        <w:t xml:space="preserve">look at the overall correspondence and the actions of the parties involved. If it’s clear from their communication and behaviour that they have reached an agreement on all essential terms and intended for it to be binding, then </w:t>
      </w:r>
      <w:r w:rsidRPr="00FD2B38">
        <w:lastRenderedPageBreak/>
        <w:t>there is a legally binding contract, even if all formalities haven’t been followed</w:t>
      </w:r>
      <w:r w:rsidR="002E281A" w:rsidRPr="00FD2B38">
        <w:t xml:space="preserve">. </w:t>
      </w:r>
      <w:r w:rsidR="00851F6F" w:rsidRPr="00FD2B38">
        <w:t>For</w:t>
      </w:r>
      <w:r w:rsidR="004D723F" w:rsidRPr="00FD2B38">
        <w:t xml:space="preserve"> this to be a valid acceptance it must mirror the original offer </w:t>
      </w:r>
      <w:r w:rsidR="00662206" w:rsidRPr="00FD2B38">
        <w:t xml:space="preserve">that was made </w:t>
      </w:r>
      <w:r w:rsidR="00C061E7" w:rsidRPr="00FD2B38">
        <w:t>(</w:t>
      </w:r>
      <w:r w:rsidR="0034050C" w:rsidRPr="00FD2B38">
        <w:t>McKendrick</w:t>
      </w:r>
      <w:r w:rsidR="00C061E7" w:rsidRPr="00FD2B38">
        <w:t>,</w:t>
      </w:r>
      <w:r w:rsidR="0034050C" w:rsidRPr="00FD2B38">
        <w:t xml:space="preserve"> </w:t>
      </w:r>
      <w:r w:rsidR="00C761A3" w:rsidRPr="00FD2B38">
        <w:t>2016, p</w:t>
      </w:r>
      <w:r w:rsidR="00DD41FF" w:rsidRPr="00FD2B38">
        <w:t>.</w:t>
      </w:r>
      <w:r w:rsidR="00C761A3" w:rsidRPr="00FD2B38">
        <w:t xml:space="preserve"> 44)</w:t>
      </w:r>
      <w:r w:rsidR="00DD41FF" w:rsidRPr="00FD2B38">
        <w:t xml:space="preserve"> </w:t>
      </w:r>
      <w:r w:rsidR="00AF2F60" w:rsidRPr="00FD2B38">
        <w:t>‘</w:t>
      </w:r>
      <w:r w:rsidR="00DD41FF" w:rsidRPr="00FD2B38">
        <w:t>Butler Machine Tool Co Ltd v Ex-cell-o</w:t>
      </w:r>
      <w:r w:rsidR="005C1857" w:rsidRPr="00FD2B38">
        <w:t xml:space="preserve"> Corp</w:t>
      </w:r>
      <w:r w:rsidR="00AF2F60" w:rsidRPr="00FD2B38">
        <w:t xml:space="preserve"> </w:t>
      </w:r>
      <w:r w:rsidR="005C1857" w:rsidRPr="00FD2B38">
        <w:t>(England)</w:t>
      </w:r>
      <w:r w:rsidR="00656B99" w:rsidRPr="00FD2B38">
        <w:t>’</w:t>
      </w:r>
      <w:r w:rsidR="005C1857" w:rsidRPr="00FD2B38">
        <w:t xml:space="preserve"> </w:t>
      </w:r>
      <w:r w:rsidR="00656B99" w:rsidRPr="00FD2B38">
        <w:t>(</w:t>
      </w:r>
      <w:r w:rsidR="005C1857" w:rsidRPr="00FD2B38">
        <w:t>1979</w:t>
      </w:r>
      <w:r w:rsidR="00656B99" w:rsidRPr="00FD2B38">
        <w:t>)</w:t>
      </w:r>
      <w:r w:rsidR="00EC0656">
        <w:t>.</w:t>
      </w:r>
    </w:p>
    <w:p w14:paraId="3CF429A3" w14:textId="10E187B3" w:rsidR="00AF1954" w:rsidRPr="00FD2B38" w:rsidRDefault="00D37BD2" w:rsidP="008B6C28">
      <w:r w:rsidRPr="00FD2B38">
        <w:t>Once an offer has been accepted, it cannot be withdrawn, and a legally binding contract is formed between the parties</w:t>
      </w:r>
      <w:r w:rsidR="008B2145" w:rsidRPr="00FD2B38">
        <w:t xml:space="preserve"> </w:t>
      </w:r>
      <w:r w:rsidR="00313E74" w:rsidRPr="00FD2B38">
        <w:t>‘</w:t>
      </w:r>
      <w:r w:rsidR="00484EC0" w:rsidRPr="00FD2B38">
        <w:t xml:space="preserve">Carlill v </w:t>
      </w:r>
      <w:r w:rsidR="00313E74" w:rsidRPr="00FD2B38">
        <w:t>C</w:t>
      </w:r>
      <w:r w:rsidR="00484EC0" w:rsidRPr="00FD2B38">
        <w:t xml:space="preserve">arbolic </w:t>
      </w:r>
      <w:r w:rsidR="00313E74" w:rsidRPr="00FD2B38">
        <w:t>S</w:t>
      </w:r>
      <w:r w:rsidR="00484EC0" w:rsidRPr="00FD2B38">
        <w:t xml:space="preserve">moke </w:t>
      </w:r>
      <w:r w:rsidR="00313E74" w:rsidRPr="00FD2B38">
        <w:t>B</w:t>
      </w:r>
      <w:r w:rsidR="00484EC0" w:rsidRPr="00FD2B38">
        <w:t xml:space="preserve">all </w:t>
      </w:r>
      <w:r w:rsidR="00313E74" w:rsidRPr="00FD2B38">
        <w:t>Company’</w:t>
      </w:r>
      <w:r w:rsidR="00484EC0" w:rsidRPr="00FD2B38">
        <w:t xml:space="preserve"> </w:t>
      </w:r>
      <w:r w:rsidR="00313E74" w:rsidRPr="00FD2B38">
        <w:t>(</w:t>
      </w:r>
      <w:r w:rsidR="00484EC0" w:rsidRPr="00FD2B38">
        <w:t>1892</w:t>
      </w:r>
      <w:r w:rsidR="00313E74" w:rsidRPr="00FD2B38">
        <w:t>)</w:t>
      </w:r>
      <w:r w:rsidR="008B2145" w:rsidRPr="00FD2B38">
        <w:t xml:space="preserve">. </w:t>
      </w:r>
      <w:r w:rsidR="00157858" w:rsidRPr="00FD2B38">
        <w:t>I</w:t>
      </w:r>
      <w:r w:rsidR="008B2145" w:rsidRPr="00FD2B38">
        <w:t>nstantaneous methods of communication are treated similarly to face</w:t>
      </w:r>
      <w:r w:rsidR="00985BB4" w:rsidRPr="00FD2B38">
        <w:t xml:space="preserve"> </w:t>
      </w:r>
      <w:r w:rsidR="008B2145" w:rsidRPr="00FD2B38">
        <w:t>to</w:t>
      </w:r>
      <w:r w:rsidR="00985BB4" w:rsidRPr="00FD2B38">
        <w:t xml:space="preserve"> </w:t>
      </w:r>
      <w:r w:rsidR="008B2145" w:rsidRPr="00FD2B38">
        <w:t xml:space="preserve">face conversations, meaning acceptance occurs at the time and place it is received </w:t>
      </w:r>
      <w:r w:rsidR="009B60B3" w:rsidRPr="00FD2B38">
        <w:t>‘</w:t>
      </w:r>
      <w:r w:rsidR="008B2145" w:rsidRPr="00FD2B38">
        <w:t xml:space="preserve">Entores </w:t>
      </w:r>
      <w:r w:rsidR="006A7B7F" w:rsidRPr="00FD2B38">
        <w:t>v Miles Far East Corporation</w:t>
      </w:r>
      <w:r w:rsidR="00985BB4" w:rsidRPr="00FD2B38">
        <w:t>’ (1955)</w:t>
      </w:r>
      <w:r w:rsidR="006A7B7F" w:rsidRPr="00FD2B38">
        <w:t xml:space="preserve">. </w:t>
      </w:r>
      <w:r w:rsidR="001C5BAF" w:rsidRPr="00FD2B38">
        <w:t>The general rule states that acceptance must be communicated and received by the offeror. However, the postal rule is an exception to this</w:t>
      </w:r>
      <w:r w:rsidR="003D3AF8" w:rsidRPr="00FD2B38">
        <w:t xml:space="preserve">, </w:t>
      </w:r>
      <w:r w:rsidR="001C5BAF" w:rsidRPr="00FD2B38">
        <w:t>a contract is formed the moment the letter of acceptance is posted</w:t>
      </w:r>
      <w:r w:rsidR="003D3AF8" w:rsidRPr="00FD2B38">
        <w:t xml:space="preserve"> </w:t>
      </w:r>
      <w:r w:rsidR="00AE75A4" w:rsidRPr="00FD2B38">
        <w:t>‘</w:t>
      </w:r>
      <w:r w:rsidR="001C5BAF" w:rsidRPr="00FD2B38">
        <w:t>Adams v Lindsell</w:t>
      </w:r>
      <w:r w:rsidR="00AE75A4" w:rsidRPr="00FD2B38">
        <w:t xml:space="preserve">’ </w:t>
      </w:r>
      <w:r w:rsidR="001C5BAF" w:rsidRPr="00FD2B38">
        <w:t>(1818). This means that once acceptance has been posted, the</w:t>
      </w:r>
      <w:r w:rsidR="001C5BAF" w:rsidRPr="00674AE8">
        <w:t xml:space="preserve"> </w:t>
      </w:r>
      <w:r w:rsidR="001C5BAF" w:rsidRPr="00401E44">
        <w:t>offer can no longer be revoked</w:t>
      </w:r>
      <w:r w:rsidR="00986DD8" w:rsidRPr="00401E44">
        <w:t xml:space="preserve"> (Defossez,</w:t>
      </w:r>
      <w:r w:rsidR="001915B0" w:rsidRPr="00401E44">
        <w:t xml:space="preserve"> </w:t>
      </w:r>
      <w:r w:rsidR="00317069" w:rsidRPr="00401E44">
        <w:t xml:space="preserve">2019). </w:t>
      </w:r>
      <w:r w:rsidR="008558F2" w:rsidRPr="00401E44">
        <w:t xml:space="preserve">I would also like to add that under the </w:t>
      </w:r>
      <w:r w:rsidR="008558F2" w:rsidRPr="00401E44">
        <w:rPr>
          <w:i/>
          <w:iCs/>
        </w:rPr>
        <w:t>Electronic Commerce (EC Directive) Regulations 2002, Section 11,</w:t>
      </w:r>
      <w:r w:rsidR="008558F2" w:rsidRPr="00401E44">
        <w:t xml:space="preserve"> a contract is formed when the customer is able to access the seller's acknowledgment of receipt.</w:t>
      </w:r>
      <w:r w:rsidR="00AF1954" w:rsidRPr="00FD2B38">
        <w:t xml:space="preserve"> </w:t>
      </w:r>
    </w:p>
    <w:p w14:paraId="4DC2C021" w14:textId="70C568A3" w:rsidR="00F326CF" w:rsidRPr="00FD2B38" w:rsidRDefault="00AF1954" w:rsidP="008B6C28">
      <w:r w:rsidRPr="00FD2B38">
        <w:t>Looking at all the evidence and fact</w:t>
      </w:r>
      <w:r w:rsidR="00F52C61">
        <w:t>s</w:t>
      </w:r>
      <w:r w:rsidR="00F477D7" w:rsidRPr="00FD2B38">
        <w:t xml:space="preserve">, </w:t>
      </w:r>
      <w:r w:rsidRPr="00FD2B38">
        <w:t>I can conclude that y</w:t>
      </w:r>
      <w:r w:rsidR="008B6C28" w:rsidRPr="00FD2B38">
        <w:t xml:space="preserve">our verbal statement to myself that I could rent your flat for £500 per month from September 1st constitutes an offer in contract law. </w:t>
      </w:r>
      <w:r w:rsidRPr="00FD2B38">
        <w:t xml:space="preserve">As an </w:t>
      </w:r>
      <w:r w:rsidR="008B6C28" w:rsidRPr="00FD2B38">
        <w:t>offer is a definite promise that can be accepted, and in this case, your statement satisfies that criteria. The courts</w:t>
      </w:r>
      <w:r w:rsidRPr="00FD2B38">
        <w:t xml:space="preserve"> will</w:t>
      </w:r>
      <w:r w:rsidR="008B6C28" w:rsidRPr="00FD2B38">
        <w:t xml:space="preserve"> require that a valid agreement is established through a clear offer made by one party and the unequivocal acceptance of that offer by the other.</w:t>
      </w:r>
      <w:r w:rsidR="00756FE5" w:rsidRPr="00FD2B38">
        <w:t xml:space="preserve"> </w:t>
      </w:r>
      <w:r w:rsidR="00FF5672" w:rsidRPr="00FD2B38">
        <w:t>‘</w:t>
      </w:r>
      <w:r w:rsidR="008B6C28" w:rsidRPr="00FD2B38">
        <w:t>Harvel</w:t>
      </w:r>
      <w:r w:rsidR="00837BA2" w:rsidRPr="00FD2B38">
        <w:t>a</w:t>
      </w:r>
      <w:r w:rsidR="008B6C28" w:rsidRPr="00FD2B38">
        <w:t xml:space="preserve"> Investments</w:t>
      </w:r>
      <w:r w:rsidR="00837BA2" w:rsidRPr="00FD2B38">
        <w:t xml:space="preserve"> Ltd</w:t>
      </w:r>
      <w:r w:rsidR="008B6C28" w:rsidRPr="00FD2B38">
        <w:t xml:space="preserve"> v Royal Trust Co of Canada</w:t>
      </w:r>
      <w:r w:rsidR="00FF5672" w:rsidRPr="00FD2B38">
        <w:t>’</w:t>
      </w:r>
      <w:r w:rsidR="008B6C28" w:rsidRPr="00FD2B38">
        <w:t xml:space="preserve"> </w:t>
      </w:r>
      <w:r w:rsidR="00756FE5" w:rsidRPr="00FD2B38">
        <w:t>(</w:t>
      </w:r>
      <w:r w:rsidR="008B6C28" w:rsidRPr="00FD2B38">
        <w:t>1985</w:t>
      </w:r>
      <w:r w:rsidR="00756FE5" w:rsidRPr="00FD2B38">
        <w:t>)</w:t>
      </w:r>
      <w:r w:rsidR="008B6C28" w:rsidRPr="00FD2B38">
        <w:t xml:space="preserve"> </w:t>
      </w:r>
      <w:r w:rsidR="00FF5672" w:rsidRPr="00FD2B38">
        <w:t>‘</w:t>
      </w:r>
      <w:r w:rsidR="002C6D43" w:rsidRPr="00FD2B38">
        <w:t xml:space="preserve">G </w:t>
      </w:r>
      <w:r w:rsidR="008B6C28" w:rsidRPr="00FD2B38">
        <w:t xml:space="preserve">Scammell </w:t>
      </w:r>
      <w:r w:rsidR="00140FD4" w:rsidRPr="00FD2B38">
        <w:t xml:space="preserve">and </w:t>
      </w:r>
      <w:r w:rsidR="008B6C28" w:rsidRPr="00FD2B38">
        <w:t xml:space="preserve">Nephew Ltd v </w:t>
      </w:r>
      <w:r w:rsidR="00140FD4" w:rsidRPr="00FD2B38">
        <w:t xml:space="preserve">HC&amp;JG </w:t>
      </w:r>
      <w:r w:rsidR="008B6C28" w:rsidRPr="00FD2B38">
        <w:t>Ouston</w:t>
      </w:r>
      <w:r w:rsidR="00FF5672" w:rsidRPr="00FD2B38">
        <w:t>’ (</w:t>
      </w:r>
      <w:r w:rsidR="008B6C28" w:rsidRPr="00FD2B38">
        <w:t>1941</w:t>
      </w:r>
      <w:r w:rsidR="00FF5672" w:rsidRPr="00FD2B38">
        <w:t>)</w:t>
      </w:r>
      <w:r w:rsidR="008C1C2C" w:rsidRPr="00FD2B38">
        <w:t xml:space="preserve">. </w:t>
      </w:r>
      <w:r w:rsidRPr="00FD2B38">
        <w:t>T</w:t>
      </w:r>
      <w:r w:rsidR="003549F9" w:rsidRPr="00FD2B38">
        <w:t xml:space="preserve">he courts </w:t>
      </w:r>
      <w:r w:rsidR="008B6C28" w:rsidRPr="00FD2B38">
        <w:t>will look for external evidence of an agreement</w:t>
      </w:r>
      <w:r w:rsidRPr="00FD2B38">
        <w:t xml:space="preserve">, </w:t>
      </w:r>
      <w:r w:rsidR="009D7A42" w:rsidRPr="00FD2B38">
        <w:t>as</w:t>
      </w:r>
      <w:r w:rsidRPr="00FD2B38">
        <w:t xml:space="preserve"> o</w:t>
      </w:r>
      <w:r w:rsidR="008B6C28" w:rsidRPr="00FD2B38">
        <w:t>ne party must either intend or appear to intend</w:t>
      </w:r>
      <w:r w:rsidR="003549F9" w:rsidRPr="00FD2B38">
        <w:t xml:space="preserve"> </w:t>
      </w:r>
      <w:r w:rsidR="008B6C28" w:rsidRPr="00FD2B38">
        <w:t>to make an offer that the other party can accept</w:t>
      </w:r>
      <w:r w:rsidR="009D7A42" w:rsidRPr="00FD2B38">
        <w:t xml:space="preserve"> which</w:t>
      </w:r>
      <w:r w:rsidR="008B6C28" w:rsidRPr="00FD2B38">
        <w:t xml:space="preserve"> </w:t>
      </w:r>
      <w:r w:rsidR="008C1C2C" w:rsidRPr="00FD2B38">
        <w:t>in</w:t>
      </w:r>
      <w:r w:rsidR="008B6C28" w:rsidRPr="00FD2B38">
        <w:t xml:space="preserve"> simple terms</w:t>
      </w:r>
      <w:r w:rsidR="00471575">
        <w:t xml:space="preserve">, </w:t>
      </w:r>
      <w:r w:rsidR="00E32FCC">
        <w:t>o</w:t>
      </w:r>
      <w:r w:rsidR="008B6C28" w:rsidRPr="00FD2B38">
        <w:t xml:space="preserve">ffer + </w:t>
      </w:r>
      <w:r w:rsidR="00E32FCC">
        <w:t>a</w:t>
      </w:r>
      <w:r w:rsidR="008B6C28" w:rsidRPr="00FD2B38">
        <w:t xml:space="preserve">cceptance = </w:t>
      </w:r>
      <w:r w:rsidR="00E32FCC">
        <w:t>a</w:t>
      </w:r>
      <w:r w:rsidR="008B6C28" w:rsidRPr="00FD2B38">
        <w:t xml:space="preserve">greement </w:t>
      </w:r>
      <w:r w:rsidR="00E63B0B" w:rsidRPr="00FD2B38">
        <w:t>‘</w:t>
      </w:r>
      <w:r w:rsidR="008B6C28" w:rsidRPr="00FD2B38">
        <w:t>Gibson v Manchester City Council</w:t>
      </w:r>
      <w:r w:rsidR="00E63B0B" w:rsidRPr="00FD2B38">
        <w:t>’</w:t>
      </w:r>
      <w:r w:rsidR="008B6C28" w:rsidRPr="00FD2B38">
        <w:t xml:space="preserve"> </w:t>
      </w:r>
      <w:r w:rsidR="00E63B0B" w:rsidRPr="00FD2B38">
        <w:t>(</w:t>
      </w:r>
      <w:r w:rsidR="008B6C28" w:rsidRPr="00FD2B38">
        <w:t>1979</w:t>
      </w:r>
      <w:r w:rsidR="00E63B0B" w:rsidRPr="00FD2B38">
        <w:t>)</w:t>
      </w:r>
      <w:r w:rsidR="006C1ADF" w:rsidRPr="00FD2B38">
        <w:t>.</w:t>
      </w:r>
      <w:r w:rsidR="008B6C28" w:rsidRPr="00FD2B38">
        <w:t xml:space="preserve"> My email stating, “I agree to the terms. I will arrange the deposit payment by the end of this week,” demonstrates clear acceptance of your offer. </w:t>
      </w:r>
      <w:r w:rsidR="00F326CF" w:rsidRPr="00FD2B38">
        <w:t>A</w:t>
      </w:r>
      <w:r w:rsidR="008B6C28" w:rsidRPr="00FD2B38">
        <w:t>cceptance via electronic communication such as email</w:t>
      </w:r>
      <w:r w:rsidR="00F326CF" w:rsidRPr="00FD2B38">
        <w:t xml:space="preserve"> </w:t>
      </w:r>
      <w:r w:rsidR="008B6C28" w:rsidRPr="00FD2B38">
        <w:t>is effective when received by the offeror</w:t>
      </w:r>
      <w:r w:rsidR="00F326CF" w:rsidRPr="00FD2B38">
        <w:t xml:space="preserve"> </w:t>
      </w:r>
      <w:r w:rsidR="00023F67" w:rsidRPr="00FD2B38">
        <w:t>‘</w:t>
      </w:r>
      <w:r w:rsidR="00F326CF" w:rsidRPr="00FD2B38">
        <w:t>Taylor v Laird</w:t>
      </w:r>
      <w:r w:rsidR="00023F67" w:rsidRPr="00FD2B38">
        <w:t>’</w:t>
      </w:r>
      <w:r w:rsidR="00F326CF" w:rsidRPr="00FD2B38">
        <w:t xml:space="preserve"> </w:t>
      </w:r>
      <w:r w:rsidR="00023F67" w:rsidRPr="00FD2B38">
        <w:t>(</w:t>
      </w:r>
      <w:r w:rsidR="00F326CF" w:rsidRPr="00FD2B38">
        <w:t>1856</w:t>
      </w:r>
      <w:r w:rsidR="00023F67" w:rsidRPr="00FD2B38">
        <w:t>) ‘</w:t>
      </w:r>
      <w:r w:rsidR="00072555" w:rsidRPr="00FD2B38">
        <w:t>Brinkibon v Stahag Stahl</w:t>
      </w:r>
      <w:r w:rsidR="00F43A91" w:rsidRPr="00FD2B38">
        <w:t xml:space="preserve"> und Stah</w:t>
      </w:r>
      <w:r w:rsidR="00C303BA" w:rsidRPr="00FD2B38">
        <w:t>lwarenhandels’</w:t>
      </w:r>
      <w:r w:rsidR="00072555" w:rsidRPr="00FD2B38">
        <w:t xml:space="preserve"> Gmb</w:t>
      </w:r>
      <w:r w:rsidR="00C303BA" w:rsidRPr="00FD2B38">
        <w:t>H</w:t>
      </w:r>
      <w:r w:rsidR="00072555" w:rsidRPr="00FD2B38">
        <w:t xml:space="preserve"> (1983)</w:t>
      </w:r>
      <w:r w:rsidR="00104531" w:rsidRPr="00FD2B38">
        <w:t>.</w:t>
      </w:r>
    </w:p>
    <w:p w14:paraId="6D2A1D8C" w14:textId="63EBE016" w:rsidR="00707262" w:rsidRPr="00FD2B38" w:rsidRDefault="00707262" w:rsidP="00707262">
      <w:pPr>
        <w:rPr>
          <w:b/>
          <w:bCs/>
        </w:rPr>
      </w:pPr>
      <w:r w:rsidRPr="00FD2B38">
        <w:rPr>
          <w:b/>
          <w:bCs/>
        </w:rPr>
        <w:t>Consideration</w:t>
      </w:r>
    </w:p>
    <w:p w14:paraId="03BC8869" w14:textId="783BF418" w:rsidR="00707262" w:rsidRPr="00FD2B38" w:rsidRDefault="00707262" w:rsidP="00707262">
      <w:r w:rsidRPr="00FD2B38">
        <w:t>Consideration refers to the exchange of value between parties in a contract</w:t>
      </w:r>
      <w:r w:rsidR="00395B5A" w:rsidRPr="00FD2B38">
        <w:t xml:space="preserve">. It </w:t>
      </w:r>
      <w:r w:rsidRPr="00FD2B38">
        <w:t>can be viewed from two perspectives</w:t>
      </w:r>
      <w:r w:rsidR="00395B5A" w:rsidRPr="00FD2B38">
        <w:t xml:space="preserve">, </w:t>
      </w:r>
      <w:r w:rsidRPr="00FD2B38">
        <w:t xml:space="preserve">either as a benefit to one party or as a detriment to the other. </w:t>
      </w:r>
      <w:r w:rsidR="00145E65" w:rsidRPr="00FD2B38">
        <w:t>I</w:t>
      </w:r>
      <w:r w:rsidRPr="00FD2B38">
        <w:t>n bilatera</w:t>
      </w:r>
      <w:r w:rsidR="00145E65" w:rsidRPr="00FD2B38">
        <w:t>l contracts</w:t>
      </w:r>
      <w:r w:rsidRPr="00FD2B38">
        <w:t>, both parties make reciprocal promises, meaning that each party assumes obligations towards the other</w:t>
      </w:r>
      <w:r w:rsidR="00DD48EF" w:rsidRPr="00FD2B38">
        <w:t xml:space="preserve"> (</w:t>
      </w:r>
      <w:r w:rsidR="00F15ED7" w:rsidRPr="00FD2B38">
        <w:t>Taylor</w:t>
      </w:r>
      <w:r w:rsidR="00B336B1" w:rsidRPr="00FD2B38">
        <w:t xml:space="preserve"> and </w:t>
      </w:r>
      <w:r w:rsidR="00F15ED7" w:rsidRPr="00FD2B38">
        <w:t>Taylor,</w:t>
      </w:r>
      <w:r w:rsidR="00582005" w:rsidRPr="00FD2B38">
        <w:t xml:space="preserve"> </w:t>
      </w:r>
      <w:r w:rsidR="00F15ED7" w:rsidRPr="00FD2B38">
        <w:t>2021</w:t>
      </w:r>
      <w:r w:rsidR="00582005" w:rsidRPr="00FD2B38">
        <w:t>, p</w:t>
      </w:r>
      <w:r w:rsidR="00963BA6" w:rsidRPr="00FD2B38">
        <w:t>.</w:t>
      </w:r>
      <w:r w:rsidR="00582005" w:rsidRPr="00FD2B38">
        <w:t xml:space="preserve"> 72</w:t>
      </w:r>
      <w:r w:rsidR="00F15ED7" w:rsidRPr="00FD2B38">
        <w:t>)</w:t>
      </w:r>
      <w:r w:rsidR="006852C3">
        <w:t>.</w:t>
      </w:r>
    </w:p>
    <w:p w14:paraId="019692DE" w14:textId="5A444927" w:rsidR="002F3095" w:rsidRPr="00FD2B38" w:rsidRDefault="00F13D0E" w:rsidP="00707262">
      <w:r w:rsidRPr="00FD2B38">
        <w:t>In most contracts, both parties exchange promises, meaning each party acts as both a promisor and a promisee. Executory consideration arises when the parties make commitments that involve future actions. A bilateral contract typically includes executory consideration</w:t>
      </w:r>
      <w:r w:rsidR="006852C3">
        <w:t xml:space="preserve"> </w:t>
      </w:r>
      <w:r w:rsidR="009F1A62" w:rsidRPr="00FD2B38">
        <w:t>‘</w:t>
      </w:r>
      <w:proofErr w:type="spellStart"/>
      <w:r w:rsidRPr="00FD2B38">
        <w:t>Lampleigh</w:t>
      </w:r>
      <w:proofErr w:type="spellEnd"/>
      <w:r w:rsidRPr="00FD2B38">
        <w:t xml:space="preserve"> v Braithwait</w:t>
      </w:r>
      <w:r w:rsidR="009F1A62" w:rsidRPr="00FD2B38">
        <w:t>’</w:t>
      </w:r>
      <w:r w:rsidRPr="00FD2B38">
        <w:t xml:space="preserve"> </w:t>
      </w:r>
      <w:r w:rsidR="009F1A62" w:rsidRPr="00FD2B38">
        <w:t>(</w:t>
      </w:r>
      <w:r w:rsidRPr="00FD2B38">
        <w:t>1615</w:t>
      </w:r>
      <w:r w:rsidR="009F1A62" w:rsidRPr="00FD2B38">
        <w:t>)</w:t>
      </w:r>
      <w:r w:rsidRPr="00FD2B38">
        <w:t>.</w:t>
      </w:r>
      <w:r w:rsidR="004359F8" w:rsidRPr="00FD2B38">
        <w:t xml:space="preserve"> Consideration must also be sufficient, meaning the courts will not assess whether it is adequate, if something of </w:t>
      </w:r>
      <w:r w:rsidR="004359F8" w:rsidRPr="00FD2B38">
        <w:lastRenderedPageBreak/>
        <w:t xml:space="preserve">value is given in exchange for a promise </w:t>
      </w:r>
      <w:r w:rsidR="00B421CB" w:rsidRPr="00FD2B38">
        <w:t>‘</w:t>
      </w:r>
      <w:r w:rsidR="004359F8" w:rsidRPr="00FD2B38">
        <w:t>Thomas v Thomas</w:t>
      </w:r>
      <w:r w:rsidR="00B421CB" w:rsidRPr="00FD2B38">
        <w:t>’</w:t>
      </w:r>
      <w:r w:rsidR="004359F8" w:rsidRPr="00FD2B38">
        <w:t xml:space="preserve"> </w:t>
      </w:r>
      <w:r w:rsidR="00B421CB" w:rsidRPr="00FD2B38">
        <w:t>(</w:t>
      </w:r>
      <w:r w:rsidR="004359F8" w:rsidRPr="00FD2B38">
        <w:t>1842</w:t>
      </w:r>
      <w:r w:rsidR="00B421CB" w:rsidRPr="00FD2B38">
        <w:t>)</w:t>
      </w:r>
      <w:r w:rsidR="004359F8" w:rsidRPr="00FD2B38">
        <w:t xml:space="preserve"> and </w:t>
      </w:r>
      <w:r w:rsidR="00B421CB" w:rsidRPr="00FD2B38">
        <w:t>‘</w:t>
      </w:r>
      <w:r w:rsidR="004359F8" w:rsidRPr="00FD2B38">
        <w:t>Chappell &amp; Co v Nestlé Co Ltd</w:t>
      </w:r>
      <w:r w:rsidR="00B421CB" w:rsidRPr="00FD2B38">
        <w:t>’</w:t>
      </w:r>
      <w:r w:rsidR="004359F8" w:rsidRPr="00FD2B38">
        <w:t xml:space="preserve"> </w:t>
      </w:r>
      <w:r w:rsidR="00B421CB" w:rsidRPr="00FD2B38">
        <w:t>(</w:t>
      </w:r>
      <w:r w:rsidR="004359F8" w:rsidRPr="00FD2B38">
        <w:t>1960</w:t>
      </w:r>
      <w:r w:rsidR="00B421CB" w:rsidRPr="00FD2B38">
        <w:t>)</w:t>
      </w:r>
      <w:r w:rsidR="004359F8" w:rsidRPr="00FD2B38">
        <w:t>.</w:t>
      </w:r>
    </w:p>
    <w:p w14:paraId="76C8E590" w14:textId="529187CF" w:rsidR="00707262" w:rsidRPr="00FD2B38" w:rsidRDefault="00707262" w:rsidP="00707262">
      <w:r w:rsidRPr="00FD2B38">
        <w:t>In this instance, I agreed to pay £500 per month in rent, and in return, you agreed to grant me possession of the property from 1st September 2025. The fact that I not only confirmed my acceptance of your offer but also transferred the deposit further reinforces the existence of mutual consideration. This demonstrates that both of us treated this as a binding agreement, as my payment signified my commitment to the tenancy while also indicating your acceptance of me as the tenant. Here, I conferred a financial benefit upon you in the form of the deposit while also undertaking a financial commitment on my end, reinforcing the argument that a legally binding agreement was in place between us</w:t>
      </w:r>
      <w:r w:rsidR="00E463D1" w:rsidRPr="00FD2B38">
        <w:t xml:space="preserve"> </w:t>
      </w:r>
      <w:r w:rsidR="00C15802" w:rsidRPr="00FD2B38">
        <w:t>‘</w:t>
      </w:r>
      <w:r w:rsidR="00E463D1" w:rsidRPr="00FD2B38">
        <w:t>Currie v Misa</w:t>
      </w:r>
      <w:r w:rsidR="00C15802" w:rsidRPr="00FD2B38">
        <w:t>’</w:t>
      </w:r>
      <w:r w:rsidR="00E463D1" w:rsidRPr="00FD2B38">
        <w:t xml:space="preserve"> </w:t>
      </w:r>
      <w:r w:rsidR="00C15802" w:rsidRPr="00FD2B38">
        <w:t>(</w:t>
      </w:r>
      <w:r w:rsidR="00E463D1" w:rsidRPr="00FD2B38">
        <w:t>187</w:t>
      </w:r>
      <w:r w:rsidR="00C15802" w:rsidRPr="00FD2B38">
        <w:t>6).</w:t>
      </w:r>
    </w:p>
    <w:p w14:paraId="0563F8FC" w14:textId="241D834F" w:rsidR="00133402" w:rsidRPr="00FD2B38" w:rsidRDefault="00133402" w:rsidP="00707262">
      <w:pPr>
        <w:rPr>
          <w:b/>
          <w:bCs/>
        </w:rPr>
      </w:pPr>
      <w:r w:rsidRPr="00FD2B38">
        <w:rPr>
          <w:b/>
          <w:bCs/>
        </w:rPr>
        <w:t xml:space="preserve">Intention to create legal </w:t>
      </w:r>
      <w:r w:rsidR="00AE6023" w:rsidRPr="00FD2B38">
        <w:rPr>
          <w:b/>
          <w:bCs/>
        </w:rPr>
        <w:t>relations</w:t>
      </w:r>
    </w:p>
    <w:p w14:paraId="48E176E2" w14:textId="381D97B0" w:rsidR="00133402" w:rsidRPr="00FD2B38" w:rsidRDefault="00133402" w:rsidP="00133402">
      <w:r w:rsidRPr="00FD2B38">
        <w:t>For a contract to be legally binding, both parties must have had a clear intention to create legal relations at the time the agreement was made. This intention ensures that the commitments exchanged are enforceable by law rather than being considered merely social or informal arrangements</w:t>
      </w:r>
      <w:r w:rsidR="002E20E2" w:rsidRPr="00FD2B38">
        <w:t xml:space="preserve"> </w:t>
      </w:r>
      <w:r w:rsidR="00331957" w:rsidRPr="00FD2B38">
        <w:t>(Merkin</w:t>
      </w:r>
      <w:r w:rsidR="002B477A" w:rsidRPr="00FD2B38">
        <w:t xml:space="preserve"> </w:t>
      </w:r>
      <w:r w:rsidR="00EA14C0" w:rsidRPr="00FD2B38">
        <w:t xml:space="preserve">and </w:t>
      </w:r>
      <w:r w:rsidR="00331957" w:rsidRPr="00FD2B38">
        <w:t>Sainter</w:t>
      </w:r>
      <w:r w:rsidR="00EA14C0" w:rsidRPr="00FD2B38">
        <w:t>, 2021, p. 145</w:t>
      </w:r>
      <w:r w:rsidR="00331957" w:rsidRPr="00FD2B38">
        <w:t>)</w:t>
      </w:r>
      <w:r w:rsidR="00EA14C0" w:rsidRPr="00FD2B38">
        <w:t>.</w:t>
      </w:r>
      <w:r w:rsidR="00331957" w:rsidRPr="00FD2B38">
        <w:t xml:space="preserve"> </w:t>
      </w:r>
      <w:r w:rsidR="000A4504" w:rsidRPr="00FD2B38">
        <w:t>‘</w:t>
      </w:r>
      <w:r w:rsidR="00331957" w:rsidRPr="00FD2B38">
        <w:t xml:space="preserve">Esso Petroleum </w:t>
      </w:r>
      <w:r w:rsidR="00FD6F9A" w:rsidRPr="00FD2B38">
        <w:t>L</w:t>
      </w:r>
      <w:r w:rsidR="00331957" w:rsidRPr="00FD2B38">
        <w:t xml:space="preserve">td v </w:t>
      </w:r>
      <w:r w:rsidR="00FD6F9A" w:rsidRPr="00FD2B38">
        <w:t>C</w:t>
      </w:r>
      <w:r w:rsidR="00331957" w:rsidRPr="00FD2B38">
        <w:t xml:space="preserve">ustoms and </w:t>
      </w:r>
      <w:r w:rsidR="00FD6F9A" w:rsidRPr="00FD2B38">
        <w:t>E</w:t>
      </w:r>
      <w:r w:rsidR="00331957" w:rsidRPr="00FD2B38">
        <w:t>x</w:t>
      </w:r>
      <w:r w:rsidR="00FD6F9A" w:rsidRPr="00FD2B38">
        <w:t>c</w:t>
      </w:r>
      <w:r w:rsidR="00331957" w:rsidRPr="00FD2B38">
        <w:t xml:space="preserve">ise </w:t>
      </w:r>
      <w:r w:rsidR="00FD6F9A" w:rsidRPr="00FD2B38">
        <w:t>C</w:t>
      </w:r>
      <w:r w:rsidR="00331957" w:rsidRPr="00FD2B38">
        <w:t>ommissioners</w:t>
      </w:r>
      <w:r w:rsidR="00FD6F9A" w:rsidRPr="00FD2B38">
        <w:t>’</w:t>
      </w:r>
      <w:r w:rsidR="00331957" w:rsidRPr="00FD2B38">
        <w:t xml:space="preserve"> (1976)</w:t>
      </w:r>
      <w:r w:rsidR="00FD6F9A" w:rsidRPr="00FD2B38">
        <w:t>.</w:t>
      </w:r>
      <w:r w:rsidR="00331957" w:rsidRPr="00FD2B38">
        <w:t xml:space="preserve"> </w:t>
      </w:r>
    </w:p>
    <w:p w14:paraId="20FE55A8" w14:textId="1B9298F5" w:rsidR="00133402" w:rsidRPr="00FD2B38" w:rsidRDefault="009D7D56" w:rsidP="00133402">
      <w:r w:rsidRPr="009D7D56">
        <w:t>In our discussions about renting the property, the presumption of an intention to create legal relations is strong. Unlike personal agreements, tenancy arrangements are legally recognised unless proven otherwise. Since we agreed on key terms</w:t>
      </w:r>
      <w:r w:rsidR="00813AC8" w:rsidRPr="00FD2B38">
        <w:t xml:space="preserve"> which were </w:t>
      </w:r>
      <w:r w:rsidRPr="009D7D56">
        <w:t>rent, start date, and deposit</w:t>
      </w:r>
      <w:r w:rsidR="00813AC8" w:rsidRPr="00FD2B38">
        <w:t xml:space="preserve"> </w:t>
      </w:r>
      <w:r w:rsidRPr="009D7D56">
        <w:t>it is reasonable to assume we intended a binding contract.</w:t>
      </w:r>
      <w:r w:rsidR="00C27366" w:rsidRPr="00FD2B38">
        <w:t xml:space="preserve"> </w:t>
      </w:r>
      <w:r w:rsidRPr="009D7D56">
        <w:t xml:space="preserve">My commitment was reinforced by finalising terms and paying a deposit, which you accepted, showing mutual agreement beyond preliminary talks. In commercial dealings, the burden of proving no legal intent lies with the disputing party. Without clear evidence otherwise, our agreement should be considered legally </w:t>
      </w:r>
      <w:r w:rsidR="00BB012A" w:rsidRPr="00FD2B38">
        <w:t>binding ‘Edwards</w:t>
      </w:r>
      <w:r w:rsidR="00F7475A" w:rsidRPr="00FD2B38">
        <w:t xml:space="preserve"> v</w:t>
      </w:r>
      <w:r w:rsidR="00BB012A" w:rsidRPr="00FD2B38">
        <w:t xml:space="preserve"> </w:t>
      </w:r>
      <w:r w:rsidR="00F7475A" w:rsidRPr="00FD2B38">
        <w:t>Skyways Ltd</w:t>
      </w:r>
      <w:r w:rsidR="00BB012A" w:rsidRPr="00FD2B38">
        <w:t>’</w:t>
      </w:r>
      <w:r w:rsidR="00F7475A" w:rsidRPr="00FD2B38">
        <w:t xml:space="preserve"> </w:t>
      </w:r>
      <w:r w:rsidR="00BB012A" w:rsidRPr="00FD2B38">
        <w:t>(</w:t>
      </w:r>
      <w:r w:rsidR="00F7475A" w:rsidRPr="00FD2B38">
        <w:t>1964</w:t>
      </w:r>
      <w:r w:rsidR="00BB012A" w:rsidRPr="00FD2B38">
        <w:t>)</w:t>
      </w:r>
      <w:r w:rsidR="007D7FE1" w:rsidRPr="00FD2B38">
        <w:t>.</w:t>
      </w:r>
    </w:p>
    <w:p w14:paraId="5828D4B0" w14:textId="237A16D1" w:rsidR="00133402" w:rsidRPr="00FD2B38" w:rsidRDefault="00133402" w:rsidP="00133402">
      <w:r w:rsidRPr="00FD2B38">
        <w:t>Furthermore, in practical terms, rental agreements are typically conducted with a clear understanding that they carry legal obligations for both landlord and tenant. If there had been any intention for this arrangement to remain informal or non-binding, this should have been explicitly stated at the time. However, no such disclaimer was made, and all actions taken</w:t>
      </w:r>
      <w:r w:rsidR="00AE6023" w:rsidRPr="00FD2B38">
        <w:t xml:space="preserve">, </w:t>
      </w:r>
      <w:r w:rsidRPr="00FD2B38">
        <w:t>including my payment of the deposit</w:t>
      </w:r>
      <w:r w:rsidR="00AE6023" w:rsidRPr="00FD2B38">
        <w:t xml:space="preserve"> </w:t>
      </w:r>
      <w:r w:rsidRPr="00FD2B38">
        <w:t>indicate</w:t>
      </w:r>
      <w:r w:rsidR="00AF6D76" w:rsidRPr="00FD2B38">
        <w:t>s</w:t>
      </w:r>
      <w:r w:rsidRPr="00FD2B38">
        <w:t xml:space="preserve"> that </w:t>
      </w:r>
      <w:r w:rsidR="00AF6D76" w:rsidRPr="00FD2B38">
        <w:t xml:space="preserve">we </w:t>
      </w:r>
      <w:r w:rsidRPr="00FD2B38">
        <w:t>viewed this as a formal commitment</w:t>
      </w:r>
      <w:r w:rsidR="007765B5" w:rsidRPr="00FD2B38">
        <w:t xml:space="preserve"> </w:t>
      </w:r>
      <w:r w:rsidR="000D7508" w:rsidRPr="00FD2B38">
        <w:t>(McKendrick, 2016</w:t>
      </w:r>
      <w:r w:rsidR="003C288C" w:rsidRPr="00FD2B38">
        <w:t>, p.</w:t>
      </w:r>
      <w:r w:rsidR="00CD028A" w:rsidRPr="00FD2B38">
        <w:t xml:space="preserve"> 285</w:t>
      </w:r>
      <w:r w:rsidR="000D7508" w:rsidRPr="00FD2B38">
        <w:t>)</w:t>
      </w:r>
      <w:r w:rsidR="00043762" w:rsidRPr="00FD2B38">
        <w:t xml:space="preserve"> </w:t>
      </w:r>
      <w:r w:rsidR="005711D1" w:rsidRPr="00FD2B38">
        <w:t>‘</w:t>
      </w:r>
      <w:r w:rsidR="00A51684" w:rsidRPr="00FD2B38">
        <w:t>Merritt</w:t>
      </w:r>
      <w:r w:rsidR="009C2AA6" w:rsidRPr="00FD2B38">
        <w:t xml:space="preserve"> v Merritt</w:t>
      </w:r>
      <w:r w:rsidR="005711D1" w:rsidRPr="00FD2B38">
        <w:t>’</w:t>
      </w:r>
      <w:r w:rsidR="009C2AA6" w:rsidRPr="00FD2B38">
        <w:t xml:space="preserve"> (1970)</w:t>
      </w:r>
      <w:r w:rsidR="00DA63BA" w:rsidRPr="00FD2B38">
        <w:t xml:space="preserve"> </w:t>
      </w:r>
      <w:r w:rsidR="007579AE" w:rsidRPr="00FD2B38">
        <w:t>‘Errington v Errington &amp; Woods’ (1952)</w:t>
      </w:r>
      <w:r w:rsidR="00CD028A" w:rsidRPr="00FD2B38">
        <w:t xml:space="preserve"> </w:t>
      </w:r>
      <w:r w:rsidR="00D41770" w:rsidRPr="00FD2B38">
        <w:t>‘Attrill</w:t>
      </w:r>
      <w:r w:rsidR="00CD028A" w:rsidRPr="00FD2B38">
        <w:t xml:space="preserve"> v Dresdner Kleinwort Ltd</w:t>
      </w:r>
      <w:r w:rsidR="00D41770" w:rsidRPr="00FD2B38">
        <w:t>’ (2013).</w:t>
      </w:r>
    </w:p>
    <w:p w14:paraId="317448CB" w14:textId="7397F8A3" w:rsidR="00133402" w:rsidRPr="00FD2B38" w:rsidRDefault="00AE6023" w:rsidP="00133402">
      <w:r w:rsidRPr="00FD2B38">
        <w:t>Considering</w:t>
      </w:r>
      <w:r w:rsidR="00133402" w:rsidRPr="00FD2B38">
        <w:t xml:space="preserve"> this, I believe there is a strong basis to assert that our agreement was made with the requisite intention to create legal relations</w:t>
      </w:r>
      <w:r w:rsidR="00D41770" w:rsidRPr="00FD2B38">
        <w:t>.</w:t>
      </w:r>
    </w:p>
    <w:p w14:paraId="69756170" w14:textId="77777777" w:rsidR="00B96F73" w:rsidRPr="00FD2B38" w:rsidRDefault="00B96F73" w:rsidP="00B96F73">
      <w:pPr>
        <w:rPr>
          <w:b/>
          <w:bCs/>
        </w:rPr>
      </w:pPr>
      <w:r w:rsidRPr="00FD2B38">
        <w:rPr>
          <w:b/>
          <w:bCs/>
        </w:rPr>
        <w:t>Capacity to Contract</w:t>
      </w:r>
    </w:p>
    <w:p w14:paraId="32C16567" w14:textId="71DDCA1E" w:rsidR="00C15F36" w:rsidRPr="00FD2B38" w:rsidRDefault="001D55C9" w:rsidP="001D55C9">
      <w:r w:rsidRPr="001D55C9">
        <w:lastRenderedPageBreak/>
        <w:t xml:space="preserve">Capacity refers to a person’s or organisation’s legal ability to </w:t>
      </w:r>
      <w:r w:rsidR="00B723FC" w:rsidRPr="00FD2B38">
        <w:t>enter</w:t>
      </w:r>
      <w:r w:rsidRPr="001D55C9">
        <w:t xml:space="preserve"> a binding contract. Contracts with individuals who have mental capacity are valid if they </w:t>
      </w:r>
      <w:r w:rsidRPr="00FD2B38">
        <w:t>can make</w:t>
      </w:r>
      <w:r w:rsidRPr="001D55C9">
        <w:t xml:space="preserve"> the decision, or if one party lacked capacity but the other was unaware of it</w:t>
      </w:r>
      <w:r w:rsidR="00B723FC" w:rsidRPr="00FD2B38">
        <w:t xml:space="preserve"> (Quinn</w:t>
      </w:r>
      <w:r w:rsidR="006206E0" w:rsidRPr="00FD2B38">
        <w:t xml:space="preserve">, </w:t>
      </w:r>
      <w:r w:rsidR="00694AA3" w:rsidRPr="00FD2B38">
        <w:t>2019, p.57</w:t>
      </w:r>
      <w:r w:rsidR="00B723FC" w:rsidRPr="00FD2B38">
        <w:t>)</w:t>
      </w:r>
      <w:r w:rsidR="001875B8" w:rsidRPr="00FD2B38">
        <w:t xml:space="preserve"> </w:t>
      </w:r>
      <w:r w:rsidR="001913A2" w:rsidRPr="00FD2B38">
        <w:t>‘</w:t>
      </w:r>
      <w:r w:rsidR="001875B8" w:rsidRPr="00FD2B38">
        <w:t xml:space="preserve">Hart v </w:t>
      </w:r>
      <w:r w:rsidR="00D41770" w:rsidRPr="00FD2B38">
        <w:t>O’Connor</w:t>
      </w:r>
      <w:r w:rsidR="001913A2" w:rsidRPr="00FD2B38">
        <w:t>’</w:t>
      </w:r>
      <w:r w:rsidR="001875B8" w:rsidRPr="00FD2B38">
        <w:t xml:space="preserve"> </w:t>
      </w:r>
      <w:r w:rsidR="001913A2" w:rsidRPr="00FD2B38">
        <w:t>(</w:t>
      </w:r>
      <w:r w:rsidR="001875B8" w:rsidRPr="00FD2B38">
        <w:t>1985</w:t>
      </w:r>
      <w:r w:rsidR="001913A2" w:rsidRPr="00FD2B38">
        <w:t>)</w:t>
      </w:r>
      <w:r w:rsidR="001875B8" w:rsidRPr="00FD2B38">
        <w:t xml:space="preserve"> </w:t>
      </w:r>
      <w:r w:rsidR="001913A2" w:rsidRPr="00FD2B38">
        <w:t>‘</w:t>
      </w:r>
      <w:r w:rsidR="001875B8" w:rsidRPr="00FD2B38">
        <w:t>Nash v Inman</w:t>
      </w:r>
      <w:r w:rsidR="001913A2" w:rsidRPr="00FD2B38">
        <w:t>’</w:t>
      </w:r>
      <w:r w:rsidR="001875B8" w:rsidRPr="00FD2B38">
        <w:t xml:space="preserve"> </w:t>
      </w:r>
      <w:r w:rsidR="001913A2" w:rsidRPr="00FD2B38">
        <w:t>(</w:t>
      </w:r>
      <w:r w:rsidR="001875B8" w:rsidRPr="00FD2B38">
        <w:t>1908</w:t>
      </w:r>
      <w:r w:rsidR="001913A2" w:rsidRPr="00FD2B38">
        <w:t>)</w:t>
      </w:r>
      <w:r w:rsidR="004E77CA" w:rsidRPr="00FD2B38">
        <w:t>.</w:t>
      </w:r>
      <w:r w:rsidR="001875B8" w:rsidRPr="00FD2B38">
        <w:t xml:space="preserve"> </w:t>
      </w:r>
      <w:r w:rsidR="0088523C" w:rsidRPr="00FD2B38">
        <w:t xml:space="preserve">In </w:t>
      </w:r>
      <w:r w:rsidR="004E77CA" w:rsidRPr="00FD2B38">
        <w:t xml:space="preserve">our </w:t>
      </w:r>
      <w:r w:rsidR="0088523C" w:rsidRPr="00FD2B38">
        <w:t xml:space="preserve">case, both you and I have the legal capacity to form a contract as I </w:t>
      </w:r>
      <w:r w:rsidR="00BA7246">
        <w:t xml:space="preserve">am a </w:t>
      </w:r>
      <w:r w:rsidR="00814F62" w:rsidRPr="00FD2B38">
        <w:t>student,</w:t>
      </w:r>
      <w:r w:rsidR="0088523C" w:rsidRPr="00FD2B38">
        <w:t xml:space="preserve"> and you </w:t>
      </w:r>
      <w:r w:rsidR="00BA7246">
        <w:t>are</w:t>
      </w:r>
      <w:r w:rsidR="0088523C" w:rsidRPr="00FD2B38">
        <w:t xml:space="preserve"> the legal owner of the property. </w:t>
      </w:r>
    </w:p>
    <w:p w14:paraId="3412C0F5" w14:textId="53B2EA03" w:rsidR="00B96F73" w:rsidRPr="00FD2B38" w:rsidRDefault="00B96F73" w:rsidP="00B96F73">
      <w:r w:rsidRPr="00FD2B38">
        <w:t>Your recent email informing me that the flat has now been rented to someone else, despite my prior acceptance of the agreed terms and my transfer of the deposit, raises serious concerns from a legal standpoint. Based on our communications, there is strong evidence to suggest that a legally binding agreement had already been established before your decision to let the property to another party.</w:t>
      </w:r>
    </w:p>
    <w:p w14:paraId="66B6DAE6" w14:textId="3413E52B" w:rsidR="00674AE8" w:rsidRDefault="000A12C0" w:rsidP="005B2A77">
      <w:r w:rsidRPr="00FD2B38">
        <w:t xml:space="preserve">And as </w:t>
      </w:r>
      <w:r w:rsidR="00EB2259" w:rsidRPr="00FD2B38">
        <w:t xml:space="preserve">already outlined in this letter, </w:t>
      </w:r>
      <w:r w:rsidR="00B96F73" w:rsidRPr="00FD2B38">
        <w:t>once an offer has been made and unequivocally accepted, a legally enforceable contract is generally formed, provided all other key elements</w:t>
      </w:r>
      <w:r w:rsidR="00C60BD6" w:rsidRPr="00FD2B38">
        <w:t xml:space="preserve"> </w:t>
      </w:r>
      <w:r w:rsidR="00B96F73" w:rsidRPr="00FD2B38">
        <w:t>such as consideration and an intention to create legal relations</w:t>
      </w:r>
      <w:r w:rsidR="00C60BD6" w:rsidRPr="00FD2B38">
        <w:t xml:space="preserve"> </w:t>
      </w:r>
      <w:r w:rsidR="00B96F73" w:rsidRPr="00FD2B38">
        <w:t>are also present. In this instance, I accepted your offer on the agreed terms and followed through by making a deposit payment, which further confirms my commitment to the tenancy. This payment not only represents my intention to uphold the agreement but also constitutes part-performance of my obligations under the contract.</w:t>
      </w:r>
      <w:r w:rsidR="00674AE8" w:rsidRPr="00FD2B38">
        <w:t xml:space="preserve"> O</w:t>
      </w:r>
      <w:r w:rsidR="00B96F73" w:rsidRPr="00FD2B38">
        <w:t>nce performance of contractual obligations has commenced</w:t>
      </w:r>
      <w:r w:rsidR="0094778D" w:rsidRPr="00FD2B38">
        <w:t xml:space="preserve"> </w:t>
      </w:r>
      <w:r w:rsidR="00B96F73" w:rsidRPr="00FD2B38">
        <w:t>such as by making a deposit payment</w:t>
      </w:r>
      <w:r w:rsidR="0094778D" w:rsidRPr="00FD2B38">
        <w:t xml:space="preserve"> </w:t>
      </w:r>
      <w:r w:rsidR="00B96F73" w:rsidRPr="00FD2B38">
        <w:t>the offeror cannot simply revoke the agreement unilaterally</w:t>
      </w:r>
      <w:r w:rsidR="00C42F8A" w:rsidRPr="00FD2B38">
        <w:t xml:space="preserve"> ‘Steadman v Steadman’ (1976). </w:t>
      </w:r>
      <w:r w:rsidR="00B96F73" w:rsidRPr="00FD2B38">
        <w:t>By accepting the deposit, you affirmed the agreement and created legitimate expectations that I would take up the tenancy under the agreed terms. Given these circumstances, I seek clarification on how you justify withdrawing from our agreement in favour of another prospective tenant</w:t>
      </w:r>
      <w:r w:rsidR="00FC53CB" w:rsidRPr="00FD2B38">
        <w:t xml:space="preserve"> ‘Bruton v London &amp; Quadrant Housing Trust’ (2000)</w:t>
      </w:r>
      <w:r w:rsidR="00EC0656">
        <w:t>.</w:t>
      </w:r>
    </w:p>
    <w:p w14:paraId="47FDCC39" w14:textId="68490725" w:rsidR="005B2A77" w:rsidRPr="005B2A77" w:rsidRDefault="005B2A77" w:rsidP="005B2A77">
      <w:r w:rsidRPr="00674AE8">
        <w:t xml:space="preserve">As a result of your decision to withdraw from our agreement, I may be entitled to seek specific performance, which would legally compel you to adhere to the original terms of our tenancy agreement. This would require you to honour the commitment made, ensuring that the tenancy proceeds as </w:t>
      </w:r>
      <w:r w:rsidRPr="00FD2B38">
        <w:t>initially agreed</w:t>
      </w:r>
      <w:r w:rsidR="00036F32" w:rsidRPr="00FD2B38">
        <w:t xml:space="preserve"> ‘Beswick v Beswick’ (1968). </w:t>
      </w:r>
      <w:r w:rsidRPr="00FD2B38">
        <w:t xml:space="preserve">Alternatively, I may pursue a claim for damages to recover any financial losses and the inconvenience I have suffered due to your actions. Given that I relied on the certainty of our contract, any costs or disruptions I have incurred </w:t>
      </w:r>
      <w:r w:rsidR="00B123D0" w:rsidRPr="00FD2B38">
        <w:t>because of</w:t>
      </w:r>
      <w:r w:rsidRPr="00FD2B38">
        <w:t xml:space="preserve"> your decision to offer the property to another tenant could further strengthen my legal position</w:t>
      </w:r>
      <w:r w:rsidR="00EA518C" w:rsidRPr="00FD2B38">
        <w:t xml:space="preserve"> (</w:t>
      </w:r>
      <w:r w:rsidR="00260277" w:rsidRPr="00FD2B38">
        <w:t>Quinn</w:t>
      </w:r>
      <w:r w:rsidR="00661635" w:rsidRPr="00FD2B38">
        <w:t xml:space="preserve">, 2019, </w:t>
      </w:r>
      <w:r w:rsidR="00454B72" w:rsidRPr="00FD2B38">
        <w:t>p. 312</w:t>
      </w:r>
      <w:r w:rsidR="00260277" w:rsidRPr="00FD2B38">
        <w:t>)</w:t>
      </w:r>
      <w:r w:rsidR="009A2753" w:rsidRPr="00FD2B38">
        <w:t xml:space="preserve"> </w:t>
      </w:r>
      <w:r w:rsidR="00F065BA" w:rsidRPr="00FD2B38">
        <w:t>‘Robinson v Harman’ (1848).</w:t>
      </w:r>
    </w:p>
    <w:p w14:paraId="2C11657F" w14:textId="77777777" w:rsidR="00A400EB" w:rsidRDefault="00A400EB" w:rsidP="005B2A77"/>
    <w:p w14:paraId="6E908CFB" w14:textId="5D62A2EE" w:rsidR="005B2A77" w:rsidRPr="005B2A77" w:rsidRDefault="005B2A77" w:rsidP="005B2A77">
      <w:r w:rsidRPr="005B2A77">
        <w:t xml:space="preserve">While I am fully prepared to take legal </w:t>
      </w:r>
      <w:r w:rsidR="00B123D0" w:rsidRPr="005B2A77">
        <w:t>action,</w:t>
      </w:r>
      <w:r w:rsidRPr="005B2A77">
        <w:t xml:space="preserve"> if necessary, my preference remains to resolve this matter amicably and in a way that avoids further escalation. I urge you to consider one of the following options:</w:t>
      </w:r>
    </w:p>
    <w:p w14:paraId="3A7D7710" w14:textId="77777777" w:rsidR="005B2A77" w:rsidRPr="005B2A77" w:rsidRDefault="005B2A77" w:rsidP="005B2A77">
      <w:pPr>
        <w:numPr>
          <w:ilvl w:val="0"/>
          <w:numId w:val="2"/>
        </w:numPr>
      </w:pPr>
      <w:r w:rsidRPr="005B2A77">
        <w:lastRenderedPageBreak/>
        <w:t>Honour our original tenancy agreement and proceed with the rental of the flat as initially agreed, ensuring that the terms we discussed are fulfilled.</w:t>
      </w:r>
    </w:p>
    <w:p w14:paraId="7A4D80A4" w14:textId="77777777" w:rsidR="005B2A77" w:rsidRPr="005B2A77" w:rsidRDefault="005B2A77" w:rsidP="005B2A77">
      <w:pPr>
        <w:numPr>
          <w:ilvl w:val="0"/>
          <w:numId w:val="2"/>
        </w:numPr>
      </w:pPr>
      <w:r w:rsidRPr="005B2A77">
        <w:t>Engage in a fair negotiation to compensate me for the inconvenience and financial losses I have faced due to your decision to withdraw from the agreement.</w:t>
      </w:r>
    </w:p>
    <w:p w14:paraId="0A4D1FFF" w14:textId="6D2BB625" w:rsidR="005B2A77" w:rsidRPr="005B2A77" w:rsidRDefault="005B2A77" w:rsidP="005B2A77">
      <w:r w:rsidRPr="005B2A77">
        <w:t xml:space="preserve">I believe that an open and constructive conversation would be the most beneficial approach for both </w:t>
      </w:r>
      <w:r w:rsidR="002F59C1">
        <w:t>of us</w:t>
      </w:r>
      <w:r w:rsidRPr="005B2A77">
        <w:t xml:space="preserve"> </w:t>
      </w:r>
      <w:r w:rsidR="002F59C1">
        <w:t>h</w:t>
      </w:r>
      <w:r w:rsidRPr="005B2A77">
        <w:t xml:space="preserve">owever, if you choose not to address this matter or refuse to engage in meaningful dialogue, I strongly advise you to seek independent legal </w:t>
      </w:r>
      <w:r w:rsidR="002F59C1">
        <w:t>advice</w:t>
      </w:r>
      <w:r w:rsidRPr="005B2A77">
        <w:t>, as I am prepared to take further steps to safeguard my rights under contract law.</w:t>
      </w:r>
    </w:p>
    <w:p w14:paraId="4BD13C66" w14:textId="77777777" w:rsidR="005B2A77" w:rsidRPr="005B2A77" w:rsidRDefault="005B2A77" w:rsidP="005B2A77">
      <w:r w:rsidRPr="005B2A77">
        <w:t>Please let me know how you intend to proceed at your earliest convenience. I remain open to discussing a reasonable resolution but require a timely response to avoid any further complications.</w:t>
      </w:r>
    </w:p>
    <w:p w14:paraId="3506E8D3" w14:textId="77777777" w:rsidR="005B2A77" w:rsidRPr="005B2A77" w:rsidRDefault="005B2A77" w:rsidP="005B2A77">
      <w:r w:rsidRPr="005B2A77">
        <w:t>I look forward to hearing from you soon.</w:t>
      </w:r>
    </w:p>
    <w:p w14:paraId="651EC356" w14:textId="77777777" w:rsidR="005B2A77" w:rsidRPr="005B2A77" w:rsidRDefault="005B2A77" w:rsidP="005B2A77">
      <w:r w:rsidRPr="005B2A77">
        <w:t>Kind regards,</w:t>
      </w:r>
      <w:r w:rsidRPr="005B2A77">
        <w:br/>
        <w:t>Jane</w:t>
      </w:r>
    </w:p>
    <w:p w14:paraId="5CA2827C" w14:textId="77777777" w:rsidR="005B2A77" w:rsidRDefault="005B2A77" w:rsidP="00B96F73"/>
    <w:p w14:paraId="584FE838" w14:textId="77777777" w:rsidR="001A2064" w:rsidRPr="00B96F73" w:rsidRDefault="001A2064" w:rsidP="00B96F73"/>
    <w:p w14:paraId="78438611" w14:textId="77777777" w:rsidR="00B96F73" w:rsidRPr="00133402" w:rsidRDefault="00B96F73" w:rsidP="00133402"/>
    <w:p w14:paraId="4CCCC03E" w14:textId="77777777" w:rsidR="00674AE8" w:rsidRDefault="00674AE8"/>
    <w:p w14:paraId="7090A602" w14:textId="77777777" w:rsidR="00674AE8" w:rsidRDefault="00674AE8"/>
    <w:p w14:paraId="6CEC3F89" w14:textId="77777777" w:rsidR="00674AE8" w:rsidRDefault="00674AE8"/>
    <w:p w14:paraId="5EEC80EA" w14:textId="77777777" w:rsidR="00674AE8" w:rsidRDefault="00674AE8"/>
    <w:p w14:paraId="3A9BB757" w14:textId="77777777" w:rsidR="00674AE8" w:rsidRDefault="00674AE8"/>
    <w:p w14:paraId="2CDF0DBB" w14:textId="77777777" w:rsidR="00A400EB" w:rsidRDefault="00A400EB">
      <w:pPr>
        <w:rPr>
          <w:u w:val="single"/>
        </w:rPr>
      </w:pPr>
    </w:p>
    <w:p w14:paraId="249B5852" w14:textId="77777777" w:rsidR="00A400EB" w:rsidRDefault="00A400EB">
      <w:pPr>
        <w:rPr>
          <w:u w:val="single"/>
        </w:rPr>
      </w:pPr>
    </w:p>
    <w:p w14:paraId="40105336" w14:textId="77777777" w:rsidR="00A400EB" w:rsidRDefault="00A400EB">
      <w:pPr>
        <w:rPr>
          <w:u w:val="single"/>
        </w:rPr>
      </w:pPr>
    </w:p>
    <w:p w14:paraId="52142F25" w14:textId="77777777" w:rsidR="00A400EB" w:rsidRDefault="00A400EB">
      <w:pPr>
        <w:rPr>
          <w:u w:val="single"/>
        </w:rPr>
      </w:pPr>
    </w:p>
    <w:p w14:paraId="4960896D" w14:textId="77777777" w:rsidR="00A400EB" w:rsidRDefault="00A400EB">
      <w:pPr>
        <w:rPr>
          <w:u w:val="single"/>
        </w:rPr>
      </w:pPr>
    </w:p>
    <w:p w14:paraId="5A534A3D" w14:textId="77777777" w:rsidR="00FF6EEB" w:rsidRDefault="00FF6EEB">
      <w:pPr>
        <w:rPr>
          <w:u w:val="single"/>
        </w:rPr>
      </w:pPr>
    </w:p>
    <w:p w14:paraId="55212D88" w14:textId="77777777" w:rsidR="00FF6EEB" w:rsidRDefault="00FF6EEB">
      <w:pPr>
        <w:rPr>
          <w:u w:val="single"/>
        </w:rPr>
      </w:pPr>
    </w:p>
    <w:p w14:paraId="505AA217" w14:textId="77777777" w:rsidR="00FF6EEB" w:rsidRDefault="00FF6EEB">
      <w:pPr>
        <w:rPr>
          <w:u w:val="single"/>
        </w:rPr>
      </w:pPr>
    </w:p>
    <w:p w14:paraId="4EB4ABAA" w14:textId="74DCA95F" w:rsidR="00674AE8" w:rsidRPr="00674AE8" w:rsidRDefault="00674AE8">
      <w:pPr>
        <w:rPr>
          <w:u w:val="single"/>
        </w:rPr>
      </w:pPr>
      <w:r w:rsidRPr="00674AE8">
        <w:rPr>
          <w:u w:val="single"/>
        </w:rPr>
        <w:lastRenderedPageBreak/>
        <w:t>References</w:t>
      </w:r>
    </w:p>
    <w:p w14:paraId="17F00D70" w14:textId="77777777" w:rsidR="008E13B1" w:rsidRPr="00401E44" w:rsidRDefault="008E13B1" w:rsidP="008E13B1">
      <w:pPr>
        <w:rPr>
          <w:i/>
          <w:iCs/>
        </w:rPr>
      </w:pPr>
      <w:r w:rsidRPr="00401E44">
        <w:t xml:space="preserve">‘Adams v Lindsel’ (1818) </w:t>
      </w:r>
      <w:r w:rsidRPr="00401E44">
        <w:rPr>
          <w:i/>
          <w:iCs/>
        </w:rPr>
        <w:t>106 ER 250.</w:t>
      </w:r>
    </w:p>
    <w:p w14:paraId="6688775C" w14:textId="77777777" w:rsidR="004A4589" w:rsidRDefault="004A4589" w:rsidP="004A4589">
      <w:r w:rsidRPr="009224B7">
        <w:t xml:space="preserve">‘Attrill v Dresdner Kleinwort </w:t>
      </w:r>
      <w:r w:rsidRPr="00332269">
        <w:t>Ltd’ (2013)</w:t>
      </w:r>
      <w:r w:rsidRPr="00401E44">
        <w:rPr>
          <w:i/>
          <w:iCs/>
        </w:rPr>
        <w:t xml:space="preserve"> </w:t>
      </w:r>
      <w:r w:rsidRPr="000F4D4E">
        <w:t xml:space="preserve">EWCA </w:t>
      </w:r>
      <w:proofErr w:type="spellStart"/>
      <w:r w:rsidRPr="000F4D4E">
        <w:t>Civ</w:t>
      </w:r>
      <w:proofErr w:type="spellEnd"/>
      <w:r>
        <w:t>,</w:t>
      </w:r>
      <w:r w:rsidRPr="000F4D4E">
        <w:t xml:space="preserve"> </w:t>
      </w:r>
      <w:r>
        <w:t>3</w:t>
      </w:r>
      <w:r w:rsidRPr="000F4D4E">
        <w:t>94</w:t>
      </w:r>
      <w:r>
        <w:t xml:space="preserve">, </w:t>
      </w:r>
      <w:r w:rsidRPr="008321BD">
        <w:rPr>
          <w:i/>
          <w:iCs/>
        </w:rPr>
        <w:t>Lexis Plus UK.</w:t>
      </w:r>
      <w:r>
        <w:rPr>
          <w:i/>
          <w:iCs/>
        </w:rPr>
        <w:t xml:space="preserve"> </w:t>
      </w:r>
      <w:r w:rsidRPr="008321BD">
        <w:t>Available at:</w:t>
      </w:r>
      <w:r>
        <w:t xml:space="preserve"> </w:t>
      </w:r>
      <w:hyperlink r:id="rId5" w:history="1">
        <w:r w:rsidRPr="00D56F7F">
          <w:rPr>
            <w:rStyle w:val="Hyperlink"/>
          </w:rPr>
          <w:t>https://plus-lexis-com.ezproxy.uwtsd.ac.uk/uk/cases-uk/attrill-v-dresdner-kleinwort-ltd_2/?crid=71b2c791-d53c-44a2-81d3-17b83752a0df&amp;pddocumentnumber=1</w:t>
        </w:r>
      </w:hyperlink>
      <w:r>
        <w:t xml:space="preserve"> (Accessed: 03 March 2025).</w:t>
      </w:r>
    </w:p>
    <w:p w14:paraId="2468070E" w14:textId="77777777" w:rsidR="004A4589" w:rsidRDefault="004A4589" w:rsidP="004A4589">
      <w:pPr>
        <w:rPr>
          <w:i/>
          <w:iCs/>
        </w:rPr>
      </w:pPr>
      <w:r w:rsidRPr="00332269">
        <w:t>‘Beswick v Beswick’ (1968)</w:t>
      </w:r>
      <w:r w:rsidRPr="00401E44">
        <w:rPr>
          <w:i/>
          <w:iCs/>
        </w:rPr>
        <w:t xml:space="preserve"> AC 58.</w:t>
      </w:r>
    </w:p>
    <w:p w14:paraId="3964AF0C" w14:textId="77777777" w:rsidR="004A4589" w:rsidRPr="00401E44" w:rsidRDefault="004A4589" w:rsidP="004A4589">
      <w:pPr>
        <w:rPr>
          <w:i/>
          <w:iCs/>
        </w:rPr>
      </w:pPr>
      <w:r w:rsidRPr="00332269">
        <w:t>‘Bruton v London and Quadrant Housing Trust Ltd’ (2000)</w:t>
      </w:r>
      <w:r w:rsidRPr="00401E44">
        <w:rPr>
          <w:i/>
          <w:iCs/>
        </w:rPr>
        <w:t xml:space="preserve"> 1 AC 406.</w:t>
      </w:r>
    </w:p>
    <w:p w14:paraId="533DBEAE" w14:textId="77777777" w:rsidR="004A4589" w:rsidRPr="00401E44" w:rsidRDefault="004A4589" w:rsidP="004A4589">
      <w:pPr>
        <w:rPr>
          <w:i/>
          <w:iCs/>
        </w:rPr>
      </w:pPr>
      <w:r w:rsidRPr="00401E44">
        <w:t xml:space="preserve">‘Butler Machine Tool Co Ltd v Ex-cell-o Corp (England)’ (1979) </w:t>
      </w:r>
      <w:r w:rsidRPr="00401E44">
        <w:rPr>
          <w:i/>
          <w:iCs/>
        </w:rPr>
        <w:t>1 WLR 401</w:t>
      </w:r>
      <w:r w:rsidRPr="00401E44">
        <w:rPr>
          <w:rFonts w:ascii="Times New Roman" w:eastAsia="Times New Roman" w:hAnsi="Times New Roman" w:cs="Times New Roman"/>
          <w:i/>
          <w:iCs/>
          <w:kern w:val="0"/>
          <w:lang w:eastAsia="en-GB"/>
          <w14:ligatures w14:val="none"/>
        </w:rPr>
        <w:t>.</w:t>
      </w:r>
    </w:p>
    <w:p w14:paraId="584BDA43" w14:textId="77777777" w:rsidR="004A4589" w:rsidRDefault="004A4589" w:rsidP="004A4589">
      <w:pPr>
        <w:rPr>
          <w:i/>
          <w:iCs/>
        </w:rPr>
      </w:pPr>
      <w:r w:rsidRPr="00332269">
        <w:t>‘Brinkibon v Stahag Stahl Und Stahlwarenhandels GmbH’ (1983)</w:t>
      </w:r>
      <w:r w:rsidRPr="00401E44">
        <w:rPr>
          <w:i/>
          <w:iCs/>
        </w:rPr>
        <w:t xml:space="preserve"> 2 AC 34.</w:t>
      </w:r>
    </w:p>
    <w:p w14:paraId="476CE548" w14:textId="77777777" w:rsidR="00474DEF" w:rsidRPr="00401E44" w:rsidRDefault="00474DEF" w:rsidP="00474DEF">
      <w:pPr>
        <w:rPr>
          <w:i/>
          <w:iCs/>
        </w:rPr>
      </w:pPr>
      <w:r w:rsidRPr="00401E44">
        <w:t xml:space="preserve">‘Carlill v Carbolic Smoke Ball Company’ (1893) </w:t>
      </w:r>
      <w:r w:rsidRPr="00401E44">
        <w:rPr>
          <w:i/>
          <w:iCs/>
        </w:rPr>
        <w:t>1QB 256.</w:t>
      </w:r>
    </w:p>
    <w:p w14:paraId="5807E40C" w14:textId="77777777" w:rsidR="00474DEF" w:rsidRDefault="00474DEF" w:rsidP="00474DEF">
      <w:pPr>
        <w:rPr>
          <w:i/>
          <w:iCs/>
        </w:rPr>
      </w:pPr>
      <w:r w:rsidRPr="00332269">
        <w:t>‘Chappell &amp; Co Ltd v Nestle Co Ltd’ (1960)</w:t>
      </w:r>
      <w:r w:rsidRPr="00401E44">
        <w:rPr>
          <w:i/>
          <w:iCs/>
        </w:rPr>
        <w:t xml:space="preserve"> AC 87.</w:t>
      </w:r>
    </w:p>
    <w:p w14:paraId="66998B0F" w14:textId="77777777" w:rsidR="00474DEF" w:rsidRDefault="00474DEF" w:rsidP="00474DEF">
      <w:pPr>
        <w:rPr>
          <w:i/>
          <w:iCs/>
        </w:rPr>
      </w:pPr>
      <w:r w:rsidRPr="00332269">
        <w:t>‘Currie v Misa’ (1876)</w:t>
      </w:r>
      <w:r w:rsidRPr="00401E44">
        <w:rPr>
          <w:i/>
          <w:iCs/>
        </w:rPr>
        <w:t xml:space="preserve"> 1 App Cas 554.</w:t>
      </w:r>
    </w:p>
    <w:p w14:paraId="2374ED69" w14:textId="1F22D04F" w:rsidR="00EE40CC" w:rsidRDefault="00986DD8">
      <w:r w:rsidRPr="00401E44">
        <w:t>D</w:t>
      </w:r>
      <w:r w:rsidR="006B5C67" w:rsidRPr="00401E44">
        <w:t>ef</w:t>
      </w:r>
      <w:r w:rsidR="00A14822" w:rsidRPr="00401E44">
        <w:t>ossez</w:t>
      </w:r>
      <w:r w:rsidRPr="00401E44">
        <w:t xml:space="preserve">, D. Acceptance sent through email; is the postal rule applicable? Law, State and Telecommunications Review, Brasilia, v. 11, no. 1, p. 23-46, May 2019. DOI: </w:t>
      </w:r>
      <w:hyperlink r:id="rId6" w:history="1">
        <w:r w:rsidR="00B11910" w:rsidRPr="00D56F7F">
          <w:rPr>
            <w:rStyle w:val="Hyperlink"/>
          </w:rPr>
          <w:t>https://doi.org/10.26512/lstr.v11i1.24847</w:t>
        </w:r>
      </w:hyperlink>
    </w:p>
    <w:p w14:paraId="2239E268" w14:textId="77777777" w:rsidR="00B11910" w:rsidRDefault="00B11910" w:rsidP="00B11910">
      <w:pPr>
        <w:rPr>
          <w:i/>
          <w:iCs/>
        </w:rPr>
      </w:pPr>
      <w:r w:rsidRPr="00332269">
        <w:t>‘Edwards v Skyways Ltd’ (1964)</w:t>
      </w:r>
      <w:r w:rsidRPr="00401E44">
        <w:rPr>
          <w:i/>
          <w:iCs/>
        </w:rPr>
        <w:t xml:space="preserve"> 1 WLR 349 </w:t>
      </w:r>
    </w:p>
    <w:p w14:paraId="4FBFB04C" w14:textId="77777777" w:rsidR="00B11910" w:rsidRPr="00401E44" w:rsidRDefault="00B11910" w:rsidP="00B11910">
      <w:pPr>
        <w:rPr>
          <w:i/>
          <w:iCs/>
        </w:rPr>
      </w:pPr>
      <w:r w:rsidRPr="00332269">
        <w:t>‘Entores Ltd v Miles Far East Corporation’ (1955)</w:t>
      </w:r>
      <w:r w:rsidRPr="00401E44">
        <w:rPr>
          <w:i/>
          <w:iCs/>
        </w:rPr>
        <w:t xml:space="preserve"> 2 QB 327.</w:t>
      </w:r>
    </w:p>
    <w:p w14:paraId="7D74B1C6" w14:textId="77777777" w:rsidR="00B11910" w:rsidRPr="00401E44" w:rsidRDefault="00B11910" w:rsidP="00B11910">
      <w:pPr>
        <w:rPr>
          <w:i/>
          <w:iCs/>
        </w:rPr>
      </w:pPr>
      <w:r w:rsidRPr="00332269">
        <w:t>‘Errington v Errington and Woods’ (1952)</w:t>
      </w:r>
      <w:r w:rsidRPr="00401E44">
        <w:rPr>
          <w:i/>
          <w:iCs/>
        </w:rPr>
        <w:t xml:space="preserve"> 1 KB 290.</w:t>
      </w:r>
    </w:p>
    <w:p w14:paraId="20E4ECF1" w14:textId="77777777" w:rsidR="00B11910" w:rsidRDefault="00B11910" w:rsidP="00B11910">
      <w:pPr>
        <w:rPr>
          <w:i/>
          <w:iCs/>
        </w:rPr>
      </w:pPr>
      <w:r w:rsidRPr="00332269">
        <w:t>‘Esso Petroleum Co v Customs and Excise Commissioners’ (1976)</w:t>
      </w:r>
      <w:r w:rsidRPr="00401E44">
        <w:rPr>
          <w:i/>
          <w:iCs/>
        </w:rPr>
        <w:t xml:space="preserve"> 1 WLR 1. </w:t>
      </w:r>
    </w:p>
    <w:p w14:paraId="6D2C94CD" w14:textId="77777777" w:rsidR="00B11910" w:rsidRDefault="00B11910" w:rsidP="00B11910">
      <w:pPr>
        <w:rPr>
          <w:i/>
          <w:iCs/>
        </w:rPr>
      </w:pPr>
      <w:r w:rsidRPr="00332269">
        <w:t>‘Gibson v Manchester City Council’ (1979)</w:t>
      </w:r>
      <w:r w:rsidRPr="00401E44">
        <w:rPr>
          <w:i/>
          <w:iCs/>
        </w:rPr>
        <w:t xml:space="preserve"> 1 WLR 294.</w:t>
      </w:r>
    </w:p>
    <w:p w14:paraId="5CA4794D" w14:textId="77777777" w:rsidR="00B11910" w:rsidRDefault="00B11910" w:rsidP="00B11910">
      <w:pPr>
        <w:rPr>
          <w:i/>
          <w:iCs/>
        </w:rPr>
      </w:pPr>
      <w:r w:rsidRPr="00401E44">
        <w:t xml:space="preserve">‘G Scammell and Nephew Ltd v HC&amp;JG Ouston’ (1941) </w:t>
      </w:r>
      <w:r w:rsidRPr="00401E44">
        <w:rPr>
          <w:i/>
          <w:iCs/>
        </w:rPr>
        <w:t>AC 251.</w:t>
      </w:r>
    </w:p>
    <w:p w14:paraId="17F26C3B" w14:textId="77777777" w:rsidR="00C91AEA" w:rsidRPr="00401E44" w:rsidRDefault="00C91AEA" w:rsidP="00C91AEA">
      <w:pPr>
        <w:rPr>
          <w:i/>
          <w:iCs/>
        </w:rPr>
      </w:pPr>
      <w:r w:rsidRPr="00332269">
        <w:t>‘Hart v O’Connor’ (1985)</w:t>
      </w:r>
      <w:r w:rsidRPr="00401E44">
        <w:rPr>
          <w:i/>
          <w:iCs/>
        </w:rPr>
        <w:t xml:space="preserve"> 3 WLR 214.</w:t>
      </w:r>
    </w:p>
    <w:p w14:paraId="0E0FE127" w14:textId="1E361DF3" w:rsidR="00C91AEA" w:rsidRDefault="00C91AEA" w:rsidP="00C91AEA">
      <w:pPr>
        <w:rPr>
          <w:i/>
          <w:iCs/>
        </w:rPr>
      </w:pPr>
      <w:r w:rsidRPr="00401E44">
        <w:t>‘Harvela Investments Ltd v Royal Trust Co of Canada (CI) Ltd (1986)</w:t>
      </w:r>
      <w:r w:rsidRPr="00401E44">
        <w:rPr>
          <w:i/>
          <w:iCs/>
        </w:rPr>
        <w:t xml:space="preserve"> AC 207.</w:t>
      </w:r>
    </w:p>
    <w:p w14:paraId="4BCE6BD9" w14:textId="77777777" w:rsidR="00C91AEA" w:rsidRDefault="00C91AEA" w:rsidP="00C91AEA">
      <w:pPr>
        <w:rPr>
          <w:i/>
          <w:iCs/>
        </w:rPr>
      </w:pPr>
      <w:r w:rsidRPr="00332269">
        <w:t>‘Lampleigh v Brathwait’ (1615)</w:t>
      </w:r>
      <w:r w:rsidRPr="00401E44">
        <w:rPr>
          <w:i/>
          <w:iCs/>
        </w:rPr>
        <w:t xml:space="preserve"> 80 ER 255.</w:t>
      </w:r>
    </w:p>
    <w:p w14:paraId="18179636" w14:textId="77777777" w:rsidR="004B499D" w:rsidRPr="00401E44" w:rsidRDefault="004B499D" w:rsidP="004B499D">
      <w:r w:rsidRPr="00401E44">
        <w:t xml:space="preserve">McKendrick, E. (2016) </w:t>
      </w:r>
      <w:r w:rsidRPr="00401E44">
        <w:rPr>
          <w:i/>
          <w:iCs/>
        </w:rPr>
        <w:t>Contract Law Text, Cases, and Materials</w:t>
      </w:r>
      <w:r w:rsidRPr="00401E44">
        <w:t>. 7</w:t>
      </w:r>
      <w:r w:rsidRPr="00401E44">
        <w:rPr>
          <w:vertAlign w:val="superscript"/>
        </w:rPr>
        <w:t>th</w:t>
      </w:r>
      <w:r w:rsidRPr="00401E44">
        <w:t xml:space="preserve"> </w:t>
      </w:r>
      <w:proofErr w:type="spellStart"/>
      <w:r w:rsidRPr="00401E44">
        <w:t>edn</w:t>
      </w:r>
      <w:proofErr w:type="spellEnd"/>
      <w:r w:rsidRPr="00401E44">
        <w:t>. Oxford: Oxford University Press.</w:t>
      </w:r>
    </w:p>
    <w:p w14:paraId="4C72CDF7" w14:textId="77777777" w:rsidR="004B499D" w:rsidRPr="00401E44" w:rsidRDefault="004B499D" w:rsidP="004B499D">
      <w:r w:rsidRPr="00401E44">
        <w:t xml:space="preserve">Merkin, R. and Sainter, S. (2019) </w:t>
      </w:r>
      <w:r w:rsidRPr="00401E44">
        <w:rPr>
          <w:i/>
          <w:iCs/>
        </w:rPr>
        <w:t>Poole’s Casebook on Contract Law.</w:t>
      </w:r>
      <w:r w:rsidRPr="00401E44">
        <w:t xml:space="preserve"> 14</w:t>
      </w:r>
      <w:r w:rsidRPr="00401E44">
        <w:rPr>
          <w:vertAlign w:val="superscript"/>
        </w:rPr>
        <w:t>th</w:t>
      </w:r>
      <w:r w:rsidRPr="00401E44">
        <w:t xml:space="preserve"> </w:t>
      </w:r>
      <w:proofErr w:type="spellStart"/>
      <w:r w:rsidRPr="00401E44">
        <w:t>edn</w:t>
      </w:r>
      <w:proofErr w:type="spellEnd"/>
      <w:r w:rsidRPr="00401E44">
        <w:t>. Oxford: Oxford University Press.</w:t>
      </w:r>
    </w:p>
    <w:p w14:paraId="3612B4CA" w14:textId="77777777" w:rsidR="004B499D" w:rsidRDefault="004B499D" w:rsidP="004B499D">
      <w:r w:rsidRPr="00332269">
        <w:lastRenderedPageBreak/>
        <w:t>Merkin, R. and Sainter, S. (2021)</w:t>
      </w:r>
      <w:r w:rsidRPr="00401E44">
        <w:rPr>
          <w:i/>
          <w:iCs/>
        </w:rPr>
        <w:t xml:space="preserve"> Poole’s Textbook on Contract Law. </w:t>
      </w:r>
      <w:r w:rsidRPr="00332269">
        <w:t>15</w:t>
      </w:r>
      <w:r w:rsidRPr="00332269">
        <w:rPr>
          <w:vertAlign w:val="superscript"/>
        </w:rPr>
        <w:t>th</w:t>
      </w:r>
      <w:r w:rsidRPr="00332269">
        <w:t xml:space="preserve"> </w:t>
      </w:r>
      <w:proofErr w:type="spellStart"/>
      <w:r w:rsidRPr="00332269">
        <w:t>edn</w:t>
      </w:r>
      <w:proofErr w:type="spellEnd"/>
      <w:r w:rsidRPr="00332269">
        <w:t xml:space="preserve">. Oxford: Oxford University Press. </w:t>
      </w:r>
    </w:p>
    <w:p w14:paraId="7022A04A" w14:textId="77777777" w:rsidR="004B499D" w:rsidRPr="00401E44" w:rsidRDefault="004B499D" w:rsidP="004B499D">
      <w:pPr>
        <w:rPr>
          <w:i/>
          <w:iCs/>
        </w:rPr>
      </w:pPr>
      <w:r w:rsidRPr="00332269">
        <w:t>‘Merritt v Merritt’ (1970)</w:t>
      </w:r>
      <w:r w:rsidRPr="00401E44">
        <w:rPr>
          <w:i/>
          <w:iCs/>
        </w:rPr>
        <w:t xml:space="preserve"> 1 WLR 1211.</w:t>
      </w:r>
    </w:p>
    <w:p w14:paraId="465CC5F2" w14:textId="7296F777" w:rsidR="004B499D" w:rsidRDefault="004B499D" w:rsidP="004B499D">
      <w:pPr>
        <w:rPr>
          <w:i/>
          <w:iCs/>
        </w:rPr>
      </w:pPr>
      <w:r w:rsidRPr="00332269">
        <w:t>‘Nash v Inman’ (1908)</w:t>
      </w:r>
      <w:r w:rsidRPr="00401E44">
        <w:rPr>
          <w:i/>
          <w:iCs/>
        </w:rPr>
        <w:t xml:space="preserve"> 2 KB</w:t>
      </w:r>
      <w:r>
        <w:rPr>
          <w:i/>
          <w:iCs/>
        </w:rPr>
        <w:t>.</w:t>
      </w:r>
    </w:p>
    <w:p w14:paraId="4834AFF3" w14:textId="77777777" w:rsidR="004B499D" w:rsidRPr="00401E44" w:rsidRDefault="004B499D" w:rsidP="004B499D">
      <w:pPr>
        <w:rPr>
          <w:i/>
          <w:iCs/>
        </w:rPr>
      </w:pPr>
      <w:r w:rsidRPr="00401E44">
        <w:t xml:space="preserve">‘Partridge v Crittenden’ (1968) </w:t>
      </w:r>
      <w:r w:rsidRPr="00401E44">
        <w:rPr>
          <w:i/>
          <w:iCs/>
        </w:rPr>
        <w:t>1 WLR 1204.</w:t>
      </w:r>
    </w:p>
    <w:p w14:paraId="5E7A3736" w14:textId="08AECCF2" w:rsidR="00842B89" w:rsidRDefault="00A14822">
      <w:r w:rsidRPr="00401E44">
        <w:t xml:space="preserve">Quinn, F. (2019) </w:t>
      </w:r>
      <w:r w:rsidRPr="00401E44">
        <w:rPr>
          <w:i/>
          <w:iCs/>
        </w:rPr>
        <w:t>Elliott &amp; Quinn’s Contract Law</w:t>
      </w:r>
      <w:r w:rsidR="00311FA1" w:rsidRPr="00401E44">
        <w:t>. 12</w:t>
      </w:r>
      <w:r w:rsidR="00311FA1" w:rsidRPr="00401E44">
        <w:rPr>
          <w:vertAlign w:val="superscript"/>
        </w:rPr>
        <w:t>th</w:t>
      </w:r>
      <w:r w:rsidR="00311FA1" w:rsidRPr="00401E44">
        <w:t xml:space="preserve"> </w:t>
      </w:r>
      <w:proofErr w:type="spellStart"/>
      <w:r w:rsidR="00311FA1" w:rsidRPr="00401E44">
        <w:t>edn</w:t>
      </w:r>
      <w:proofErr w:type="spellEnd"/>
      <w:r w:rsidR="00311FA1" w:rsidRPr="00401E44">
        <w:t>. Harlow: Pearson Education Ltd.</w:t>
      </w:r>
    </w:p>
    <w:p w14:paraId="2EDF3A61" w14:textId="77777777" w:rsidR="004B499D" w:rsidRDefault="004B499D" w:rsidP="004B499D">
      <w:pPr>
        <w:rPr>
          <w:i/>
          <w:iCs/>
        </w:rPr>
      </w:pPr>
      <w:r w:rsidRPr="00332269">
        <w:t xml:space="preserve">‘Robinson v Harman’ (1948) </w:t>
      </w:r>
      <w:r w:rsidRPr="00401E44">
        <w:rPr>
          <w:i/>
          <w:iCs/>
        </w:rPr>
        <w:t>1 EX 580.</w:t>
      </w:r>
    </w:p>
    <w:p w14:paraId="01717566" w14:textId="77777777" w:rsidR="004B499D" w:rsidRPr="00401E44" w:rsidRDefault="004B499D" w:rsidP="004B499D">
      <w:pPr>
        <w:rPr>
          <w:i/>
          <w:iCs/>
        </w:rPr>
      </w:pPr>
      <w:r w:rsidRPr="00332269">
        <w:t>‘Steadman v Steadman’ (1976)</w:t>
      </w:r>
      <w:r w:rsidRPr="00401E44">
        <w:rPr>
          <w:i/>
          <w:iCs/>
        </w:rPr>
        <w:t xml:space="preserve"> AC 536.</w:t>
      </w:r>
    </w:p>
    <w:p w14:paraId="0A522DF9" w14:textId="091D22E8" w:rsidR="000B3F3C" w:rsidRPr="00401E44" w:rsidRDefault="00AC1AD4">
      <w:pPr>
        <w:rPr>
          <w:i/>
          <w:iCs/>
        </w:rPr>
      </w:pPr>
      <w:r w:rsidRPr="00332269">
        <w:t>‘Taylor v Laird’ (1856)</w:t>
      </w:r>
      <w:r w:rsidRPr="00401E44">
        <w:rPr>
          <w:i/>
          <w:iCs/>
        </w:rPr>
        <w:t xml:space="preserve"> 25 LJ EX 329.</w:t>
      </w:r>
    </w:p>
    <w:p w14:paraId="7E75E6E2" w14:textId="77777777" w:rsidR="0024077F" w:rsidRDefault="00C344EC">
      <w:r w:rsidRPr="00332269">
        <w:t>Taylor, R and Taylor D. (2021)</w:t>
      </w:r>
      <w:r w:rsidRPr="00401E44">
        <w:rPr>
          <w:i/>
          <w:iCs/>
        </w:rPr>
        <w:t xml:space="preserve"> Contract Law Directions. </w:t>
      </w:r>
      <w:r w:rsidRPr="00332269">
        <w:t>8</w:t>
      </w:r>
      <w:r w:rsidRPr="00332269">
        <w:rPr>
          <w:vertAlign w:val="superscript"/>
        </w:rPr>
        <w:t>TH</w:t>
      </w:r>
      <w:r w:rsidRPr="00332269">
        <w:t xml:space="preserve"> </w:t>
      </w:r>
      <w:proofErr w:type="spellStart"/>
      <w:r w:rsidRPr="00332269">
        <w:t>edn</w:t>
      </w:r>
      <w:proofErr w:type="spellEnd"/>
      <w:r w:rsidRPr="00332269">
        <w:t>. Oxford: Oxford University Press.</w:t>
      </w:r>
    </w:p>
    <w:p w14:paraId="6037FE8F" w14:textId="516884DD" w:rsidR="00401E44" w:rsidRDefault="00422FAE">
      <w:r>
        <w:rPr>
          <w:i/>
          <w:iCs/>
        </w:rPr>
        <w:t xml:space="preserve">The Electronic Commerce (EC Directive) Regulations 2002. </w:t>
      </w:r>
      <w:r w:rsidR="00BF30F3">
        <w:rPr>
          <w:i/>
          <w:iCs/>
        </w:rPr>
        <w:t>(SI 2002/2013</w:t>
      </w:r>
      <w:r w:rsidR="00BF30F3" w:rsidRPr="00C71A0B">
        <w:t xml:space="preserve">). Available at: </w:t>
      </w:r>
      <w:hyperlink r:id="rId7" w:history="1">
        <w:r w:rsidR="00A70744" w:rsidRPr="00C71A0B">
          <w:rPr>
            <w:rStyle w:val="Hyperlink"/>
          </w:rPr>
          <w:t>https://www.legislation.gov.uk/uksi/2002/2013/contents/made</w:t>
        </w:r>
      </w:hyperlink>
      <w:r w:rsidR="00A70744" w:rsidRPr="00C71A0B">
        <w:t xml:space="preserve"> </w:t>
      </w:r>
      <w:r w:rsidR="00C71A0B" w:rsidRPr="00C71A0B">
        <w:t xml:space="preserve">(Accessed: 03 March 2025). </w:t>
      </w:r>
    </w:p>
    <w:p w14:paraId="16624209" w14:textId="77777777" w:rsidR="0024077F" w:rsidRPr="0024077F" w:rsidRDefault="0024077F" w:rsidP="0024077F">
      <w:r w:rsidRPr="00332269">
        <w:t>‘Thomas v Thomas’ (1842)</w:t>
      </w:r>
      <w:r w:rsidRPr="00401E44">
        <w:rPr>
          <w:i/>
          <w:iCs/>
        </w:rPr>
        <w:t xml:space="preserve"> 2 QBR 851.</w:t>
      </w:r>
    </w:p>
    <w:p w14:paraId="623E9836" w14:textId="77777777" w:rsidR="0024077F" w:rsidRPr="00C71A0B" w:rsidRDefault="0024077F"/>
    <w:p w14:paraId="22983F77" w14:textId="698FF9CE" w:rsidR="00110DC5" w:rsidRDefault="00110DC5">
      <w:pPr>
        <w:rPr>
          <w:i/>
          <w:iCs/>
        </w:rPr>
      </w:pPr>
    </w:p>
    <w:p w14:paraId="1AC125A0" w14:textId="77777777" w:rsidR="00096430" w:rsidRDefault="00096430">
      <w:pPr>
        <w:rPr>
          <w:i/>
          <w:iCs/>
        </w:rPr>
      </w:pPr>
    </w:p>
    <w:p w14:paraId="17EFB066" w14:textId="77777777" w:rsidR="007B0548" w:rsidRPr="0034709C" w:rsidRDefault="007B0548">
      <w:pPr>
        <w:rPr>
          <w:i/>
          <w:iCs/>
        </w:rPr>
      </w:pPr>
    </w:p>
    <w:p w14:paraId="6AC74E38" w14:textId="77777777" w:rsidR="00130CAD" w:rsidRDefault="00130CAD"/>
    <w:sectPr w:rsidR="00130CAD" w:rsidSect="00986C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305FB5"/>
    <w:multiLevelType w:val="multilevel"/>
    <w:tmpl w:val="C614809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004302"/>
    <w:multiLevelType w:val="multilevel"/>
    <w:tmpl w:val="BAE8E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6808292">
    <w:abstractNumId w:val="0"/>
  </w:num>
  <w:num w:numId="2" w16cid:durableId="1134713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CC"/>
    <w:rsid w:val="00023F67"/>
    <w:rsid w:val="00036F32"/>
    <w:rsid w:val="00043762"/>
    <w:rsid w:val="00044B75"/>
    <w:rsid w:val="00053592"/>
    <w:rsid w:val="00070706"/>
    <w:rsid w:val="00072555"/>
    <w:rsid w:val="00085C19"/>
    <w:rsid w:val="00096430"/>
    <w:rsid w:val="000A12C0"/>
    <w:rsid w:val="000A4504"/>
    <w:rsid w:val="000B3F3C"/>
    <w:rsid w:val="000D7508"/>
    <w:rsid w:val="000E7E6C"/>
    <w:rsid w:val="000F4D4E"/>
    <w:rsid w:val="00104531"/>
    <w:rsid w:val="00110DC5"/>
    <w:rsid w:val="00122841"/>
    <w:rsid w:val="00130CAD"/>
    <w:rsid w:val="00133402"/>
    <w:rsid w:val="00135CE5"/>
    <w:rsid w:val="00140FD4"/>
    <w:rsid w:val="00145E65"/>
    <w:rsid w:val="00157858"/>
    <w:rsid w:val="001752A7"/>
    <w:rsid w:val="001875B8"/>
    <w:rsid w:val="001913A2"/>
    <w:rsid w:val="001915B0"/>
    <w:rsid w:val="0019662F"/>
    <w:rsid w:val="001A2064"/>
    <w:rsid w:val="001C0EB0"/>
    <w:rsid w:val="001C3AF5"/>
    <w:rsid w:val="001C5BAF"/>
    <w:rsid w:val="001D187A"/>
    <w:rsid w:val="001D51BE"/>
    <w:rsid w:val="001D55C9"/>
    <w:rsid w:val="001D5A9D"/>
    <w:rsid w:val="001E0A7E"/>
    <w:rsid w:val="001E11D2"/>
    <w:rsid w:val="001E6C25"/>
    <w:rsid w:val="001F45B2"/>
    <w:rsid w:val="001F5610"/>
    <w:rsid w:val="00202357"/>
    <w:rsid w:val="0024077F"/>
    <w:rsid w:val="002538E2"/>
    <w:rsid w:val="00260277"/>
    <w:rsid w:val="002B477A"/>
    <w:rsid w:val="002C6D43"/>
    <w:rsid w:val="002E20E2"/>
    <w:rsid w:val="002E281A"/>
    <w:rsid w:val="002F025D"/>
    <w:rsid w:val="002F3095"/>
    <w:rsid w:val="002F59C1"/>
    <w:rsid w:val="00311FA1"/>
    <w:rsid w:val="00313E74"/>
    <w:rsid w:val="00317069"/>
    <w:rsid w:val="00331957"/>
    <w:rsid w:val="00332269"/>
    <w:rsid w:val="0034050C"/>
    <w:rsid w:val="0034709C"/>
    <w:rsid w:val="003549F9"/>
    <w:rsid w:val="00375546"/>
    <w:rsid w:val="003807F6"/>
    <w:rsid w:val="00395B5A"/>
    <w:rsid w:val="003A060F"/>
    <w:rsid w:val="003B79AB"/>
    <w:rsid w:val="003C288C"/>
    <w:rsid w:val="003D3AF8"/>
    <w:rsid w:val="003F3969"/>
    <w:rsid w:val="00401E44"/>
    <w:rsid w:val="004058EF"/>
    <w:rsid w:val="00422FAE"/>
    <w:rsid w:val="00426917"/>
    <w:rsid w:val="004355D0"/>
    <w:rsid w:val="004359F8"/>
    <w:rsid w:val="00453519"/>
    <w:rsid w:val="00454B72"/>
    <w:rsid w:val="004574DA"/>
    <w:rsid w:val="00466FBA"/>
    <w:rsid w:val="00471575"/>
    <w:rsid w:val="00474DEF"/>
    <w:rsid w:val="00484EC0"/>
    <w:rsid w:val="004919CA"/>
    <w:rsid w:val="004963EE"/>
    <w:rsid w:val="004A09A3"/>
    <w:rsid w:val="004A4589"/>
    <w:rsid w:val="004B44FB"/>
    <w:rsid w:val="004B499D"/>
    <w:rsid w:val="004B69C9"/>
    <w:rsid w:val="004D723F"/>
    <w:rsid w:val="004E77CA"/>
    <w:rsid w:val="00515188"/>
    <w:rsid w:val="00521538"/>
    <w:rsid w:val="00537CC8"/>
    <w:rsid w:val="00565572"/>
    <w:rsid w:val="005711D1"/>
    <w:rsid w:val="00582005"/>
    <w:rsid w:val="005865A4"/>
    <w:rsid w:val="0059486E"/>
    <w:rsid w:val="005A1150"/>
    <w:rsid w:val="005B2A77"/>
    <w:rsid w:val="005C1857"/>
    <w:rsid w:val="005D5917"/>
    <w:rsid w:val="0060527C"/>
    <w:rsid w:val="00613867"/>
    <w:rsid w:val="006206E0"/>
    <w:rsid w:val="00630229"/>
    <w:rsid w:val="00650367"/>
    <w:rsid w:val="00650809"/>
    <w:rsid w:val="0065101E"/>
    <w:rsid w:val="0065622D"/>
    <w:rsid w:val="00656B99"/>
    <w:rsid w:val="00661635"/>
    <w:rsid w:val="00661D3E"/>
    <w:rsid w:val="00662206"/>
    <w:rsid w:val="00674AE8"/>
    <w:rsid w:val="006852C3"/>
    <w:rsid w:val="00694AA3"/>
    <w:rsid w:val="006A7B7F"/>
    <w:rsid w:val="006B5C67"/>
    <w:rsid w:val="006C1ADF"/>
    <w:rsid w:val="006D62B7"/>
    <w:rsid w:val="00707262"/>
    <w:rsid w:val="007407EF"/>
    <w:rsid w:val="00740891"/>
    <w:rsid w:val="007449DA"/>
    <w:rsid w:val="007479F0"/>
    <w:rsid w:val="00752DAE"/>
    <w:rsid w:val="00756FE5"/>
    <w:rsid w:val="007579AE"/>
    <w:rsid w:val="0076020A"/>
    <w:rsid w:val="007736F0"/>
    <w:rsid w:val="007765B5"/>
    <w:rsid w:val="007B0548"/>
    <w:rsid w:val="007B70D1"/>
    <w:rsid w:val="007D7FE1"/>
    <w:rsid w:val="00813AC8"/>
    <w:rsid w:val="00814F62"/>
    <w:rsid w:val="00822ADC"/>
    <w:rsid w:val="008321BD"/>
    <w:rsid w:val="00837BA2"/>
    <w:rsid w:val="00842B89"/>
    <w:rsid w:val="00851F6F"/>
    <w:rsid w:val="008558F2"/>
    <w:rsid w:val="0088523C"/>
    <w:rsid w:val="008B2145"/>
    <w:rsid w:val="008B6C28"/>
    <w:rsid w:val="008C1C2C"/>
    <w:rsid w:val="008E13B1"/>
    <w:rsid w:val="008E13F8"/>
    <w:rsid w:val="0091387D"/>
    <w:rsid w:val="009224B7"/>
    <w:rsid w:val="0092317A"/>
    <w:rsid w:val="00926531"/>
    <w:rsid w:val="0094194C"/>
    <w:rsid w:val="0094778D"/>
    <w:rsid w:val="00963026"/>
    <w:rsid w:val="00963BA6"/>
    <w:rsid w:val="0096541C"/>
    <w:rsid w:val="00967675"/>
    <w:rsid w:val="0097057A"/>
    <w:rsid w:val="00985BB4"/>
    <w:rsid w:val="00986CB8"/>
    <w:rsid w:val="00986DD8"/>
    <w:rsid w:val="0098722F"/>
    <w:rsid w:val="009A2753"/>
    <w:rsid w:val="009A28F5"/>
    <w:rsid w:val="009A5B9A"/>
    <w:rsid w:val="009B60B3"/>
    <w:rsid w:val="009B61C5"/>
    <w:rsid w:val="009C2AA6"/>
    <w:rsid w:val="009D7A42"/>
    <w:rsid w:val="009D7D56"/>
    <w:rsid w:val="009F1A62"/>
    <w:rsid w:val="00A14822"/>
    <w:rsid w:val="00A27991"/>
    <w:rsid w:val="00A400EB"/>
    <w:rsid w:val="00A50F03"/>
    <w:rsid w:val="00A51684"/>
    <w:rsid w:val="00A70744"/>
    <w:rsid w:val="00A80DEC"/>
    <w:rsid w:val="00AC1AD4"/>
    <w:rsid w:val="00AD7B62"/>
    <w:rsid w:val="00AE5609"/>
    <w:rsid w:val="00AE6023"/>
    <w:rsid w:val="00AE75A4"/>
    <w:rsid w:val="00AE79BE"/>
    <w:rsid w:val="00AF1954"/>
    <w:rsid w:val="00AF2F60"/>
    <w:rsid w:val="00AF6D76"/>
    <w:rsid w:val="00B02358"/>
    <w:rsid w:val="00B11910"/>
    <w:rsid w:val="00B123D0"/>
    <w:rsid w:val="00B336B1"/>
    <w:rsid w:val="00B36AB9"/>
    <w:rsid w:val="00B42007"/>
    <w:rsid w:val="00B421CB"/>
    <w:rsid w:val="00B4672E"/>
    <w:rsid w:val="00B61F82"/>
    <w:rsid w:val="00B723FC"/>
    <w:rsid w:val="00B76377"/>
    <w:rsid w:val="00B9051C"/>
    <w:rsid w:val="00B96F73"/>
    <w:rsid w:val="00BA21EA"/>
    <w:rsid w:val="00BA7246"/>
    <w:rsid w:val="00BB012A"/>
    <w:rsid w:val="00BB27EA"/>
    <w:rsid w:val="00BF30F3"/>
    <w:rsid w:val="00C061E7"/>
    <w:rsid w:val="00C15802"/>
    <w:rsid w:val="00C15F36"/>
    <w:rsid w:val="00C2647E"/>
    <w:rsid w:val="00C27366"/>
    <w:rsid w:val="00C303BA"/>
    <w:rsid w:val="00C344EC"/>
    <w:rsid w:val="00C42F8A"/>
    <w:rsid w:val="00C5489B"/>
    <w:rsid w:val="00C57A7B"/>
    <w:rsid w:val="00C60BD6"/>
    <w:rsid w:val="00C71A0B"/>
    <w:rsid w:val="00C75EFD"/>
    <w:rsid w:val="00C761A3"/>
    <w:rsid w:val="00C91AEA"/>
    <w:rsid w:val="00C9558B"/>
    <w:rsid w:val="00CB72F8"/>
    <w:rsid w:val="00CD028A"/>
    <w:rsid w:val="00CD46D2"/>
    <w:rsid w:val="00D00DEC"/>
    <w:rsid w:val="00D348D3"/>
    <w:rsid w:val="00D36371"/>
    <w:rsid w:val="00D37BD2"/>
    <w:rsid w:val="00D41770"/>
    <w:rsid w:val="00DA63BA"/>
    <w:rsid w:val="00DD41FF"/>
    <w:rsid w:val="00DD48EF"/>
    <w:rsid w:val="00DF6612"/>
    <w:rsid w:val="00E22B0C"/>
    <w:rsid w:val="00E32FCC"/>
    <w:rsid w:val="00E36472"/>
    <w:rsid w:val="00E463D1"/>
    <w:rsid w:val="00E63B0B"/>
    <w:rsid w:val="00E76BAA"/>
    <w:rsid w:val="00E772F0"/>
    <w:rsid w:val="00E8388F"/>
    <w:rsid w:val="00E85A95"/>
    <w:rsid w:val="00EA14C0"/>
    <w:rsid w:val="00EA518C"/>
    <w:rsid w:val="00EB2259"/>
    <w:rsid w:val="00EB49AE"/>
    <w:rsid w:val="00EC0656"/>
    <w:rsid w:val="00EC62D8"/>
    <w:rsid w:val="00ED571C"/>
    <w:rsid w:val="00EE40CC"/>
    <w:rsid w:val="00EF5AEB"/>
    <w:rsid w:val="00F065BA"/>
    <w:rsid w:val="00F13D0E"/>
    <w:rsid w:val="00F15ED7"/>
    <w:rsid w:val="00F326CF"/>
    <w:rsid w:val="00F426DD"/>
    <w:rsid w:val="00F43A91"/>
    <w:rsid w:val="00F477D7"/>
    <w:rsid w:val="00F52C61"/>
    <w:rsid w:val="00F7475A"/>
    <w:rsid w:val="00F85FE0"/>
    <w:rsid w:val="00FC0438"/>
    <w:rsid w:val="00FC0734"/>
    <w:rsid w:val="00FC48CE"/>
    <w:rsid w:val="00FC53CB"/>
    <w:rsid w:val="00FD2ADE"/>
    <w:rsid w:val="00FD2B38"/>
    <w:rsid w:val="00FD6F9A"/>
    <w:rsid w:val="00FE19B2"/>
    <w:rsid w:val="00FF5672"/>
    <w:rsid w:val="00FF6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41A2"/>
  <w15:chartTrackingRefBased/>
  <w15:docId w15:val="{5A1313B4-9BE0-4C5D-8139-44A75CCE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0CC"/>
    <w:rPr>
      <w:rFonts w:eastAsiaTheme="majorEastAsia" w:cstheme="majorBidi"/>
      <w:color w:val="272727" w:themeColor="text1" w:themeTint="D8"/>
    </w:rPr>
  </w:style>
  <w:style w:type="paragraph" w:styleId="Title">
    <w:name w:val="Title"/>
    <w:basedOn w:val="Normal"/>
    <w:next w:val="Normal"/>
    <w:link w:val="TitleChar"/>
    <w:uiPriority w:val="10"/>
    <w:qFormat/>
    <w:rsid w:val="00EE4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0CC"/>
    <w:pPr>
      <w:spacing w:before="160"/>
      <w:jc w:val="center"/>
    </w:pPr>
    <w:rPr>
      <w:i/>
      <w:iCs/>
      <w:color w:val="404040" w:themeColor="text1" w:themeTint="BF"/>
    </w:rPr>
  </w:style>
  <w:style w:type="character" w:customStyle="1" w:styleId="QuoteChar">
    <w:name w:val="Quote Char"/>
    <w:basedOn w:val="DefaultParagraphFont"/>
    <w:link w:val="Quote"/>
    <w:uiPriority w:val="29"/>
    <w:rsid w:val="00EE40CC"/>
    <w:rPr>
      <w:i/>
      <w:iCs/>
      <w:color w:val="404040" w:themeColor="text1" w:themeTint="BF"/>
    </w:rPr>
  </w:style>
  <w:style w:type="paragraph" w:styleId="ListParagraph">
    <w:name w:val="List Paragraph"/>
    <w:basedOn w:val="Normal"/>
    <w:uiPriority w:val="34"/>
    <w:qFormat/>
    <w:rsid w:val="00EE40CC"/>
    <w:pPr>
      <w:ind w:left="720"/>
      <w:contextualSpacing/>
    </w:pPr>
  </w:style>
  <w:style w:type="character" w:styleId="IntenseEmphasis">
    <w:name w:val="Intense Emphasis"/>
    <w:basedOn w:val="DefaultParagraphFont"/>
    <w:uiPriority w:val="21"/>
    <w:qFormat/>
    <w:rsid w:val="00EE40CC"/>
    <w:rPr>
      <w:i/>
      <w:iCs/>
      <w:color w:val="0F4761" w:themeColor="accent1" w:themeShade="BF"/>
    </w:rPr>
  </w:style>
  <w:style w:type="paragraph" w:styleId="IntenseQuote">
    <w:name w:val="Intense Quote"/>
    <w:basedOn w:val="Normal"/>
    <w:next w:val="Normal"/>
    <w:link w:val="IntenseQuoteChar"/>
    <w:uiPriority w:val="30"/>
    <w:qFormat/>
    <w:rsid w:val="00EE4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0CC"/>
    <w:rPr>
      <w:i/>
      <w:iCs/>
      <w:color w:val="0F4761" w:themeColor="accent1" w:themeShade="BF"/>
    </w:rPr>
  </w:style>
  <w:style w:type="character" w:styleId="IntenseReference">
    <w:name w:val="Intense Reference"/>
    <w:basedOn w:val="DefaultParagraphFont"/>
    <w:uiPriority w:val="32"/>
    <w:qFormat/>
    <w:rsid w:val="00EE40CC"/>
    <w:rPr>
      <w:b/>
      <w:bCs/>
      <w:smallCaps/>
      <w:color w:val="0F4761" w:themeColor="accent1" w:themeShade="BF"/>
      <w:spacing w:val="5"/>
    </w:rPr>
  </w:style>
  <w:style w:type="paragraph" w:styleId="NormalWeb">
    <w:name w:val="Normal (Web)"/>
    <w:basedOn w:val="Normal"/>
    <w:uiPriority w:val="99"/>
    <w:semiHidden/>
    <w:unhideWhenUsed/>
    <w:rsid w:val="001E0A7E"/>
    <w:rPr>
      <w:rFonts w:ascii="Times New Roman" w:hAnsi="Times New Roman" w:cs="Times New Roman"/>
    </w:rPr>
  </w:style>
  <w:style w:type="character" w:styleId="Hyperlink">
    <w:name w:val="Hyperlink"/>
    <w:basedOn w:val="DefaultParagraphFont"/>
    <w:uiPriority w:val="99"/>
    <w:unhideWhenUsed/>
    <w:rsid w:val="00842B89"/>
    <w:rPr>
      <w:color w:val="467886" w:themeColor="hyperlink"/>
      <w:u w:val="single"/>
    </w:rPr>
  </w:style>
  <w:style w:type="character" w:styleId="UnresolvedMention">
    <w:name w:val="Unresolved Mention"/>
    <w:basedOn w:val="DefaultParagraphFont"/>
    <w:uiPriority w:val="99"/>
    <w:semiHidden/>
    <w:unhideWhenUsed/>
    <w:rsid w:val="00842B89"/>
    <w:rPr>
      <w:color w:val="605E5C"/>
      <w:shd w:val="clear" w:color="auto" w:fill="E1DFDD"/>
    </w:rPr>
  </w:style>
  <w:style w:type="paragraph" w:styleId="NoSpacing">
    <w:name w:val="No Spacing"/>
    <w:link w:val="NoSpacingChar"/>
    <w:uiPriority w:val="1"/>
    <w:qFormat/>
    <w:rsid w:val="00986CB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86CB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5405">
      <w:bodyDiv w:val="1"/>
      <w:marLeft w:val="0"/>
      <w:marRight w:val="0"/>
      <w:marTop w:val="0"/>
      <w:marBottom w:val="0"/>
      <w:divBdr>
        <w:top w:val="none" w:sz="0" w:space="0" w:color="auto"/>
        <w:left w:val="none" w:sz="0" w:space="0" w:color="auto"/>
        <w:bottom w:val="none" w:sz="0" w:space="0" w:color="auto"/>
        <w:right w:val="none" w:sz="0" w:space="0" w:color="auto"/>
      </w:divBdr>
    </w:div>
    <w:div w:id="169760662">
      <w:bodyDiv w:val="1"/>
      <w:marLeft w:val="0"/>
      <w:marRight w:val="0"/>
      <w:marTop w:val="0"/>
      <w:marBottom w:val="0"/>
      <w:divBdr>
        <w:top w:val="none" w:sz="0" w:space="0" w:color="auto"/>
        <w:left w:val="none" w:sz="0" w:space="0" w:color="auto"/>
        <w:bottom w:val="none" w:sz="0" w:space="0" w:color="auto"/>
        <w:right w:val="none" w:sz="0" w:space="0" w:color="auto"/>
      </w:divBdr>
    </w:div>
    <w:div w:id="192230581">
      <w:bodyDiv w:val="1"/>
      <w:marLeft w:val="0"/>
      <w:marRight w:val="0"/>
      <w:marTop w:val="0"/>
      <w:marBottom w:val="0"/>
      <w:divBdr>
        <w:top w:val="none" w:sz="0" w:space="0" w:color="auto"/>
        <w:left w:val="none" w:sz="0" w:space="0" w:color="auto"/>
        <w:bottom w:val="none" w:sz="0" w:space="0" w:color="auto"/>
        <w:right w:val="none" w:sz="0" w:space="0" w:color="auto"/>
      </w:divBdr>
    </w:div>
    <w:div w:id="254558846">
      <w:bodyDiv w:val="1"/>
      <w:marLeft w:val="0"/>
      <w:marRight w:val="0"/>
      <w:marTop w:val="0"/>
      <w:marBottom w:val="0"/>
      <w:divBdr>
        <w:top w:val="none" w:sz="0" w:space="0" w:color="auto"/>
        <w:left w:val="none" w:sz="0" w:space="0" w:color="auto"/>
        <w:bottom w:val="none" w:sz="0" w:space="0" w:color="auto"/>
        <w:right w:val="none" w:sz="0" w:space="0" w:color="auto"/>
      </w:divBdr>
    </w:div>
    <w:div w:id="314141761">
      <w:bodyDiv w:val="1"/>
      <w:marLeft w:val="0"/>
      <w:marRight w:val="0"/>
      <w:marTop w:val="0"/>
      <w:marBottom w:val="0"/>
      <w:divBdr>
        <w:top w:val="none" w:sz="0" w:space="0" w:color="auto"/>
        <w:left w:val="none" w:sz="0" w:space="0" w:color="auto"/>
        <w:bottom w:val="none" w:sz="0" w:space="0" w:color="auto"/>
        <w:right w:val="none" w:sz="0" w:space="0" w:color="auto"/>
      </w:divBdr>
      <w:divsChild>
        <w:div w:id="1005322326">
          <w:marLeft w:val="0"/>
          <w:marRight w:val="0"/>
          <w:marTop w:val="0"/>
          <w:marBottom w:val="0"/>
          <w:divBdr>
            <w:top w:val="none" w:sz="0" w:space="0" w:color="auto"/>
            <w:left w:val="none" w:sz="0" w:space="0" w:color="auto"/>
            <w:bottom w:val="none" w:sz="0" w:space="0" w:color="auto"/>
            <w:right w:val="none" w:sz="0" w:space="0" w:color="auto"/>
          </w:divBdr>
          <w:divsChild>
            <w:div w:id="230124096">
              <w:marLeft w:val="0"/>
              <w:marRight w:val="0"/>
              <w:marTop w:val="0"/>
              <w:marBottom w:val="0"/>
              <w:divBdr>
                <w:top w:val="none" w:sz="0" w:space="0" w:color="auto"/>
                <w:left w:val="none" w:sz="0" w:space="0" w:color="auto"/>
                <w:bottom w:val="none" w:sz="0" w:space="0" w:color="auto"/>
                <w:right w:val="none" w:sz="0" w:space="0" w:color="auto"/>
              </w:divBdr>
              <w:divsChild>
                <w:div w:id="1478915291">
                  <w:marLeft w:val="0"/>
                  <w:marRight w:val="0"/>
                  <w:marTop w:val="0"/>
                  <w:marBottom w:val="0"/>
                  <w:divBdr>
                    <w:top w:val="none" w:sz="0" w:space="0" w:color="auto"/>
                    <w:left w:val="none" w:sz="0" w:space="0" w:color="auto"/>
                    <w:bottom w:val="none" w:sz="0" w:space="0" w:color="auto"/>
                    <w:right w:val="none" w:sz="0" w:space="0" w:color="auto"/>
                  </w:divBdr>
                  <w:divsChild>
                    <w:div w:id="10942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305374">
          <w:marLeft w:val="0"/>
          <w:marRight w:val="0"/>
          <w:marTop w:val="0"/>
          <w:marBottom w:val="0"/>
          <w:divBdr>
            <w:top w:val="none" w:sz="0" w:space="0" w:color="auto"/>
            <w:left w:val="none" w:sz="0" w:space="0" w:color="auto"/>
            <w:bottom w:val="none" w:sz="0" w:space="0" w:color="auto"/>
            <w:right w:val="none" w:sz="0" w:space="0" w:color="auto"/>
          </w:divBdr>
          <w:divsChild>
            <w:div w:id="2090883677">
              <w:marLeft w:val="0"/>
              <w:marRight w:val="0"/>
              <w:marTop w:val="0"/>
              <w:marBottom w:val="0"/>
              <w:divBdr>
                <w:top w:val="none" w:sz="0" w:space="0" w:color="auto"/>
                <w:left w:val="none" w:sz="0" w:space="0" w:color="auto"/>
                <w:bottom w:val="none" w:sz="0" w:space="0" w:color="auto"/>
                <w:right w:val="none" w:sz="0" w:space="0" w:color="auto"/>
              </w:divBdr>
              <w:divsChild>
                <w:div w:id="862330728">
                  <w:marLeft w:val="0"/>
                  <w:marRight w:val="0"/>
                  <w:marTop w:val="0"/>
                  <w:marBottom w:val="0"/>
                  <w:divBdr>
                    <w:top w:val="none" w:sz="0" w:space="0" w:color="auto"/>
                    <w:left w:val="none" w:sz="0" w:space="0" w:color="auto"/>
                    <w:bottom w:val="none" w:sz="0" w:space="0" w:color="auto"/>
                    <w:right w:val="none" w:sz="0" w:space="0" w:color="auto"/>
                  </w:divBdr>
                  <w:divsChild>
                    <w:div w:id="193635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143252">
      <w:bodyDiv w:val="1"/>
      <w:marLeft w:val="0"/>
      <w:marRight w:val="0"/>
      <w:marTop w:val="0"/>
      <w:marBottom w:val="0"/>
      <w:divBdr>
        <w:top w:val="none" w:sz="0" w:space="0" w:color="auto"/>
        <w:left w:val="none" w:sz="0" w:space="0" w:color="auto"/>
        <w:bottom w:val="none" w:sz="0" w:space="0" w:color="auto"/>
        <w:right w:val="none" w:sz="0" w:space="0" w:color="auto"/>
      </w:divBdr>
    </w:div>
    <w:div w:id="547111282">
      <w:bodyDiv w:val="1"/>
      <w:marLeft w:val="0"/>
      <w:marRight w:val="0"/>
      <w:marTop w:val="0"/>
      <w:marBottom w:val="0"/>
      <w:divBdr>
        <w:top w:val="none" w:sz="0" w:space="0" w:color="auto"/>
        <w:left w:val="none" w:sz="0" w:space="0" w:color="auto"/>
        <w:bottom w:val="none" w:sz="0" w:space="0" w:color="auto"/>
        <w:right w:val="none" w:sz="0" w:space="0" w:color="auto"/>
      </w:divBdr>
    </w:div>
    <w:div w:id="628517773">
      <w:bodyDiv w:val="1"/>
      <w:marLeft w:val="0"/>
      <w:marRight w:val="0"/>
      <w:marTop w:val="0"/>
      <w:marBottom w:val="0"/>
      <w:divBdr>
        <w:top w:val="none" w:sz="0" w:space="0" w:color="auto"/>
        <w:left w:val="none" w:sz="0" w:space="0" w:color="auto"/>
        <w:bottom w:val="none" w:sz="0" w:space="0" w:color="auto"/>
        <w:right w:val="none" w:sz="0" w:space="0" w:color="auto"/>
      </w:divBdr>
      <w:divsChild>
        <w:div w:id="227229641">
          <w:marLeft w:val="0"/>
          <w:marRight w:val="0"/>
          <w:marTop w:val="0"/>
          <w:marBottom w:val="0"/>
          <w:divBdr>
            <w:top w:val="none" w:sz="0" w:space="0" w:color="auto"/>
            <w:left w:val="none" w:sz="0" w:space="0" w:color="auto"/>
            <w:bottom w:val="none" w:sz="0" w:space="0" w:color="auto"/>
            <w:right w:val="none" w:sz="0" w:space="0" w:color="auto"/>
          </w:divBdr>
          <w:divsChild>
            <w:div w:id="1059667225">
              <w:marLeft w:val="0"/>
              <w:marRight w:val="0"/>
              <w:marTop w:val="0"/>
              <w:marBottom w:val="0"/>
              <w:divBdr>
                <w:top w:val="none" w:sz="0" w:space="0" w:color="auto"/>
                <w:left w:val="none" w:sz="0" w:space="0" w:color="auto"/>
                <w:bottom w:val="none" w:sz="0" w:space="0" w:color="auto"/>
                <w:right w:val="none" w:sz="0" w:space="0" w:color="auto"/>
              </w:divBdr>
              <w:divsChild>
                <w:div w:id="1753089780">
                  <w:marLeft w:val="0"/>
                  <w:marRight w:val="0"/>
                  <w:marTop w:val="0"/>
                  <w:marBottom w:val="0"/>
                  <w:divBdr>
                    <w:top w:val="none" w:sz="0" w:space="0" w:color="auto"/>
                    <w:left w:val="none" w:sz="0" w:space="0" w:color="auto"/>
                    <w:bottom w:val="none" w:sz="0" w:space="0" w:color="auto"/>
                    <w:right w:val="none" w:sz="0" w:space="0" w:color="auto"/>
                  </w:divBdr>
                  <w:divsChild>
                    <w:div w:id="111347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57026">
          <w:marLeft w:val="0"/>
          <w:marRight w:val="0"/>
          <w:marTop w:val="0"/>
          <w:marBottom w:val="0"/>
          <w:divBdr>
            <w:top w:val="none" w:sz="0" w:space="0" w:color="auto"/>
            <w:left w:val="none" w:sz="0" w:space="0" w:color="auto"/>
            <w:bottom w:val="none" w:sz="0" w:space="0" w:color="auto"/>
            <w:right w:val="none" w:sz="0" w:space="0" w:color="auto"/>
          </w:divBdr>
          <w:divsChild>
            <w:div w:id="834027158">
              <w:marLeft w:val="0"/>
              <w:marRight w:val="0"/>
              <w:marTop w:val="0"/>
              <w:marBottom w:val="0"/>
              <w:divBdr>
                <w:top w:val="none" w:sz="0" w:space="0" w:color="auto"/>
                <w:left w:val="none" w:sz="0" w:space="0" w:color="auto"/>
                <w:bottom w:val="none" w:sz="0" w:space="0" w:color="auto"/>
                <w:right w:val="none" w:sz="0" w:space="0" w:color="auto"/>
              </w:divBdr>
              <w:divsChild>
                <w:div w:id="1805390263">
                  <w:marLeft w:val="0"/>
                  <w:marRight w:val="0"/>
                  <w:marTop w:val="0"/>
                  <w:marBottom w:val="0"/>
                  <w:divBdr>
                    <w:top w:val="none" w:sz="0" w:space="0" w:color="auto"/>
                    <w:left w:val="none" w:sz="0" w:space="0" w:color="auto"/>
                    <w:bottom w:val="none" w:sz="0" w:space="0" w:color="auto"/>
                    <w:right w:val="none" w:sz="0" w:space="0" w:color="auto"/>
                  </w:divBdr>
                  <w:divsChild>
                    <w:div w:id="7546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754792">
      <w:bodyDiv w:val="1"/>
      <w:marLeft w:val="0"/>
      <w:marRight w:val="0"/>
      <w:marTop w:val="0"/>
      <w:marBottom w:val="0"/>
      <w:divBdr>
        <w:top w:val="none" w:sz="0" w:space="0" w:color="auto"/>
        <w:left w:val="none" w:sz="0" w:space="0" w:color="auto"/>
        <w:bottom w:val="none" w:sz="0" w:space="0" w:color="auto"/>
        <w:right w:val="none" w:sz="0" w:space="0" w:color="auto"/>
      </w:divBdr>
      <w:divsChild>
        <w:div w:id="1604069994">
          <w:marLeft w:val="0"/>
          <w:marRight w:val="0"/>
          <w:marTop w:val="0"/>
          <w:marBottom w:val="0"/>
          <w:divBdr>
            <w:top w:val="none" w:sz="0" w:space="0" w:color="auto"/>
            <w:left w:val="none" w:sz="0" w:space="0" w:color="auto"/>
            <w:bottom w:val="none" w:sz="0" w:space="0" w:color="auto"/>
            <w:right w:val="none" w:sz="0" w:space="0" w:color="auto"/>
          </w:divBdr>
          <w:divsChild>
            <w:div w:id="762071441">
              <w:marLeft w:val="0"/>
              <w:marRight w:val="0"/>
              <w:marTop w:val="0"/>
              <w:marBottom w:val="0"/>
              <w:divBdr>
                <w:top w:val="none" w:sz="0" w:space="0" w:color="auto"/>
                <w:left w:val="none" w:sz="0" w:space="0" w:color="auto"/>
                <w:bottom w:val="none" w:sz="0" w:space="0" w:color="auto"/>
                <w:right w:val="none" w:sz="0" w:space="0" w:color="auto"/>
              </w:divBdr>
              <w:divsChild>
                <w:div w:id="1487165657">
                  <w:marLeft w:val="0"/>
                  <w:marRight w:val="0"/>
                  <w:marTop w:val="0"/>
                  <w:marBottom w:val="0"/>
                  <w:divBdr>
                    <w:top w:val="none" w:sz="0" w:space="0" w:color="auto"/>
                    <w:left w:val="none" w:sz="0" w:space="0" w:color="auto"/>
                    <w:bottom w:val="none" w:sz="0" w:space="0" w:color="auto"/>
                    <w:right w:val="none" w:sz="0" w:space="0" w:color="auto"/>
                  </w:divBdr>
                  <w:divsChild>
                    <w:div w:id="143459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79668">
          <w:marLeft w:val="0"/>
          <w:marRight w:val="0"/>
          <w:marTop w:val="0"/>
          <w:marBottom w:val="0"/>
          <w:divBdr>
            <w:top w:val="none" w:sz="0" w:space="0" w:color="auto"/>
            <w:left w:val="none" w:sz="0" w:space="0" w:color="auto"/>
            <w:bottom w:val="none" w:sz="0" w:space="0" w:color="auto"/>
            <w:right w:val="none" w:sz="0" w:space="0" w:color="auto"/>
          </w:divBdr>
          <w:divsChild>
            <w:div w:id="566572656">
              <w:marLeft w:val="0"/>
              <w:marRight w:val="0"/>
              <w:marTop w:val="0"/>
              <w:marBottom w:val="0"/>
              <w:divBdr>
                <w:top w:val="none" w:sz="0" w:space="0" w:color="auto"/>
                <w:left w:val="none" w:sz="0" w:space="0" w:color="auto"/>
                <w:bottom w:val="none" w:sz="0" w:space="0" w:color="auto"/>
                <w:right w:val="none" w:sz="0" w:space="0" w:color="auto"/>
              </w:divBdr>
              <w:divsChild>
                <w:div w:id="1673533326">
                  <w:marLeft w:val="0"/>
                  <w:marRight w:val="0"/>
                  <w:marTop w:val="0"/>
                  <w:marBottom w:val="0"/>
                  <w:divBdr>
                    <w:top w:val="none" w:sz="0" w:space="0" w:color="auto"/>
                    <w:left w:val="none" w:sz="0" w:space="0" w:color="auto"/>
                    <w:bottom w:val="none" w:sz="0" w:space="0" w:color="auto"/>
                    <w:right w:val="none" w:sz="0" w:space="0" w:color="auto"/>
                  </w:divBdr>
                  <w:divsChild>
                    <w:div w:id="124518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699135">
      <w:bodyDiv w:val="1"/>
      <w:marLeft w:val="0"/>
      <w:marRight w:val="0"/>
      <w:marTop w:val="0"/>
      <w:marBottom w:val="0"/>
      <w:divBdr>
        <w:top w:val="none" w:sz="0" w:space="0" w:color="auto"/>
        <w:left w:val="none" w:sz="0" w:space="0" w:color="auto"/>
        <w:bottom w:val="none" w:sz="0" w:space="0" w:color="auto"/>
        <w:right w:val="none" w:sz="0" w:space="0" w:color="auto"/>
      </w:divBdr>
      <w:divsChild>
        <w:div w:id="1313831315">
          <w:marLeft w:val="0"/>
          <w:marRight w:val="0"/>
          <w:marTop w:val="0"/>
          <w:marBottom w:val="0"/>
          <w:divBdr>
            <w:top w:val="none" w:sz="0" w:space="0" w:color="auto"/>
            <w:left w:val="none" w:sz="0" w:space="0" w:color="auto"/>
            <w:bottom w:val="none" w:sz="0" w:space="0" w:color="auto"/>
            <w:right w:val="none" w:sz="0" w:space="0" w:color="auto"/>
          </w:divBdr>
          <w:divsChild>
            <w:div w:id="1843810732">
              <w:marLeft w:val="0"/>
              <w:marRight w:val="0"/>
              <w:marTop w:val="0"/>
              <w:marBottom w:val="0"/>
              <w:divBdr>
                <w:top w:val="none" w:sz="0" w:space="0" w:color="auto"/>
                <w:left w:val="none" w:sz="0" w:space="0" w:color="auto"/>
                <w:bottom w:val="none" w:sz="0" w:space="0" w:color="auto"/>
                <w:right w:val="none" w:sz="0" w:space="0" w:color="auto"/>
              </w:divBdr>
              <w:divsChild>
                <w:div w:id="642081481">
                  <w:marLeft w:val="0"/>
                  <w:marRight w:val="0"/>
                  <w:marTop w:val="0"/>
                  <w:marBottom w:val="0"/>
                  <w:divBdr>
                    <w:top w:val="none" w:sz="0" w:space="0" w:color="auto"/>
                    <w:left w:val="none" w:sz="0" w:space="0" w:color="auto"/>
                    <w:bottom w:val="none" w:sz="0" w:space="0" w:color="auto"/>
                    <w:right w:val="none" w:sz="0" w:space="0" w:color="auto"/>
                  </w:divBdr>
                  <w:divsChild>
                    <w:div w:id="7078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404483">
          <w:marLeft w:val="0"/>
          <w:marRight w:val="0"/>
          <w:marTop w:val="0"/>
          <w:marBottom w:val="0"/>
          <w:divBdr>
            <w:top w:val="none" w:sz="0" w:space="0" w:color="auto"/>
            <w:left w:val="none" w:sz="0" w:space="0" w:color="auto"/>
            <w:bottom w:val="none" w:sz="0" w:space="0" w:color="auto"/>
            <w:right w:val="none" w:sz="0" w:space="0" w:color="auto"/>
          </w:divBdr>
          <w:divsChild>
            <w:div w:id="514420850">
              <w:marLeft w:val="0"/>
              <w:marRight w:val="0"/>
              <w:marTop w:val="0"/>
              <w:marBottom w:val="0"/>
              <w:divBdr>
                <w:top w:val="none" w:sz="0" w:space="0" w:color="auto"/>
                <w:left w:val="none" w:sz="0" w:space="0" w:color="auto"/>
                <w:bottom w:val="none" w:sz="0" w:space="0" w:color="auto"/>
                <w:right w:val="none" w:sz="0" w:space="0" w:color="auto"/>
              </w:divBdr>
              <w:divsChild>
                <w:div w:id="1763649966">
                  <w:marLeft w:val="0"/>
                  <w:marRight w:val="0"/>
                  <w:marTop w:val="0"/>
                  <w:marBottom w:val="0"/>
                  <w:divBdr>
                    <w:top w:val="none" w:sz="0" w:space="0" w:color="auto"/>
                    <w:left w:val="none" w:sz="0" w:space="0" w:color="auto"/>
                    <w:bottom w:val="none" w:sz="0" w:space="0" w:color="auto"/>
                    <w:right w:val="none" w:sz="0" w:space="0" w:color="auto"/>
                  </w:divBdr>
                  <w:divsChild>
                    <w:div w:id="7017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953314">
      <w:bodyDiv w:val="1"/>
      <w:marLeft w:val="0"/>
      <w:marRight w:val="0"/>
      <w:marTop w:val="0"/>
      <w:marBottom w:val="0"/>
      <w:divBdr>
        <w:top w:val="none" w:sz="0" w:space="0" w:color="auto"/>
        <w:left w:val="none" w:sz="0" w:space="0" w:color="auto"/>
        <w:bottom w:val="none" w:sz="0" w:space="0" w:color="auto"/>
        <w:right w:val="none" w:sz="0" w:space="0" w:color="auto"/>
      </w:divBdr>
      <w:divsChild>
        <w:div w:id="1379361211">
          <w:marLeft w:val="0"/>
          <w:marRight w:val="0"/>
          <w:marTop w:val="0"/>
          <w:marBottom w:val="0"/>
          <w:divBdr>
            <w:top w:val="none" w:sz="0" w:space="0" w:color="auto"/>
            <w:left w:val="none" w:sz="0" w:space="0" w:color="auto"/>
            <w:bottom w:val="none" w:sz="0" w:space="0" w:color="auto"/>
            <w:right w:val="none" w:sz="0" w:space="0" w:color="auto"/>
          </w:divBdr>
          <w:divsChild>
            <w:div w:id="1761949375">
              <w:marLeft w:val="0"/>
              <w:marRight w:val="0"/>
              <w:marTop w:val="0"/>
              <w:marBottom w:val="0"/>
              <w:divBdr>
                <w:top w:val="none" w:sz="0" w:space="0" w:color="auto"/>
                <w:left w:val="none" w:sz="0" w:space="0" w:color="auto"/>
                <w:bottom w:val="none" w:sz="0" w:space="0" w:color="auto"/>
                <w:right w:val="none" w:sz="0" w:space="0" w:color="auto"/>
              </w:divBdr>
              <w:divsChild>
                <w:div w:id="124663621">
                  <w:marLeft w:val="0"/>
                  <w:marRight w:val="0"/>
                  <w:marTop w:val="0"/>
                  <w:marBottom w:val="0"/>
                  <w:divBdr>
                    <w:top w:val="none" w:sz="0" w:space="0" w:color="auto"/>
                    <w:left w:val="none" w:sz="0" w:space="0" w:color="auto"/>
                    <w:bottom w:val="none" w:sz="0" w:space="0" w:color="auto"/>
                    <w:right w:val="none" w:sz="0" w:space="0" w:color="auto"/>
                  </w:divBdr>
                  <w:divsChild>
                    <w:div w:id="11914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756951">
          <w:marLeft w:val="0"/>
          <w:marRight w:val="0"/>
          <w:marTop w:val="0"/>
          <w:marBottom w:val="0"/>
          <w:divBdr>
            <w:top w:val="none" w:sz="0" w:space="0" w:color="auto"/>
            <w:left w:val="none" w:sz="0" w:space="0" w:color="auto"/>
            <w:bottom w:val="none" w:sz="0" w:space="0" w:color="auto"/>
            <w:right w:val="none" w:sz="0" w:space="0" w:color="auto"/>
          </w:divBdr>
          <w:divsChild>
            <w:div w:id="1957564432">
              <w:marLeft w:val="0"/>
              <w:marRight w:val="0"/>
              <w:marTop w:val="0"/>
              <w:marBottom w:val="0"/>
              <w:divBdr>
                <w:top w:val="none" w:sz="0" w:space="0" w:color="auto"/>
                <w:left w:val="none" w:sz="0" w:space="0" w:color="auto"/>
                <w:bottom w:val="none" w:sz="0" w:space="0" w:color="auto"/>
                <w:right w:val="none" w:sz="0" w:space="0" w:color="auto"/>
              </w:divBdr>
              <w:divsChild>
                <w:div w:id="1515222014">
                  <w:marLeft w:val="0"/>
                  <w:marRight w:val="0"/>
                  <w:marTop w:val="0"/>
                  <w:marBottom w:val="0"/>
                  <w:divBdr>
                    <w:top w:val="none" w:sz="0" w:space="0" w:color="auto"/>
                    <w:left w:val="none" w:sz="0" w:space="0" w:color="auto"/>
                    <w:bottom w:val="none" w:sz="0" w:space="0" w:color="auto"/>
                    <w:right w:val="none" w:sz="0" w:space="0" w:color="auto"/>
                  </w:divBdr>
                  <w:divsChild>
                    <w:div w:id="16909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999978">
      <w:bodyDiv w:val="1"/>
      <w:marLeft w:val="0"/>
      <w:marRight w:val="0"/>
      <w:marTop w:val="0"/>
      <w:marBottom w:val="0"/>
      <w:divBdr>
        <w:top w:val="none" w:sz="0" w:space="0" w:color="auto"/>
        <w:left w:val="none" w:sz="0" w:space="0" w:color="auto"/>
        <w:bottom w:val="none" w:sz="0" w:space="0" w:color="auto"/>
        <w:right w:val="none" w:sz="0" w:space="0" w:color="auto"/>
      </w:divBdr>
    </w:div>
    <w:div w:id="837426541">
      <w:bodyDiv w:val="1"/>
      <w:marLeft w:val="0"/>
      <w:marRight w:val="0"/>
      <w:marTop w:val="0"/>
      <w:marBottom w:val="0"/>
      <w:divBdr>
        <w:top w:val="none" w:sz="0" w:space="0" w:color="auto"/>
        <w:left w:val="none" w:sz="0" w:space="0" w:color="auto"/>
        <w:bottom w:val="none" w:sz="0" w:space="0" w:color="auto"/>
        <w:right w:val="none" w:sz="0" w:space="0" w:color="auto"/>
      </w:divBdr>
    </w:div>
    <w:div w:id="955215461">
      <w:bodyDiv w:val="1"/>
      <w:marLeft w:val="0"/>
      <w:marRight w:val="0"/>
      <w:marTop w:val="0"/>
      <w:marBottom w:val="0"/>
      <w:divBdr>
        <w:top w:val="none" w:sz="0" w:space="0" w:color="auto"/>
        <w:left w:val="none" w:sz="0" w:space="0" w:color="auto"/>
        <w:bottom w:val="none" w:sz="0" w:space="0" w:color="auto"/>
        <w:right w:val="none" w:sz="0" w:space="0" w:color="auto"/>
      </w:divBdr>
      <w:divsChild>
        <w:div w:id="200098291">
          <w:marLeft w:val="0"/>
          <w:marRight w:val="0"/>
          <w:marTop w:val="0"/>
          <w:marBottom w:val="0"/>
          <w:divBdr>
            <w:top w:val="none" w:sz="0" w:space="0" w:color="auto"/>
            <w:left w:val="none" w:sz="0" w:space="0" w:color="auto"/>
            <w:bottom w:val="none" w:sz="0" w:space="0" w:color="auto"/>
            <w:right w:val="none" w:sz="0" w:space="0" w:color="auto"/>
          </w:divBdr>
          <w:divsChild>
            <w:div w:id="613250056">
              <w:marLeft w:val="0"/>
              <w:marRight w:val="0"/>
              <w:marTop w:val="0"/>
              <w:marBottom w:val="0"/>
              <w:divBdr>
                <w:top w:val="none" w:sz="0" w:space="0" w:color="auto"/>
                <w:left w:val="none" w:sz="0" w:space="0" w:color="auto"/>
                <w:bottom w:val="none" w:sz="0" w:space="0" w:color="auto"/>
                <w:right w:val="none" w:sz="0" w:space="0" w:color="auto"/>
              </w:divBdr>
              <w:divsChild>
                <w:div w:id="1630016317">
                  <w:marLeft w:val="0"/>
                  <w:marRight w:val="0"/>
                  <w:marTop w:val="0"/>
                  <w:marBottom w:val="0"/>
                  <w:divBdr>
                    <w:top w:val="none" w:sz="0" w:space="0" w:color="auto"/>
                    <w:left w:val="none" w:sz="0" w:space="0" w:color="auto"/>
                    <w:bottom w:val="none" w:sz="0" w:space="0" w:color="auto"/>
                    <w:right w:val="none" w:sz="0" w:space="0" w:color="auto"/>
                  </w:divBdr>
                  <w:divsChild>
                    <w:div w:id="11055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11742">
          <w:marLeft w:val="0"/>
          <w:marRight w:val="0"/>
          <w:marTop w:val="0"/>
          <w:marBottom w:val="0"/>
          <w:divBdr>
            <w:top w:val="none" w:sz="0" w:space="0" w:color="auto"/>
            <w:left w:val="none" w:sz="0" w:space="0" w:color="auto"/>
            <w:bottom w:val="none" w:sz="0" w:space="0" w:color="auto"/>
            <w:right w:val="none" w:sz="0" w:space="0" w:color="auto"/>
          </w:divBdr>
          <w:divsChild>
            <w:div w:id="1126315703">
              <w:marLeft w:val="0"/>
              <w:marRight w:val="0"/>
              <w:marTop w:val="0"/>
              <w:marBottom w:val="0"/>
              <w:divBdr>
                <w:top w:val="none" w:sz="0" w:space="0" w:color="auto"/>
                <w:left w:val="none" w:sz="0" w:space="0" w:color="auto"/>
                <w:bottom w:val="none" w:sz="0" w:space="0" w:color="auto"/>
                <w:right w:val="none" w:sz="0" w:space="0" w:color="auto"/>
              </w:divBdr>
              <w:divsChild>
                <w:div w:id="1575551882">
                  <w:marLeft w:val="0"/>
                  <w:marRight w:val="0"/>
                  <w:marTop w:val="0"/>
                  <w:marBottom w:val="0"/>
                  <w:divBdr>
                    <w:top w:val="none" w:sz="0" w:space="0" w:color="auto"/>
                    <w:left w:val="none" w:sz="0" w:space="0" w:color="auto"/>
                    <w:bottom w:val="none" w:sz="0" w:space="0" w:color="auto"/>
                    <w:right w:val="none" w:sz="0" w:space="0" w:color="auto"/>
                  </w:divBdr>
                  <w:divsChild>
                    <w:div w:id="8721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02102">
      <w:bodyDiv w:val="1"/>
      <w:marLeft w:val="0"/>
      <w:marRight w:val="0"/>
      <w:marTop w:val="0"/>
      <w:marBottom w:val="0"/>
      <w:divBdr>
        <w:top w:val="none" w:sz="0" w:space="0" w:color="auto"/>
        <w:left w:val="none" w:sz="0" w:space="0" w:color="auto"/>
        <w:bottom w:val="none" w:sz="0" w:space="0" w:color="auto"/>
        <w:right w:val="none" w:sz="0" w:space="0" w:color="auto"/>
      </w:divBdr>
      <w:divsChild>
        <w:div w:id="1981691515">
          <w:marLeft w:val="0"/>
          <w:marRight w:val="0"/>
          <w:marTop w:val="0"/>
          <w:marBottom w:val="0"/>
          <w:divBdr>
            <w:top w:val="none" w:sz="0" w:space="0" w:color="auto"/>
            <w:left w:val="none" w:sz="0" w:space="0" w:color="auto"/>
            <w:bottom w:val="none" w:sz="0" w:space="0" w:color="auto"/>
            <w:right w:val="none" w:sz="0" w:space="0" w:color="auto"/>
          </w:divBdr>
          <w:divsChild>
            <w:div w:id="1430275920">
              <w:marLeft w:val="0"/>
              <w:marRight w:val="0"/>
              <w:marTop w:val="0"/>
              <w:marBottom w:val="0"/>
              <w:divBdr>
                <w:top w:val="none" w:sz="0" w:space="0" w:color="auto"/>
                <w:left w:val="none" w:sz="0" w:space="0" w:color="auto"/>
                <w:bottom w:val="none" w:sz="0" w:space="0" w:color="auto"/>
                <w:right w:val="none" w:sz="0" w:space="0" w:color="auto"/>
              </w:divBdr>
              <w:divsChild>
                <w:div w:id="666400151">
                  <w:marLeft w:val="0"/>
                  <w:marRight w:val="0"/>
                  <w:marTop w:val="0"/>
                  <w:marBottom w:val="0"/>
                  <w:divBdr>
                    <w:top w:val="none" w:sz="0" w:space="0" w:color="auto"/>
                    <w:left w:val="none" w:sz="0" w:space="0" w:color="auto"/>
                    <w:bottom w:val="none" w:sz="0" w:space="0" w:color="auto"/>
                    <w:right w:val="none" w:sz="0" w:space="0" w:color="auto"/>
                  </w:divBdr>
                  <w:divsChild>
                    <w:div w:id="123295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542754">
          <w:marLeft w:val="0"/>
          <w:marRight w:val="0"/>
          <w:marTop w:val="0"/>
          <w:marBottom w:val="0"/>
          <w:divBdr>
            <w:top w:val="none" w:sz="0" w:space="0" w:color="auto"/>
            <w:left w:val="none" w:sz="0" w:space="0" w:color="auto"/>
            <w:bottom w:val="none" w:sz="0" w:space="0" w:color="auto"/>
            <w:right w:val="none" w:sz="0" w:space="0" w:color="auto"/>
          </w:divBdr>
          <w:divsChild>
            <w:div w:id="846359562">
              <w:marLeft w:val="0"/>
              <w:marRight w:val="0"/>
              <w:marTop w:val="0"/>
              <w:marBottom w:val="0"/>
              <w:divBdr>
                <w:top w:val="none" w:sz="0" w:space="0" w:color="auto"/>
                <w:left w:val="none" w:sz="0" w:space="0" w:color="auto"/>
                <w:bottom w:val="none" w:sz="0" w:space="0" w:color="auto"/>
                <w:right w:val="none" w:sz="0" w:space="0" w:color="auto"/>
              </w:divBdr>
              <w:divsChild>
                <w:div w:id="538903457">
                  <w:marLeft w:val="0"/>
                  <w:marRight w:val="0"/>
                  <w:marTop w:val="0"/>
                  <w:marBottom w:val="0"/>
                  <w:divBdr>
                    <w:top w:val="none" w:sz="0" w:space="0" w:color="auto"/>
                    <w:left w:val="none" w:sz="0" w:space="0" w:color="auto"/>
                    <w:bottom w:val="none" w:sz="0" w:space="0" w:color="auto"/>
                    <w:right w:val="none" w:sz="0" w:space="0" w:color="auto"/>
                  </w:divBdr>
                  <w:divsChild>
                    <w:div w:id="63911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981685">
      <w:bodyDiv w:val="1"/>
      <w:marLeft w:val="0"/>
      <w:marRight w:val="0"/>
      <w:marTop w:val="0"/>
      <w:marBottom w:val="0"/>
      <w:divBdr>
        <w:top w:val="none" w:sz="0" w:space="0" w:color="auto"/>
        <w:left w:val="none" w:sz="0" w:space="0" w:color="auto"/>
        <w:bottom w:val="none" w:sz="0" w:space="0" w:color="auto"/>
        <w:right w:val="none" w:sz="0" w:space="0" w:color="auto"/>
      </w:divBdr>
    </w:div>
    <w:div w:id="1790322612">
      <w:bodyDiv w:val="1"/>
      <w:marLeft w:val="0"/>
      <w:marRight w:val="0"/>
      <w:marTop w:val="0"/>
      <w:marBottom w:val="0"/>
      <w:divBdr>
        <w:top w:val="none" w:sz="0" w:space="0" w:color="auto"/>
        <w:left w:val="none" w:sz="0" w:space="0" w:color="auto"/>
        <w:bottom w:val="none" w:sz="0" w:space="0" w:color="auto"/>
        <w:right w:val="none" w:sz="0" w:space="0" w:color="auto"/>
      </w:divBdr>
      <w:divsChild>
        <w:div w:id="1444614182">
          <w:marLeft w:val="0"/>
          <w:marRight w:val="0"/>
          <w:marTop w:val="0"/>
          <w:marBottom w:val="0"/>
          <w:divBdr>
            <w:top w:val="none" w:sz="0" w:space="0" w:color="auto"/>
            <w:left w:val="none" w:sz="0" w:space="0" w:color="auto"/>
            <w:bottom w:val="none" w:sz="0" w:space="0" w:color="auto"/>
            <w:right w:val="none" w:sz="0" w:space="0" w:color="auto"/>
          </w:divBdr>
          <w:divsChild>
            <w:div w:id="1195146444">
              <w:marLeft w:val="0"/>
              <w:marRight w:val="0"/>
              <w:marTop w:val="0"/>
              <w:marBottom w:val="0"/>
              <w:divBdr>
                <w:top w:val="none" w:sz="0" w:space="0" w:color="auto"/>
                <w:left w:val="none" w:sz="0" w:space="0" w:color="auto"/>
                <w:bottom w:val="none" w:sz="0" w:space="0" w:color="auto"/>
                <w:right w:val="none" w:sz="0" w:space="0" w:color="auto"/>
              </w:divBdr>
              <w:divsChild>
                <w:div w:id="719524210">
                  <w:marLeft w:val="0"/>
                  <w:marRight w:val="0"/>
                  <w:marTop w:val="0"/>
                  <w:marBottom w:val="0"/>
                  <w:divBdr>
                    <w:top w:val="none" w:sz="0" w:space="0" w:color="auto"/>
                    <w:left w:val="none" w:sz="0" w:space="0" w:color="auto"/>
                    <w:bottom w:val="none" w:sz="0" w:space="0" w:color="auto"/>
                    <w:right w:val="none" w:sz="0" w:space="0" w:color="auto"/>
                  </w:divBdr>
                  <w:divsChild>
                    <w:div w:id="140348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64885">
          <w:marLeft w:val="0"/>
          <w:marRight w:val="0"/>
          <w:marTop w:val="0"/>
          <w:marBottom w:val="0"/>
          <w:divBdr>
            <w:top w:val="none" w:sz="0" w:space="0" w:color="auto"/>
            <w:left w:val="none" w:sz="0" w:space="0" w:color="auto"/>
            <w:bottom w:val="none" w:sz="0" w:space="0" w:color="auto"/>
            <w:right w:val="none" w:sz="0" w:space="0" w:color="auto"/>
          </w:divBdr>
          <w:divsChild>
            <w:div w:id="1562908190">
              <w:marLeft w:val="0"/>
              <w:marRight w:val="0"/>
              <w:marTop w:val="0"/>
              <w:marBottom w:val="0"/>
              <w:divBdr>
                <w:top w:val="none" w:sz="0" w:space="0" w:color="auto"/>
                <w:left w:val="none" w:sz="0" w:space="0" w:color="auto"/>
                <w:bottom w:val="none" w:sz="0" w:space="0" w:color="auto"/>
                <w:right w:val="none" w:sz="0" w:space="0" w:color="auto"/>
              </w:divBdr>
              <w:divsChild>
                <w:div w:id="95562424">
                  <w:marLeft w:val="0"/>
                  <w:marRight w:val="0"/>
                  <w:marTop w:val="0"/>
                  <w:marBottom w:val="0"/>
                  <w:divBdr>
                    <w:top w:val="none" w:sz="0" w:space="0" w:color="auto"/>
                    <w:left w:val="none" w:sz="0" w:space="0" w:color="auto"/>
                    <w:bottom w:val="none" w:sz="0" w:space="0" w:color="auto"/>
                    <w:right w:val="none" w:sz="0" w:space="0" w:color="auto"/>
                  </w:divBdr>
                  <w:divsChild>
                    <w:div w:id="10762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06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si/2002/2013/contents/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26512/lstr.v11i1.24847" TargetMode="External"/><Relationship Id="rId5" Type="http://schemas.openxmlformats.org/officeDocument/2006/relationships/hyperlink" Target="https://plus-lexis-com.ezproxy.uwtsd.ac.uk/uk/cases-uk/attrill-v-dresdner-kleinwort-ltd_2/?crid=71b2c791-d53c-44a2-81d3-17b83752a0df&amp;pddocumentnumber=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2216</Words>
  <Characters>12636</Characters>
  <Application>Microsoft Office Word</Application>
  <DocSecurity>0</DocSecurity>
  <Lines>105</Lines>
  <Paragraphs>29</Paragraphs>
  <ScaleCrop>false</ScaleCrop>
  <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jADE BROWN -2319007</dc:title>
  <dc:subject>CONTRACT LAW</dc:subject>
  <dc:creator>jade brown</dc:creator>
  <cp:keywords/>
  <dc:description/>
  <cp:lastModifiedBy>jade brown</cp:lastModifiedBy>
  <cp:revision>6</cp:revision>
  <dcterms:created xsi:type="dcterms:W3CDTF">2025-03-03T19:30:00Z</dcterms:created>
  <dcterms:modified xsi:type="dcterms:W3CDTF">2025-03-07T14:58:00Z</dcterms:modified>
</cp:coreProperties>
</file>