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7E813" w14:textId="708664AA" w:rsidR="00D71751" w:rsidRDefault="00D71751" w:rsidP="005A05AE">
      <w:pPr>
        <w:jc w:val="center"/>
        <w:rPr>
          <w:rFonts w:ascii="Times New Roman" w:hAnsi="Times New Roman" w:cs="Times New Roman"/>
          <w:b/>
          <w:bCs/>
          <w:sz w:val="24"/>
          <w:szCs w:val="24"/>
        </w:rPr>
      </w:pPr>
      <w:r>
        <w:rPr>
          <w:noProof/>
        </w:rPr>
        <w:drawing>
          <wp:inline distT="0" distB="0" distL="0" distR="0" wp14:anchorId="0106AB8F" wp14:editId="77F03DA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E68DEE5" w14:textId="6ED0D035" w:rsidR="005A05AE" w:rsidRPr="00B76021" w:rsidRDefault="00B76021" w:rsidP="005A05AE">
      <w:pPr>
        <w:jc w:val="center"/>
        <w:rPr>
          <w:rFonts w:ascii="Times New Roman" w:hAnsi="Times New Roman" w:cs="Times New Roman"/>
          <w:b/>
          <w:bCs/>
          <w:sz w:val="24"/>
          <w:szCs w:val="24"/>
        </w:rPr>
      </w:pPr>
      <w:r w:rsidRPr="00B76021">
        <w:rPr>
          <w:rFonts w:ascii="Times New Roman" w:hAnsi="Times New Roman" w:cs="Times New Roman"/>
          <w:b/>
          <w:bCs/>
          <w:sz w:val="24"/>
          <w:szCs w:val="24"/>
        </w:rPr>
        <w:t>University of Wales Trinity Saint David</w:t>
      </w:r>
      <w:r w:rsidRPr="00B76021">
        <w:rPr>
          <w:rFonts w:ascii="Times New Roman" w:hAnsi="Times New Roman" w:cs="Times New Roman"/>
          <w:sz w:val="24"/>
          <w:szCs w:val="24"/>
        </w:rPr>
        <w:br/>
      </w:r>
      <w:r w:rsidRPr="00B76021">
        <w:rPr>
          <w:rFonts w:ascii="Times New Roman" w:hAnsi="Times New Roman" w:cs="Times New Roman"/>
          <w:b/>
          <w:bCs/>
          <w:sz w:val="24"/>
          <w:szCs w:val="24"/>
        </w:rPr>
        <w:t>London Campus</w:t>
      </w:r>
    </w:p>
    <w:p w14:paraId="7E4001D6" w14:textId="77777777" w:rsidR="00B76021" w:rsidRDefault="00B76021" w:rsidP="005A05AE">
      <w:pPr>
        <w:jc w:val="center"/>
        <w:rPr>
          <w:rFonts w:ascii="Times New Roman" w:hAnsi="Times New Roman" w:cs="Times New Roman"/>
          <w:b/>
          <w:bCs/>
          <w:sz w:val="24"/>
          <w:szCs w:val="24"/>
        </w:rPr>
      </w:pPr>
      <w:r w:rsidRPr="00B76021">
        <w:rPr>
          <w:rFonts w:ascii="Times New Roman" w:hAnsi="Times New Roman" w:cs="Times New Roman"/>
          <w:b/>
          <w:bCs/>
          <w:sz w:val="24"/>
          <w:szCs w:val="24"/>
        </w:rPr>
        <w:t>LCMB7002 – Financial Management</w:t>
      </w:r>
      <w:r w:rsidRPr="00B76021">
        <w:rPr>
          <w:rFonts w:ascii="Times New Roman" w:hAnsi="Times New Roman" w:cs="Times New Roman"/>
          <w:sz w:val="24"/>
          <w:szCs w:val="24"/>
        </w:rPr>
        <w:br/>
      </w:r>
      <w:r w:rsidRPr="00B76021">
        <w:rPr>
          <w:rFonts w:ascii="Times New Roman" w:hAnsi="Times New Roman" w:cs="Times New Roman"/>
          <w:b/>
          <w:bCs/>
          <w:sz w:val="24"/>
          <w:szCs w:val="24"/>
        </w:rPr>
        <w:t>Assessment Report</w:t>
      </w:r>
    </w:p>
    <w:p w14:paraId="75610D73" w14:textId="77777777" w:rsidR="005A05AE" w:rsidRDefault="005A05AE" w:rsidP="005A05AE">
      <w:pPr>
        <w:jc w:val="center"/>
        <w:rPr>
          <w:rFonts w:ascii="Times New Roman" w:hAnsi="Times New Roman" w:cs="Times New Roman"/>
          <w:sz w:val="24"/>
          <w:szCs w:val="24"/>
        </w:rPr>
      </w:pPr>
    </w:p>
    <w:p w14:paraId="71C814DE" w14:textId="77777777" w:rsidR="005A05AE" w:rsidRPr="00B76021" w:rsidRDefault="005A05AE" w:rsidP="005A05AE">
      <w:pPr>
        <w:jc w:val="center"/>
        <w:rPr>
          <w:rFonts w:ascii="Times New Roman" w:hAnsi="Times New Roman" w:cs="Times New Roman"/>
          <w:sz w:val="24"/>
          <w:szCs w:val="24"/>
        </w:rPr>
      </w:pPr>
    </w:p>
    <w:p w14:paraId="4A6A7337" w14:textId="13C4909E" w:rsidR="00B76021" w:rsidRDefault="00B76021" w:rsidP="005A05AE">
      <w:pPr>
        <w:jc w:val="center"/>
        <w:rPr>
          <w:rFonts w:ascii="Times New Roman" w:hAnsi="Times New Roman" w:cs="Times New Roman"/>
          <w:b/>
          <w:bCs/>
          <w:sz w:val="24"/>
          <w:szCs w:val="24"/>
        </w:rPr>
      </w:pPr>
      <w:r w:rsidRPr="00B76021">
        <w:rPr>
          <w:rFonts w:ascii="Times New Roman" w:hAnsi="Times New Roman" w:cs="Times New Roman"/>
          <w:b/>
          <w:bCs/>
          <w:sz w:val="24"/>
          <w:szCs w:val="24"/>
        </w:rPr>
        <w:t>Title</w:t>
      </w:r>
      <w:r w:rsidRPr="00B76021">
        <w:rPr>
          <w:rFonts w:ascii="Times New Roman" w:hAnsi="Times New Roman" w:cs="Times New Roman"/>
          <w:sz w:val="24"/>
          <w:szCs w:val="24"/>
        </w:rPr>
        <w:br/>
      </w:r>
      <w:r w:rsidRPr="00B76021">
        <w:rPr>
          <w:rFonts w:ascii="Times New Roman" w:hAnsi="Times New Roman" w:cs="Times New Roman"/>
          <w:b/>
          <w:bCs/>
          <w:i/>
          <w:iCs/>
          <w:sz w:val="32"/>
          <w:szCs w:val="32"/>
        </w:rPr>
        <w:t>Financial Performance Evaluation, Working Capital Analysis, Strategic Restructuring, and Investment Appraisal of General Electronics</w:t>
      </w:r>
    </w:p>
    <w:p w14:paraId="46577BB5" w14:textId="77777777" w:rsidR="005A05AE" w:rsidRDefault="005A05AE" w:rsidP="005A05AE">
      <w:pPr>
        <w:jc w:val="center"/>
        <w:rPr>
          <w:rFonts w:ascii="Times New Roman" w:hAnsi="Times New Roman" w:cs="Times New Roman"/>
          <w:b/>
          <w:bCs/>
          <w:sz w:val="24"/>
          <w:szCs w:val="24"/>
        </w:rPr>
      </w:pPr>
    </w:p>
    <w:p w14:paraId="7B40765B" w14:textId="77777777" w:rsidR="005A05AE" w:rsidRDefault="005A05AE" w:rsidP="005A05AE">
      <w:pPr>
        <w:jc w:val="center"/>
        <w:rPr>
          <w:rFonts w:ascii="Times New Roman" w:hAnsi="Times New Roman" w:cs="Times New Roman"/>
          <w:b/>
          <w:bCs/>
          <w:sz w:val="24"/>
          <w:szCs w:val="24"/>
        </w:rPr>
      </w:pPr>
    </w:p>
    <w:p w14:paraId="402B03CD" w14:textId="77777777" w:rsidR="005A05AE" w:rsidRDefault="005A05AE" w:rsidP="005A05AE">
      <w:pPr>
        <w:jc w:val="center"/>
        <w:rPr>
          <w:rFonts w:ascii="Times New Roman" w:hAnsi="Times New Roman" w:cs="Times New Roman"/>
          <w:b/>
          <w:bCs/>
          <w:sz w:val="24"/>
          <w:szCs w:val="24"/>
        </w:rPr>
      </w:pPr>
    </w:p>
    <w:p w14:paraId="4FB52955" w14:textId="77777777" w:rsidR="005A05AE" w:rsidRDefault="005A05AE" w:rsidP="005A05AE">
      <w:pPr>
        <w:jc w:val="center"/>
        <w:rPr>
          <w:rFonts w:ascii="Times New Roman" w:hAnsi="Times New Roman" w:cs="Times New Roman"/>
          <w:b/>
          <w:bCs/>
          <w:sz w:val="24"/>
          <w:szCs w:val="24"/>
        </w:rPr>
      </w:pPr>
    </w:p>
    <w:p w14:paraId="2ACFB84D" w14:textId="77777777" w:rsidR="005A05AE" w:rsidRDefault="005A05AE" w:rsidP="005A05AE">
      <w:pPr>
        <w:jc w:val="center"/>
        <w:rPr>
          <w:rFonts w:ascii="Times New Roman" w:hAnsi="Times New Roman" w:cs="Times New Roman"/>
          <w:b/>
          <w:bCs/>
          <w:sz w:val="24"/>
          <w:szCs w:val="24"/>
        </w:rPr>
      </w:pPr>
    </w:p>
    <w:p w14:paraId="4DA844FC" w14:textId="77777777" w:rsidR="005A05AE" w:rsidRDefault="005A05AE" w:rsidP="005A05AE">
      <w:pPr>
        <w:jc w:val="center"/>
        <w:rPr>
          <w:rFonts w:ascii="Times New Roman" w:hAnsi="Times New Roman" w:cs="Times New Roman"/>
          <w:b/>
          <w:bCs/>
          <w:sz w:val="24"/>
          <w:szCs w:val="24"/>
        </w:rPr>
      </w:pPr>
    </w:p>
    <w:p w14:paraId="5175AE90" w14:textId="77777777" w:rsidR="005A05AE" w:rsidRDefault="005A05AE" w:rsidP="005A05AE">
      <w:pPr>
        <w:jc w:val="center"/>
        <w:rPr>
          <w:rFonts w:ascii="Times New Roman" w:hAnsi="Times New Roman" w:cs="Times New Roman"/>
          <w:b/>
          <w:bCs/>
          <w:sz w:val="24"/>
          <w:szCs w:val="24"/>
        </w:rPr>
      </w:pPr>
    </w:p>
    <w:p w14:paraId="3B514303" w14:textId="77777777" w:rsidR="005A05AE" w:rsidRDefault="005A05AE" w:rsidP="005A05AE">
      <w:pPr>
        <w:jc w:val="center"/>
        <w:rPr>
          <w:rFonts w:ascii="Times New Roman" w:hAnsi="Times New Roman" w:cs="Times New Roman"/>
          <w:b/>
          <w:bCs/>
          <w:sz w:val="24"/>
          <w:szCs w:val="24"/>
        </w:rPr>
      </w:pPr>
    </w:p>
    <w:p w14:paraId="78356040" w14:textId="77777777" w:rsidR="005A05AE" w:rsidRDefault="005A05AE" w:rsidP="005A05AE">
      <w:pPr>
        <w:jc w:val="center"/>
        <w:rPr>
          <w:rFonts w:ascii="Times New Roman" w:hAnsi="Times New Roman" w:cs="Times New Roman"/>
          <w:b/>
          <w:bCs/>
          <w:sz w:val="24"/>
          <w:szCs w:val="24"/>
        </w:rPr>
      </w:pPr>
    </w:p>
    <w:p w14:paraId="6F6E9103" w14:textId="77777777" w:rsidR="005A05AE" w:rsidRPr="00B76021" w:rsidRDefault="005A05AE" w:rsidP="005A05AE">
      <w:pPr>
        <w:jc w:val="center"/>
        <w:rPr>
          <w:rFonts w:ascii="Times New Roman" w:hAnsi="Times New Roman" w:cs="Times New Roman"/>
          <w:sz w:val="24"/>
          <w:szCs w:val="24"/>
        </w:rPr>
      </w:pPr>
    </w:p>
    <w:p w14:paraId="669DDA3B" w14:textId="1593BF29" w:rsidR="00B76021" w:rsidRPr="00B76021" w:rsidRDefault="00B76021" w:rsidP="005A05AE">
      <w:pPr>
        <w:jc w:val="center"/>
        <w:rPr>
          <w:rFonts w:ascii="Times New Roman" w:hAnsi="Times New Roman" w:cs="Times New Roman"/>
          <w:sz w:val="24"/>
          <w:szCs w:val="24"/>
        </w:rPr>
      </w:pPr>
      <w:r w:rsidRPr="00B76021">
        <w:rPr>
          <w:rFonts w:ascii="Times New Roman" w:hAnsi="Times New Roman" w:cs="Times New Roman"/>
          <w:b/>
          <w:bCs/>
          <w:sz w:val="24"/>
          <w:szCs w:val="24"/>
        </w:rPr>
        <w:t>Student Name:</w:t>
      </w:r>
      <w:r w:rsidRPr="00B76021">
        <w:rPr>
          <w:rFonts w:ascii="Times New Roman" w:hAnsi="Times New Roman" w:cs="Times New Roman"/>
          <w:sz w:val="24"/>
          <w:szCs w:val="24"/>
        </w:rPr>
        <w:t xml:space="preserve"> </w:t>
      </w:r>
      <w:r w:rsidR="00F04C84">
        <w:rPr>
          <w:rFonts w:ascii="Times New Roman" w:hAnsi="Times New Roman" w:cs="Times New Roman"/>
          <w:sz w:val="24"/>
          <w:szCs w:val="24"/>
        </w:rPr>
        <w:t xml:space="preserve">Hemang </w:t>
      </w:r>
      <w:proofErr w:type="spellStart"/>
      <w:r w:rsidR="005250CD">
        <w:rPr>
          <w:rFonts w:ascii="Times New Roman" w:hAnsi="Times New Roman" w:cs="Times New Roman"/>
          <w:sz w:val="24"/>
          <w:szCs w:val="24"/>
        </w:rPr>
        <w:t>Amru</w:t>
      </w:r>
      <w:r w:rsidR="00B02A12">
        <w:rPr>
          <w:rFonts w:ascii="Times New Roman" w:hAnsi="Times New Roman" w:cs="Times New Roman"/>
          <w:sz w:val="24"/>
          <w:szCs w:val="24"/>
        </w:rPr>
        <w:t>tbhai</w:t>
      </w:r>
      <w:proofErr w:type="spellEnd"/>
      <w:r w:rsidR="00B02A12">
        <w:rPr>
          <w:rFonts w:ascii="Times New Roman" w:hAnsi="Times New Roman" w:cs="Times New Roman"/>
          <w:sz w:val="24"/>
          <w:szCs w:val="24"/>
        </w:rPr>
        <w:t xml:space="preserve"> </w:t>
      </w:r>
      <w:r w:rsidR="005250CD">
        <w:rPr>
          <w:rFonts w:ascii="Times New Roman" w:hAnsi="Times New Roman" w:cs="Times New Roman"/>
          <w:sz w:val="24"/>
          <w:szCs w:val="24"/>
        </w:rPr>
        <w:t xml:space="preserve"> Desai</w:t>
      </w:r>
      <w:r w:rsidR="0032366F">
        <w:rPr>
          <w:rFonts w:ascii="Times New Roman" w:hAnsi="Times New Roman" w:cs="Times New Roman"/>
          <w:sz w:val="24"/>
          <w:szCs w:val="24"/>
        </w:rPr>
        <w:t xml:space="preserve"> </w:t>
      </w:r>
      <w:r w:rsidRPr="00B76021">
        <w:rPr>
          <w:rFonts w:ascii="Times New Roman" w:hAnsi="Times New Roman" w:cs="Times New Roman"/>
          <w:sz w:val="24"/>
          <w:szCs w:val="24"/>
        </w:rPr>
        <w:br/>
      </w:r>
      <w:r w:rsidRPr="00B76021">
        <w:rPr>
          <w:rFonts w:ascii="Times New Roman" w:hAnsi="Times New Roman" w:cs="Times New Roman"/>
          <w:b/>
          <w:bCs/>
          <w:sz w:val="24"/>
          <w:szCs w:val="24"/>
        </w:rPr>
        <w:t>Student</w:t>
      </w:r>
      <w:r w:rsidR="002B5057">
        <w:rPr>
          <w:rFonts w:ascii="Times New Roman" w:hAnsi="Times New Roman" w:cs="Times New Roman"/>
          <w:b/>
          <w:bCs/>
          <w:sz w:val="24"/>
          <w:szCs w:val="24"/>
        </w:rPr>
        <w:t xml:space="preserve"> id</w:t>
      </w:r>
      <w:r w:rsidRPr="00B76021">
        <w:rPr>
          <w:rFonts w:ascii="Times New Roman" w:hAnsi="Times New Roman" w:cs="Times New Roman"/>
          <w:b/>
          <w:bCs/>
          <w:sz w:val="24"/>
          <w:szCs w:val="24"/>
        </w:rPr>
        <w:t xml:space="preserve"> Number</w:t>
      </w:r>
      <w:r w:rsidR="001964FC">
        <w:rPr>
          <w:rFonts w:ascii="Times New Roman" w:hAnsi="Times New Roman" w:cs="Times New Roman"/>
          <w:b/>
          <w:bCs/>
          <w:sz w:val="24"/>
          <w:szCs w:val="24"/>
        </w:rPr>
        <w:t xml:space="preserve"> </w:t>
      </w:r>
      <w:r w:rsidRPr="00B76021">
        <w:rPr>
          <w:rFonts w:ascii="Times New Roman" w:hAnsi="Times New Roman" w:cs="Times New Roman"/>
          <w:b/>
          <w:bCs/>
          <w:sz w:val="24"/>
          <w:szCs w:val="24"/>
        </w:rPr>
        <w:t>:</w:t>
      </w:r>
      <w:r w:rsidR="001964FC">
        <w:rPr>
          <w:rFonts w:ascii="Times New Roman" w:hAnsi="Times New Roman" w:cs="Times New Roman"/>
          <w:b/>
          <w:bCs/>
          <w:sz w:val="24"/>
          <w:szCs w:val="24"/>
        </w:rPr>
        <w:t xml:space="preserve"> 24385</w:t>
      </w:r>
      <w:r w:rsidR="00BC32C9">
        <w:rPr>
          <w:rFonts w:ascii="Times New Roman" w:hAnsi="Times New Roman" w:cs="Times New Roman"/>
          <w:b/>
          <w:bCs/>
          <w:sz w:val="24"/>
          <w:szCs w:val="24"/>
        </w:rPr>
        <w:t>89</w:t>
      </w:r>
    </w:p>
    <w:p w14:paraId="7A5BAD6A" w14:textId="60F431B0" w:rsidR="00B76021" w:rsidRPr="00B76021" w:rsidRDefault="00B76021" w:rsidP="005A05AE">
      <w:pPr>
        <w:jc w:val="center"/>
        <w:rPr>
          <w:rFonts w:ascii="Times New Roman" w:hAnsi="Times New Roman" w:cs="Times New Roman"/>
          <w:sz w:val="24"/>
          <w:szCs w:val="24"/>
        </w:rPr>
      </w:pPr>
      <w:r w:rsidRPr="00B76021">
        <w:rPr>
          <w:rFonts w:ascii="Times New Roman" w:hAnsi="Times New Roman" w:cs="Times New Roman"/>
          <w:b/>
          <w:bCs/>
          <w:sz w:val="24"/>
          <w:szCs w:val="24"/>
        </w:rPr>
        <w:t xml:space="preserve">Submission </w:t>
      </w:r>
      <w:proofErr w:type="gramStart"/>
      <w:r w:rsidRPr="00B76021">
        <w:rPr>
          <w:rFonts w:ascii="Times New Roman" w:hAnsi="Times New Roman" w:cs="Times New Roman"/>
          <w:b/>
          <w:bCs/>
          <w:sz w:val="24"/>
          <w:szCs w:val="24"/>
        </w:rPr>
        <w:t>Date</w:t>
      </w:r>
      <w:r w:rsidR="00BC32C9">
        <w:rPr>
          <w:rFonts w:ascii="Times New Roman" w:hAnsi="Times New Roman" w:cs="Times New Roman"/>
          <w:b/>
          <w:bCs/>
          <w:sz w:val="24"/>
          <w:szCs w:val="24"/>
        </w:rPr>
        <w:t xml:space="preserve"> </w:t>
      </w:r>
      <w:r w:rsidRPr="00B76021">
        <w:rPr>
          <w:rFonts w:ascii="Times New Roman" w:hAnsi="Times New Roman" w:cs="Times New Roman"/>
          <w:b/>
          <w:bCs/>
          <w:sz w:val="24"/>
          <w:szCs w:val="24"/>
        </w:rPr>
        <w:t>:</w:t>
      </w:r>
      <w:proofErr w:type="gramEnd"/>
      <w:r w:rsidR="00BC32C9">
        <w:rPr>
          <w:rFonts w:ascii="Times New Roman" w:hAnsi="Times New Roman" w:cs="Times New Roman"/>
          <w:b/>
          <w:bCs/>
          <w:sz w:val="24"/>
          <w:szCs w:val="24"/>
        </w:rPr>
        <w:t xml:space="preserve"> </w:t>
      </w:r>
      <w:r w:rsidR="00BF56BA">
        <w:rPr>
          <w:rFonts w:ascii="Times New Roman" w:hAnsi="Times New Roman" w:cs="Times New Roman"/>
          <w:b/>
          <w:bCs/>
          <w:sz w:val="24"/>
          <w:szCs w:val="24"/>
        </w:rPr>
        <w:t>24/11/2025</w:t>
      </w:r>
    </w:p>
    <w:p w14:paraId="72B49C35" w14:textId="77777777" w:rsidR="009154BA" w:rsidRPr="009154BA" w:rsidRDefault="009154BA" w:rsidP="009154BA">
      <w:pPr>
        <w:jc w:val="both"/>
        <w:rPr>
          <w:rFonts w:ascii="Times New Roman" w:hAnsi="Times New Roman" w:cs="Times New Roman"/>
          <w:sz w:val="24"/>
          <w:szCs w:val="24"/>
        </w:rPr>
      </w:pPr>
    </w:p>
    <w:p w14:paraId="548C5084" w14:textId="77777777" w:rsidR="009154BA" w:rsidRPr="009154BA" w:rsidRDefault="009154BA" w:rsidP="009154BA">
      <w:pPr>
        <w:jc w:val="both"/>
        <w:rPr>
          <w:rFonts w:ascii="Times New Roman" w:hAnsi="Times New Roman" w:cs="Times New Roman"/>
          <w:sz w:val="24"/>
          <w:szCs w:val="24"/>
        </w:rPr>
      </w:pPr>
    </w:p>
    <w:p w14:paraId="16FE3EB8" w14:textId="77777777" w:rsidR="009154BA" w:rsidRPr="009154BA" w:rsidRDefault="009154BA" w:rsidP="009154BA">
      <w:pPr>
        <w:jc w:val="both"/>
        <w:rPr>
          <w:rFonts w:ascii="Times New Roman" w:hAnsi="Times New Roman" w:cs="Times New Roman"/>
          <w:sz w:val="24"/>
          <w:szCs w:val="24"/>
        </w:rPr>
      </w:pPr>
    </w:p>
    <w:p w14:paraId="13FFF890" w14:textId="4AE512AB" w:rsidR="00B002E6" w:rsidRPr="009154BA" w:rsidRDefault="002F1AC7" w:rsidP="00AB7390">
      <w:pPr>
        <w:pStyle w:val="Heading1"/>
      </w:pPr>
      <w:bookmarkStart w:id="0" w:name="_Toc214355499"/>
      <w:r w:rsidRPr="009154BA">
        <w:lastRenderedPageBreak/>
        <w:t>Executive Summary</w:t>
      </w:r>
      <w:bookmarkEnd w:id="0"/>
    </w:p>
    <w:p w14:paraId="7C878713" w14:textId="1C6B7955" w:rsidR="002F1AC7" w:rsidRPr="009154BA" w:rsidRDefault="00CB47C4" w:rsidP="009154BA">
      <w:pPr>
        <w:jc w:val="both"/>
        <w:rPr>
          <w:rFonts w:ascii="Times New Roman" w:hAnsi="Times New Roman" w:cs="Times New Roman"/>
          <w:sz w:val="24"/>
          <w:szCs w:val="24"/>
        </w:rPr>
      </w:pPr>
      <w:r w:rsidRPr="00CB47C4">
        <w:rPr>
          <w:rFonts w:ascii="Times New Roman" w:hAnsi="Times New Roman" w:cs="Times New Roman"/>
          <w:sz w:val="24"/>
          <w:szCs w:val="24"/>
        </w:rPr>
        <w:t xml:space="preserve">This report will assess the financial health and the strategic recovery controls of General Electronics, a multinational producer of consumer electronics that has been on a rapid downhill spiral in the last five years. An in-depth financial health analysis will indicate that the company has been experiencing incurring losses, declining margins, liquidity strain, dwindling working capital productivity, and is highly likely to face financial distress. The analysis shows the worsening cash flows, higher dependence on short-term financing, and the capital structure that has been getting riskier. The problem of working capital inefficiencies especially slows down the turnover as well as constraining cash availability further diminishes the stability of operations. It is suggested that a strategic restructuring plan will be used, which will involve rationalisation of the portfolio, realignment of cost, restructuring of debt and selective international risk mitigation. Three projects are evaluated because of NPV, IRR, PI, Payback and ARR, and the final suggestions are harmonized </w:t>
      </w:r>
      <w:r w:rsidR="008C0CD7" w:rsidRPr="00CB47C4">
        <w:rPr>
          <w:rFonts w:ascii="Times New Roman" w:hAnsi="Times New Roman" w:cs="Times New Roman"/>
          <w:sz w:val="24"/>
          <w:szCs w:val="24"/>
        </w:rPr>
        <w:t>since</w:t>
      </w:r>
      <w:r w:rsidRPr="00CB47C4">
        <w:rPr>
          <w:rFonts w:ascii="Times New Roman" w:hAnsi="Times New Roman" w:cs="Times New Roman"/>
          <w:sz w:val="24"/>
          <w:szCs w:val="24"/>
        </w:rPr>
        <w:t xml:space="preserve"> capital rationing and liquidity limits of the firm. The report has drawn the conclusion that radical reorganization and rigorous working capital adjustment and a clear choice of the investment strategy are necessary to bring back financial sustainability and shareholder trust.</w:t>
      </w:r>
    </w:p>
    <w:p w14:paraId="2A0E13D6" w14:textId="77777777" w:rsidR="009154BA" w:rsidRPr="009154BA" w:rsidRDefault="009154BA" w:rsidP="009154BA">
      <w:pPr>
        <w:jc w:val="both"/>
        <w:rPr>
          <w:rFonts w:ascii="Times New Roman" w:hAnsi="Times New Roman" w:cs="Times New Roman"/>
          <w:sz w:val="24"/>
          <w:szCs w:val="24"/>
        </w:rPr>
      </w:pPr>
    </w:p>
    <w:p w14:paraId="3734804C" w14:textId="77777777" w:rsidR="009154BA" w:rsidRPr="009154BA" w:rsidRDefault="009154BA" w:rsidP="009154BA">
      <w:pPr>
        <w:jc w:val="both"/>
        <w:rPr>
          <w:rFonts w:ascii="Times New Roman" w:hAnsi="Times New Roman" w:cs="Times New Roman"/>
          <w:sz w:val="24"/>
          <w:szCs w:val="24"/>
        </w:rPr>
      </w:pPr>
    </w:p>
    <w:p w14:paraId="28452458" w14:textId="77777777" w:rsidR="009154BA" w:rsidRPr="009154BA" w:rsidRDefault="009154BA" w:rsidP="009154BA">
      <w:pPr>
        <w:jc w:val="both"/>
        <w:rPr>
          <w:rFonts w:ascii="Times New Roman" w:hAnsi="Times New Roman" w:cs="Times New Roman"/>
          <w:sz w:val="24"/>
          <w:szCs w:val="24"/>
        </w:rPr>
      </w:pPr>
    </w:p>
    <w:p w14:paraId="568F62F9" w14:textId="77777777" w:rsidR="009154BA" w:rsidRPr="009154BA" w:rsidRDefault="009154BA" w:rsidP="009154BA">
      <w:pPr>
        <w:jc w:val="both"/>
        <w:rPr>
          <w:rFonts w:ascii="Times New Roman" w:hAnsi="Times New Roman" w:cs="Times New Roman"/>
          <w:sz w:val="24"/>
          <w:szCs w:val="24"/>
        </w:rPr>
      </w:pPr>
    </w:p>
    <w:p w14:paraId="61C2C384" w14:textId="77777777" w:rsidR="009154BA" w:rsidRPr="009154BA" w:rsidRDefault="009154BA" w:rsidP="009154BA">
      <w:pPr>
        <w:jc w:val="both"/>
        <w:rPr>
          <w:rFonts w:ascii="Times New Roman" w:hAnsi="Times New Roman" w:cs="Times New Roman"/>
          <w:sz w:val="24"/>
          <w:szCs w:val="24"/>
        </w:rPr>
      </w:pPr>
    </w:p>
    <w:p w14:paraId="5A5FEC4B" w14:textId="77777777" w:rsidR="009154BA" w:rsidRPr="009154BA" w:rsidRDefault="009154BA" w:rsidP="009154BA">
      <w:pPr>
        <w:jc w:val="both"/>
        <w:rPr>
          <w:rFonts w:ascii="Times New Roman" w:hAnsi="Times New Roman" w:cs="Times New Roman"/>
          <w:sz w:val="24"/>
          <w:szCs w:val="24"/>
        </w:rPr>
      </w:pPr>
    </w:p>
    <w:p w14:paraId="5FC9D00B" w14:textId="77777777" w:rsidR="009154BA" w:rsidRPr="009154BA" w:rsidRDefault="009154BA" w:rsidP="009154BA">
      <w:pPr>
        <w:jc w:val="both"/>
        <w:rPr>
          <w:rFonts w:ascii="Times New Roman" w:hAnsi="Times New Roman" w:cs="Times New Roman"/>
          <w:sz w:val="24"/>
          <w:szCs w:val="24"/>
        </w:rPr>
      </w:pPr>
    </w:p>
    <w:p w14:paraId="7CD8F92F" w14:textId="77777777" w:rsidR="009154BA" w:rsidRPr="009154BA" w:rsidRDefault="009154BA" w:rsidP="009154BA">
      <w:pPr>
        <w:jc w:val="both"/>
        <w:rPr>
          <w:rFonts w:ascii="Times New Roman" w:hAnsi="Times New Roman" w:cs="Times New Roman"/>
          <w:sz w:val="24"/>
          <w:szCs w:val="24"/>
        </w:rPr>
      </w:pPr>
    </w:p>
    <w:p w14:paraId="668888AE" w14:textId="77777777" w:rsidR="009154BA" w:rsidRPr="009154BA" w:rsidRDefault="009154BA" w:rsidP="009154BA">
      <w:pPr>
        <w:jc w:val="both"/>
        <w:rPr>
          <w:rFonts w:ascii="Times New Roman" w:hAnsi="Times New Roman" w:cs="Times New Roman"/>
          <w:sz w:val="24"/>
          <w:szCs w:val="24"/>
        </w:rPr>
      </w:pPr>
    </w:p>
    <w:p w14:paraId="056040DF" w14:textId="77777777" w:rsidR="009154BA" w:rsidRPr="009154BA" w:rsidRDefault="009154BA" w:rsidP="009154BA">
      <w:pPr>
        <w:jc w:val="both"/>
        <w:rPr>
          <w:rFonts w:ascii="Times New Roman" w:hAnsi="Times New Roman" w:cs="Times New Roman"/>
          <w:sz w:val="24"/>
          <w:szCs w:val="24"/>
        </w:rPr>
      </w:pPr>
    </w:p>
    <w:p w14:paraId="5C7703F3" w14:textId="77777777" w:rsidR="009154BA" w:rsidRPr="009154BA" w:rsidRDefault="009154BA" w:rsidP="009154BA">
      <w:pPr>
        <w:jc w:val="both"/>
        <w:rPr>
          <w:rFonts w:ascii="Times New Roman" w:hAnsi="Times New Roman" w:cs="Times New Roman"/>
          <w:sz w:val="24"/>
          <w:szCs w:val="24"/>
        </w:rPr>
      </w:pPr>
    </w:p>
    <w:p w14:paraId="022163C5" w14:textId="77777777" w:rsidR="009154BA" w:rsidRPr="009154BA" w:rsidRDefault="009154BA" w:rsidP="009154BA">
      <w:pPr>
        <w:jc w:val="both"/>
        <w:rPr>
          <w:rFonts w:ascii="Times New Roman" w:hAnsi="Times New Roman" w:cs="Times New Roman"/>
          <w:sz w:val="24"/>
          <w:szCs w:val="24"/>
        </w:rPr>
      </w:pPr>
    </w:p>
    <w:p w14:paraId="6C8ACEC8" w14:textId="77777777" w:rsidR="009154BA" w:rsidRPr="009154BA" w:rsidRDefault="009154BA" w:rsidP="009154BA">
      <w:pPr>
        <w:jc w:val="both"/>
        <w:rPr>
          <w:rFonts w:ascii="Times New Roman" w:hAnsi="Times New Roman" w:cs="Times New Roman"/>
          <w:sz w:val="24"/>
          <w:szCs w:val="24"/>
        </w:rPr>
      </w:pPr>
    </w:p>
    <w:p w14:paraId="3CC60109" w14:textId="77777777" w:rsidR="009154BA" w:rsidRPr="009154BA" w:rsidRDefault="009154BA" w:rsidP="009154BA">
      <w:pPr>
        <w:jc w:val="both"/>
        <w:rPr>
          <w:rFonts w:ascii="Times New Roman" w:hAnsi="Times New Roman" w:cs="Times New Roman"/>
          <w:sz w:val="24"/>
          <w:szCs w:val="24"/>
        </w:rPr>
      </w:pPr>
    </w:p>
    <w:p w14:paraId="2F55BB7A" w14:textId="77777777" w:rsidR="009154BA" w:rsidRPr="009154BA" w:rsidRDefault="009154BA" w:rsidP="009154BA">
      <w:pPr>
        <w:jc w:val="both"/>
        <w:rPr>
          <w:rFonts w:ascii="Times New Roman" w:hAnsi="Times New Roman" w:cs="Times New Roman"/>
          <w:sz w:val="24"/>
          <w:szCs w:val="24"/>
        </w:rPr>
      </w:pPr>
    </w:p>
    <w:p w14:paraId="0AED7030" w14:textId="77777777" w:rsidR="009154BA" w:rsidRPr="009154BA" w:rsidRDefault="009154BA" w:rsidP="009154BA">
      <w:pPr>
        <w:jc w:val="both"/>
        <w:rPr>
          <w:rFonts w:ascii="Times New Roman" w:hAnsi="Times New Roman" w:cs="Times New Roman"/>
          <w:sz w:val="24"/>
          <w:szCs w:val="24"/>
        </w:rPr>
      </w:pPr>
    </w:p>
    <w:sdt>
      <w:sdtPr>
        <w:rPr>
          <w:rFonts w:ascii="Times New Roman" w:eastAsiaTheme="minorHAnsi" w:hAnsi="Times New Roman" w:cs="Times New Roman"/>
          <w:b/>
          <w:bCs/>
          <w:color w:val="000000" w:themeColor="text1"/>
          <w:kern w:val="2"/>
          <w:sz w:val="22"/>
          <w:szCs w:val="22"/>
          <w:lang w:val="en-IN"/>
          <w14:ligatures w14:val="standardContextual"/>
        </w:rPr>
        <w:id w:val="1712462446"/>
        <w:docPartObj>
          <w:docPartGallery w:val="Table of Contents"/>
          <w:docPartUnique/>
        </w:docPartObj>
      </w:sdtPr>
      <w:sdtEndPr>
        <w:rPr>
          <w:noProof/>
          <w:color w:val="auto"/>
          <w:sz w:val="24"/>
          <w:szCs w:val="24"/>
        </w:rPr>
      </w:sdtEndPr>
      <w:sdtContent>
        <w:p w14:paraId="618488EB" w14:textId="5EFD2F97" w:rsidR="00514BE4" w:rsidRDefault="00514BE4">
          <w:pPr>
            <w:pStyle w:val="TOCHeading"/>
            <w:rPr>
              <w:rFonts w:ascii="Times New Roman" w:hAnsi="Times New Roman" w:cs="Times New Roman"/>
              <w:b/>
              <w:bCs/>
              <w:color w:val="000000" w:themeColor="text1"/>
            </w:rPr>
          </w:pPr>
          <w:r w:rsidRPr="00B76021">
            <w:rPr>
              <w:rFonts w:ascii="Times New Roman" w:hAnsi="Times New Roman" w:cs="Times New Roman"/>
              <w:b/>
              <w:bCs/>
              <w:color w:val="000000" w:themeColor="text1"/>
            </w:rPr>
            <w:t>Table of Contents</w:t>
          </w:r>
        </w:p>
        <w:p w14:paraId="7C71DCC6" w14:textId="77777777" w:rsidR="00B76021" w:rsidRPr="00B76021" w:rsidRDefault="00B76021" w:rsidP="00B76021">
          <w:pPr>
            <w:rPr>
              <w:lang w:val="en-US"/>
            </w:rPr>
          </w:pPr>
        </w:p>
        <w:p w14:paraId="5E8C2EE6" w14:textId="616CF607" w:rsidR="00704659" w:rsidRPr="00704659" w:rsidRDefault="00514BE4">
          <w:pPr>
            <w:pStyle w:val="TOC1"/>
            <w:tabs>
              <w:tab w:val="right" w:leader="dot" w:pos="9016"/>
            </w:tabs>
            <w:rPr>
              <w:rFonts w:ascii="Times New Roman" w:eastAsiaTheme="minorEastAsia" w:hAnsi="Times New Roman" w:cs="Times New Roman"/>
              <w:noProof/>
              <w:sz w:val="24"/>
              <w:szCs w:val="24"/>
              <w:lang w:eastAsia="en-IN"/>
            </w:rPr>
          </w:pPr>
          <w:r w:rsidRPr="00704659">
            <w:rPr>
              <w:rFonts w:ascii="Times New Roman" w:hAnsi="Times New Roman" w:cs="Times New Roman"/>
              <w:sz w:val="24"/>
              <w:szCs w:val="24"/>
            </w:rPr>
            <w:fldChar w:fldCharType="begin"/>
          </w:r>
          <w:r w:rsidRPr="00704659">
            <w:rPr>
              <w:rFonts w:ascii="Times New Roman" w:hAnsi="Times New Roman" w:cs="Times New Roman"/>
              <w:sz w:val="24"/>
              <w:szCs w:val="24"/>
            </w:rPr>
            <w:instrText xml:space="preserve"> TOC \o "1-3" \h \z \u </w:instrText>
          </w:r>
          <w:r w:rsidRPr="00704659">
            <w:rPr>
              <w:rFonts w:ascii="Times New Roman" w:hAnsi="Times New Roman" w:cs="Times New Roman"/>
              <w:sz w:val="24"/>
              <w:szCs w:val="24"/>
            </w:rPr>
            <w:fldChar w:fldCharType="separate"/>
          </w:r>
          <w:hyperlink w:anchor="_Toc214355499" w:history="1">
            <w:r w:rsidR="00704659" w:rsidRPr="00704659">
              <w:rPr>
                <w:rStyle w:val="Hyperlink"/>
                <w:rFonts w:ascii="Times New Roman" w:hAnsi="Times New Roman" w:cs="Times New Roman"/>
                <w:noProof/>
                <w:sz w:val="24"/>
                <w:szCs w:val="24"/>
              </w:rPr>
              <w:t>Executive Summary</w:t>
            </w:r>
            <w:r w:rsidR="00704659" w:rsidRPr="00704659">
              <w:rPr>
                <w:rFonts w:ascii="Times New Roman" w:hAnsi="Times New Roman" w:cs="Times New Roman"/>
                <w:noProof/>
                <w:webHidden/>
                <w:sz w:val="24"/>
                <w:szCs w:val="24"/>
              </w:rPr>
              <w:tab/>
            </w:r>
            <w:r w:rsidR="00704659" w:rsidRPr="00704659">
              <w:rPr>
                <w:rFonts w:ascii="Times New Roman" w:hAnsi="Times New Roman" w:cs="Times New Roman"/>
                <w:noProof/>
                <w:webHidden/>
                <w:sz w:val="24"/>
                <w:szCs w:val="24"/>
              </w:rPr>
              <w:fldChar w:fldCharType="begin"/>
            </w:r>
            <w:r w:rsidR="00704659" w:rsidRPr="00704659">
              <w:rPr>
                <w:rFonts w:ascii="Times New Roman" w:hAnsi="Times New Roman" w:cs="Times New Roman"/>
                <w:noProof/>
                <w:webHidden/>
                <w:sz w:val="24"/>
                <w:szCs w:val="24"/>
              </w:rPr>
              <w:instrText xml:space="preserve"> PAGEREF _Toc214355499 \h </w:instrText>
            </w:r>
            <w:r w:rsidR="00704659" w:rsidRPr="00704659">
              <w:rPr>
                <w:rFonts w:ascii="Times New Roman" w:hAnsi="Times New Roman" w:cs="Times New Roman"/>
                <w:noProof/>
                <w:webHidden/>
                <w:sz w:val="24"/>
                <w:szCs w:val="24"/>
              </w:rPr>
            </w:r>
            <w:r w:rsidR="00704659" w:rsidRPr="00704659">
              <w:rPr>
                <w:rFonts w:ascii="Times New Roman" w:hAnsi="Times New Roman" w:cs="Times New Roman"/>
                <w:noProof/>
                <w:webHidden/>
                <w:sz w:val="24"/>
                <w:szCs w:val="24"/>
              </w:rPr>
              <w:fldChar w:fldCharType="separate"/>
            </w:r>
            <w:r w:rsidR="00704659" w:rsidRPr="00704659">
              <w:rPr>
                <w:rFonts w:ascii="Times New Roman" w:hAnsi="Times New Roman" w:cs="Times New Roman"/>
                <w:noProof/>
                <w:webHidden/>
                <w:sz w:val="24"/>
                <w:szCs w:val="24"/>
              </w:rPr>
              <w:t>2</w:t>
            </w:r>
            <w:r w:rsidR="00704659" w:rsidRPr="00704659">
              <w:rPr>
                <w:rFonts w:ascii="Times New Roman" w:hAnsi="Times New Roman" w:cs="Times New Roman"/>
                <w:noProof/>
                <w:webHidden/>
                <w:sz w:val="24"/>
                <w:szCs w:val="24"/>
              </w:rPr>
              <w:fldChar w:fldCharType="end"/>
            </w:r>
          </w:hyperlink>
        </w:p>
        <w:p w14:paraId="42F00A17" w14:textId="7E737BD9"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00" w:history="1">
            <w:r w:rsidRPr="00704659">
              <w:rPr>
                <w:rStyle w:val="Hyperlink"/>
                <w:rFonts w:ascii="Times New Roman" w:hAnsi="Times New Roman" w:cs="Times New Roman"/>
                <w:noProof/>
                <w:sz w:val="24"/>
                <w:szCs w:val="24"/>
              </w:rPr>
              <w:t>1. Introduction</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_Toc214355500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5</w:t>
            </w:r>
            <w:r w:rsidRPr="00704659">
              <w:rPr>
                <w:rFonts w:ascii="Times New Roman" w:hAnsi="Times New Roman" w:cs="Times New Roman"/>
                <w:noProof/>
                <w:webHidden/>
                <w:sz w:val="24"/>
                <w:szCs w:val="24"/>
              </w:rPr>
              <w:fldChar w:fldCharType="end"/>
            </w:r>
          </w:hyperlink>
        </w:p>
        <w:p w14:paraId="0DBFFAB6" w14:textId="0D7F3B9F"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01" w:history="1">
            <w:r w:rsidRPr="00704659">
              <w:rPr>
                <w:rStyle w:val="Hyperlink"/>
                <w:rFonts w:ascii="Times New Roman" w:hAnsi="Times New Roman" w:cs="Times New Roman"/>
                <w:noProof/>
                <w:sz w:val="24"/>
                <w:szCs w:val="24"/>
              </w:rPr>
              <w:t>2. Financial Health Check</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_Toc214355501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5</w:t>
            </w:r>
            <w:r w:rsidRPr="00704659">
              <w:rPr>
                <w:rFonts w:ascii="Times New Roman" w:hAnsi="Times New Roman" w:cs="Times New Roman"/>
                <w:noProof/>
                <w:webHidden/>
                <w:sz w:val="24"/>
                <w:szCs w:val="24"/>
              </w:rPr>
              <w:fldChar w:fldCharType="end"/>
            </w:r>
          </w:hyperlink>
        </w:p>
        <w:p w14:paraId="1901D03E" w14:textId="702CB014"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2" w:history="1">
            <w:r w:rsidRPr="00704659">
              <w:rPr>
                <w:rStyle w:val="Hyperlink"/>
                <w:rFonts w:ascii="Times New Roman" w:hAnsi="Times New Roman" w:cs="Times New Roman"/>
                <w:noProof/>
                <w:sz w:val="24"/>
                <w:szCs w:val="24"/>
              </w:rPr>
              <w:t>2.1 Profitability analysis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_Toc214355502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5</w:t>
            </w:r>
            <w:r w:rsidRPr="00704659">
              <w:rPr>
                <w:rFonts w:ascii="Times New Roman" w:hAnsi="Times New Roman" w:cs="Times New Roman"/>
                <w:noProof/>
                <w:webHidden/>
                <w:sz w:val="24"/>
                <w:szCs w:val="24"/>
              </w:rPr>
              <w:fldChar w:fldCharType="end"/>
            </w:r>
          </w:hyperlink>
        </w:p>
        <w:p w14:paraId="759E8FDF" w14:textId="3013C8D3"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3" w:history="1">
            <w:r w:rsidRPr="00704659">
              <w:rPr>
                <w:rStyle w:val="Hyperlink"/>
                <w:rFonts w:ascii="Times New Roman" w:hAnsi="Times New Roman" w:cs="Times New Roman"/>
                <w:noProof/>
                <w:sz w:val="24"/>
                <w:szCs w:val="24"/>
              </w:rPr>
              <w:t>2.2 Liquidity analysis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_Toc214355503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6</w:t>
            </w:r>
            <w:r w:rsidRPr="00704659">
              <w:rPr>
                <w:rFonts w:ascii="Times New Roman" w:hAnsi="Times New Roman" w:cs="Times New Roman"/>
                <w:noProof/>
                <w:webHidden/>
                <w:sz w:val="24"/>
                <w:szCs w:val="24"/>
              </w:rPr>
              <w:fldChar w:fldCharType="end"/>
            </w:r>
          </w:hyperlink>
        </w:p>
        <w:p w14:paraId="5F024470" w14:textId="2275FF6B"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4" w:history="1">
            <w:r w:rsidRPr="00704659">
              <w:rPr>
                <w:rStyle w:val="Hyperlink"/>
                <w:rFonts w:ascii="Times New Roman" w:hAnsi="Times New Roman" w:cs="Times New Roman"/>
                <w:noProof/>
                <w:sz w:val="24"/>
                <w:szCs w:val="24"/>
              </w:rPr>
              <w:t>2.3 Efficiency / activity ratios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_Toc214355504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6</w:t>
            </w:r>
            <w:r w:rsidRPr="00704659">
              <w:rPr>
                <w:rFonts w:ascii="Times New Roman" w:hAnsi="Times New Roman" w:cs="Times New Roman"/>
                <w:noProof/>
                <w:webHidden/>
                <w:sz w:val="24"/>
                <w:szCs w:val="24"/>
              </w:rPr>
              <w:fldChar w:fldCharType="end"/>
            </w:r>
          </w:hyperlink>
        </w:p>
        <w:p w14:paraId="75086236" w14:textId="284BE020"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5" w:history="1">
            <w:r w:rsidRPr="00704659">
              <w:rPr>
                <w:rStyle w:val="Hyperlink"/>
                <w:rFonts w:ascii="Times New Roman" w:hAnsi="Times New Roman" w:cs="Times New Roman"/>
                <w:noProof/>
                <w:sz w:val="24"/>
                <w:szCs w:val="24"/>
              </w:rPr>
              <w:t>2.4 Gearing and capital structure</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_Toc214355505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6</w:t>
            </w:r>
            <w:r w:rsidRPr="00704659">
              <w:rPr>
                <w:rFonts w:ascii="Times New Roman" w:hAnsi="Times New Roman" w:cs="Times New Roman"/>
                <w:noProof/>
                <w:webHidden/>
                <w:sz w:val="24"/>
                <w:szCs w:val="24"/>
              </w:rPr>
              <w:fldChar w:fldCharType="end"/>
            </w:r>
          </w:hyperlink>
        </w:p>
        <w:p w14:paraId="5DACB68A" w14:textId="54B6B1E5"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6" w:history="1">
            <w:r w:rsidRPr="00704659">
              <w:rPr>
                <w:rStyle w:val="Hyperlink"/>
                <w:rFonts w:ascii="Times New Roman" w:hAnsi="Times New Roman" w:cs="Times New Roman"/>
                <w:noProof/>
                <w:sz w:val="24"/>
                <w:szCs w:val="24"/>
              </w:rPr>
              <w:t>2.5 Investment and shareholder-return metrics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_Toc214355506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7</w:t>
            </w:r>
            <w:r w:rsidRPr="00704659">
              <w:rPr>
                <w:rFonts w:ascii="Times New Roman" w:hAnsi="Times New Roman" w:cs="Times New Roman"/>
                <w:noProof/>
                <w:webHidden/>
                <w:sz w:val="24"/>
                <w:szCs w:val="24"/>
              </w:rPr>
              <w:fldChar w:fldCharType="end"/>
            </w:r>
          </w:hyperlink>
        </w:p>
        <w:p w14:paraId="45E3AEF7" w14:textId="72066D2B"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7" w:history="1">
            <w:r w:rsidRPr="00704659">
              <w:rPr>
                <w:rStyle w:val="Hyperlink"/>
                <w:rFonts w:ascii="Times New Roman" w:hAnsi="Times New Roman" w:cs="Times New Roman"/>
                <w:noProof/>
                <w:sz w:val="24"/>
                <w:szCs w:val="24"/>
              </w:rPr>
              <w:t>2.6 Cash-flow analysis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_Toc214355507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7</w:t>
            </w:r>
            <w:r w:rsidRPr="00704659">
              <w:rPr>
                <w:rFonts w:ascii="Times New Roman" w:hAnsi="Times New Roman" w:cs="Times New Roman"/>
                <w:noProof/>
                <w:webHidden/>
                <w:sz w:val="24"/>
                <w:szCs w:val="24"/>
              </w:rPr>
              <w:fldChar w:fldCharType="end"/>
            </w:r>
          </w:hyperlink>
        </w:p>
        <w:p w14:paraId="4ABC039C" w14:textId="6BAC9C3A"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8" w:history="1">
            <w:r w:rsidRPr="00704659">
              <w:rPr>
                <w:rStyle w:val="Hyperlink"/>
                <w:rFonts w:ascii="Times New Roman" w:hAnsi="Times New Roman" w:cs="Times New Roman"/>
                <w:noProof/>
                <w:sz w:val="24"/>
                <w:szCs w:val="24"/>
              </w:rPr>
              <w:t>2.7 Corporate failure prediction - Altman Z'' (private-firm variant)</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_Toc214355508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8</w:t>
            </w:r>
            <w:r w:rsidRPr="00704659">
              <w:rPr>
                <w:rFonts w:ascii="Times New Roman" w:hAnsi="Times New Roman" w:cs="Times New Roman"/>
                <w:noProof/>
                <w:webHidden/>
                <w:sz w:val="24"/>
                <w:szCs w:val="24"/>
              </w:rPr>
              <w:fldChar w:fldCharType="end"/>
            </w:r>
          </w:hyperlink>
        </w:p>
        <w:p w14:paraId="29E35542" w14:textId="041FC427"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09" w:history="1">
            <w:r w:rsidRPr="00704659">
              <w:rPr>
                <w:rStyle w:val="Hyperlink"/>
                <w:rFonts w:ascii="Times New Roman" w:hAnsi="Times New Roman" w:cs="Times New Roman"/>
                <w:noProof/>
                <w:sz w:val="24"/>
                <w:szCs w:val="24"/>
              </w:rPr>
              <w:t>2.8 Summary: trends, strengths and threats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_Toc214355509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8</w:t>
            </w:r>
            <w:r w:rsidRPr="00704659">
              <w:rPr>
                <w:rFonts w:ascii="Times New Roman" w:hAnsi="Times New Roman" w:cs="Times New Roman"/>
                <w:noProof/>
                <w:webHidden/>
                <w:sz w:val="24"/>
                <w:szCs w:val="24"/>
              </w:rPr>
              <w:fldChar w:fldCharType="end"/>
            </w:r>
          </w:hyperlink>
        </w:p>
        <w:p w14:paraId="114A99CC" w14:textId="1C65A2EB"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10" w:history="1">
            <w:r w:rsidRPr="00704659">
              <w:rPr>
                <w:rStyle w:val="Hyperlink"/>
                <w:rFonts w:ascii="Times New Roman" w:hAnsi="Times New Roman" w:cs="Times New Roman"/>
                <w:noProof/>
                <w:sz w:val="24"/>
                <w:szCs w:val="24"/>
              </w:rPr>
              <w:t>3. Working Capital Management Analysis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_Toc214355510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9</w:t>
            </w:r>
            <w:r w:rsidRPr="00704659">
              <w:rPr>
                <w:rFonts w:ascii="Times New Roman" w:hAnsi="Times New Roman" w:cs="Times New Roman"/>
                <w:noProof/>
                <w:webHidden/>
                <w:sz w:val="24"/>
                <w:szCs w:val="24"/>
              </w:rPr>
              <w:fldChar w:fldCharType="end"/>
            </w:r>
          </w:hyperlink>
        </w:p>
        <w:p w14:paraId="75FAF242" w14:textId="4F9FB1FD"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1" w:history="1">
            <w:r w:rsidRPr="00704659">
              <w:rPr>
                <w:rStyle w:val="Hyperlink"/>
                <w:rFonts w:ascii="Times New Roman" w:hAnsi="Times New Roman" w:cs="Times New Roman"/>
                <w:noProof/>
                <w:sz w:val="24"/>
                <w:szCs w:val="24"/>
              </w:rPr>
              <w:t>3.1 Cash Operating Cycle Assessment</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_Toc214355511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9</w:t>
            </w:r>
            <w:r w:rsidRPr="00704659">
              <w:rPr>
                <w:rFonts w:ascii="Times New Roman" w:hAnsi="Times New Roman" w:cs="Times New Roman"/>
                <w:noProof/>
                <w:webHidden/>
                <w:sz w:val="24"/>
                <w:szCs w:val="24"/>
              </w:rPr>
              <w:fldChar w:fldCharType="end"/>
            </w:r>
          </w:hyperlink>
        </w:p>
        <w:p w14:paraId="372CD54C" w14:textId="7EDD9B72"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2" w:history="1">
            <w:r w:rsidRPr="00704659">
              <w:rPr>
                <w:rStyle w:val="Hyperlink"/>
                <w:rFonts w:ascii="Times New Roman" w:hAnsi="Times New Roman" w:cs="Times New Roman"/>
                <w:noProof/>
                <w:sz w:val="24"/>
                <w:szCs w:val="24"/>
              </w:rPr>
              <w:t>3.2 Liquidity Improvement Through Working Capital Reforms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_Toc214355512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10</w:t>
            </w:r>
            <w:r w:rsidRPr="00704659">
              <w:rPr>
                <w:rFonts w:ascii="Times New Roman" w:hAnsi="Times New Roman" w:cs="Times New Roman"/>
                <w:noProof/>
                <w:webHidden/>
                <w:sz w:val="24"/>
                <w:szCs w:val="24"/>
              </w:rPr>
              <w:fldChar w:fldCharType="end"/>
            </w:r>
          </w:hyperlink>
        </w:p>
        <w:p w14:paraId="4DFFA03F" w14:textId="4A3BC086"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3" w:history="1">
            <w:r w:rsidRPr="00704659">
              <w:rPr>
                <w:rStyle w:val="Hyperlink"/>
                <w:rFonts w:ascii="Times New Roman" w:hAnsi="Times New Roman" w:cs="Times New Roman"/>
                <w:noProof/>
                <w:sz w:val="24"/>
                <w:szCs w:val="24"/>
              </w:rPr>
              <w:t>3.3 Short-Term vs Long-Term Financing Options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_Toc214355513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11</w:t>
            </w:r>
            <w:r w:rsidRPr="00704659">
              <w:rPr>
                <w:rFonts w:ascii="Times New Roman" w:hAnsi="Times New Roman" w:cs="Times New Roman"/>
                <w:noProof/>
                <w:webHidden/>
                <w:sz w:val="24"/>
                <w:szCs w:val="24"/>
              </w:rPr>
              <w:fldChar w:fldCharType="end"/>
            </w:r>
          </w:hyperlink>
        </w:p>
        <w:p w14:paraId="62B37058" w14:textId="7D5D29C6"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14" w:history="1">
            <w:r w:rsidRPr="00704659">
              <w:rPr>
                <w:rStyle w:val="Hyperlink"/>
                <w:rFonts w:ascii="Times New Roman" w:hAnsi="Times New Roman" w:cs="Times New Roman"/>
                <w:noProof/>
                <w:sz w:val="24"/>
                <w:szCs w:val="24"/>
              </w:rPr>
              <w:t>4. Strategic Financial Restructuring Plan</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_Toc214355514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11</w:t>
            </w:r>
            <w:r w:rsidRPr="00704659">
              <w:rPr>
                <w:rFonts w:ascii="Times New Roman" w:hAnsi="Times New Roman" w:cs="Times New Roman"/>
                <w:noProof/>
                <w:webHidden/>
                <w:sz w:val="24"/>
                <w:szCs w:val="24"/>
              </w:rPr>
              <w:fldChar w:fldCharType="end"/>
            </w:r>
          </w:hyperlink>
        </w:p>
        <w:p w14:paraId="18E9C98C" w14:textId="18377D1F"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5" w:history="1">
            <w:r w:rsidRPr="00704659">
              <w:rPr>
                <w:rStyle w:val="Hyperlink"/>
                <w:rFonts w:ascii="Times New Roman" w:hAnsi="Times New Roman" w:cs="Times New Roman"/>
                <w:noProof/>
                <w:sz w:val="24"/>
                <w:szCs w:val="24"/>
              </w:rPr>
              <w:t>4.1 Diagnosis of Core Financial Problems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_Toc214355515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12</w:t>
            </w:r>
            <w:r w:rsidRPr="00704659">
              <w:rPr>
                <w:rFonts w:ascii="Times New Roman" w:hAnsi="Times New Roman" w:cs="Times New Roman"/>
                <w:noProof/>
                <w:webHidden/>
                <w:sz w:val="24"/>
                <w:szCs w:val="24"/>
              </w:rPr>
              <w:fldChar w:fldCharType="end"/>
            </w:r>
          </w:hyperlink>
        </w:p>
        <w:p w14:paraId="5BE5B0B6" w14:textId="45B5CF6A"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6" w:history="1">
            <w:r w:rsidRPr="00704659">
              <w:rPr>
                <w:rStyle w:val="Hyperlink"/>
                <w:rFonts w:ascii="Times New Roman" w:hAnsi="Times New Roman" w:cs="Times New Roman"/>
                <w:noProof/>
                <w:sz w:val="24"/>
                <w:szCs w:val="24"/>
              </w:rPr>
              <w:t>4.2 Financial Restructuring Options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_Toc214355516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12</w:t>
            </w:r>
            <w:r w:rsidRPr="00704659">
              <w:rPr>
                <w:rFonts w:ascii="Times New Roman" w:hAnsi="Times New Roman" w:cs="Times New Roman"/>
                <w:noProof/>
                <w:webHidden/>
                <w:sz w:val="24"/>
                <w:szCs w:val="24"/>
              </w:rPr>
              <w:fldChar w:fldCharType="end"/>
            </w:r>
          </w:hyperlink>
        </w:p>
        <w:p w14:paraId="15B92071" w14:textId="1C479A90"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7" w:history="1">
            <w:r w:rsidRPr="00704659">
              <w:rPr>
                <w:rStyle w:val="Hyperlink"/>
                <w:rFonts w:ascii="Times New Roman" w:hAnsi="Times New Roman" w:cs="Times New Roman"/>
                <w:noProof/>
                <w:sz w:val="24"/>
                <w:szCs w:val="24"/>
              </w:rPr>
              <w:t>4.3 Impact on Shareholder Value, Debt Structure and Flexibility</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_Toc214355517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14</w:t>
            </w:r>
            <w:r w:rsidRPr="00704659">
              <w:rPr>
                <w:rFonts w:ascii="Times New Roman" w:hAnsi="Times New Roman" w:cs="Times New Roman"/>
                <w:noProof/>
                <w:webHidden/>
                <w:sz w:val="24"/>
                <w:szCs w:val="24"/>
              </w:rPr>
              <w:fldChar w:fldCharType="end"/>
            </w:r>
          </w:hyperlink>
        </w:p>
        <w:p w14:paraId="7A1E5F39" w14:textId="053DBE9C"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8" w:history="1">
            <w:r w:rsidRPr="00704659">
              <w:rPr>
                <w:rStyle w:val="Hyperlink"/>
                <w:rFonts w:ascii="Times New Roman" w:hAnsi="Times New Roman" w:cs="Times New Roman"/>
                <w:noProof/>
                <w:sz w:val="24"/>
                <w:szCs w:val="24"/>
              </w:rPr>
              <w:t>4.4 International Considerations: Taxation, Currency and Inflation</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_Toc214355518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15</w:t>
            </w:r>
            <w:r w:rsidRPr="00704659">
              <w:rPr>
                <w:rFonts w:ascii="Times New Roman" w:hAnsi="Times New Roman" w:cs="Times New Roman"/>
                <w:noProof/>
                <w:webHidden/>
                <w:sz w:val="24"/>
                <w:szCs w:val="24"/>
              </w:rPr>
              <w:fldChar w:fldCharType="end"/>
            </w:r>
          </w:hyperlink>
        </w:p>
        <w:p w14:paraId="7A37F52E" w14:textId="45D7D8A0"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19" w:history="1">
            <w:r w:rsidRPr="00704659">
              <w:rPr>
                <w:rStyle w:val="Hyperlink"/>
                <w:rFonts w:ascii="Times New Roman" w:hAnsi="Times New Roman" w:cs="Times New Roman"/>
                <w:noProof/>
                <w:sz w:val="24"/>
                <w:szCs w:val="24"/>
              </w:rPr>
              <w:t>4.5 Ethical and CSR Considerations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_Toc214355519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15</w:t>
            </w:r>
            <w:r w:rsidRPr="00704659">
              <w:rPr>
                <w:rFonts w:ascii="Times New Roman" w:hAnsi="Times New Roman" w:cs="Times New Roman"/>
                <w:noProof/>
                <w:webHidden/>
                <w:sz w:val="24"/>
                <w:szCs w:val="24"/>
              </w:rPr>
              <w:fldChar w:fldCharType="end"/>
            </w:r>
          </w:hyperlink>
        </w:p>
        <w:p w14:paraId="4FC5E011" w14:textId="4A6E8680"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20" w:history="1">
            <w:r w:rsidRPr="00704659">
              <w:rPr>
                <w:rStyle w:val="Hyperlink"/>
                <w:rFonts w:ascii="Times New Roman" w:hAnsi="Times New Roman" w:cs="Times New Roman"/>
                <w:noProof/>
                <w:sz w:val="24"/>
                <w:szCs w:val="24"/>
              </w:rPr>
              <w:t>5. Investment Appraisal and Capital Budgeting</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_Toc214355520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16</w:t>
            </w:r>
            <w:r w:rsidRPr="00704659">
              <w:rPr>
                <w:rFonts w:ascii="Times New Roman" w:hAnsi="Times New Roman" w:cs="Times New Roman"/>
                <w:noProof/>
                <w:webHidden/>
                <w:sz w:val="24"/>
                <w:szCs w:val="24"/>
              </w:rPr>
              <w:fldChar w:fldCharType="end"/>
            </w:r>
          </w:hyperlink>
        </w:p>
        <w:p w14:paraId="7531DDD7" w14:textId="3BD86B50"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1" w:history="1">
            <w:r w:rsidRPr="00704659">
              <w:rPr>
                <w:rStyle w:val="Hyperlink"/>
                <w:rFonts w:ascii="Times New Roman" w:hAnsi="Times New Roman" w:cs="Times New Roman"/>
                <w:noProof/>
                <w:sz w:val="24"/>
                <w:szCs w:val="24"/>
              </w:rPr>
              <w:t>5.1 Project Cash Flow Overview</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_Toc214355521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16</w:t>
            </w:r>
            <w:r w:rsidRPr="00704659">
              <w:rPr>
                <w:rFonts w:ascii="Times New Roman" w:hAnsi="Times New Roman" w:cs="Times New Roman"/>
                <w:noProof/>
                <w:webHidden/>
                <w:sz w:val="24"/>
                <w:szCs w:val="24"/>
              </w:rPr>
              <w:fldChar w:fldCharType="end"/>
            </w:r>
          </w:hyperlink>
        </w:p>
        <w:p w14:paraId="15187001" w14:textId="385D9933"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2" w:history="1">
            <w:r w:rsidRPr="00704659">
              <w:rPr>
                <w:rStyle w:val="Hyperlink"/>
                <w:rFonts w:ascii="Times New Roman" w:hAnsi="Times New Roman" w:cs="Times New Roman"/>
                <w:noProof/>
                <w:sz w:val="24"/>
                <w:szCs w:val="24"/>
              </w:rPr>
              <w:t>5.2 Payback Period (PBP)</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_Toc214355522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17</w:t>
            </w:r>
            <w:r w:rsidRPr="00704659">
              <w:rPr>
                <w:rFonts w:ascii="Times New Roman" w:hAnsi="Times New Roman" w:cs="Times New Roman"/>
                <w:noProof/>
                <w:webHidden/>
                <w:sz w:val="24"/>
                <w:szCs w:val="24"/>
              </w:rPr>
              <w:fldChar w:fldCharType="end"/>
            </w:r>
          </w:hyperlink>
        </w:p>
        <w:p w14:paraId="658D833E" w14:textId="7D14E171"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3" w:history="1">
            <w:r w:rsidRPr="00704659">
              <w:rPr>
                <w:rStyle w:val="Hyperlink"/>
                <w:rFonts w:ascii="Times New Roman" w:hAnsi="Times New Roman" w:cs="Times New Roman"/>
                <w:noProof/>
                <w:sz w:val="24"/>
                <w:szCs w:val="24"/>
              </w:rPr>
              <w:t>5.3 Accounting Rate of Return (ARR)</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_Toc214355523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18</w:t>
            </w:r>
            <w:r w:rsidRPr="00704659">
              <w:rPr>
                <w:rFonts w:ascii="Times New Roman" w:hAnsi="Times New Roman" w:cs="Times New Roman"/>
                <w:noProof/>
                <w:webHidden/>
                <w:sz w:val="24"/>
                <w:szCs w:val="24"/>
              </w:rPr>
              <w:fldChar w:fldCharType="end"/>
            </w:r>
          </w:hyperlink>
        </w:p>
        <w:p w14:paraId="00F0DA2A" w14:textId="61D8AF0D"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4" w:history="1">
            <w:r w:rsidRPr="00704659">
              <w:rPr>
                <w:rStyle w:val="Hyperlink"/>
                <w:rFonts w:ascii="Times New Roman" w:hAnsi="Times New Roman" w:cs="Times New Roman"/>
                <w:noProof/>
                <w:sz w:val="24"/>
                <w:szCs w:val="24"/>
              </w:rPr>
              <w:t>5.4 Net Present Value (NPV)</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_Toc214355524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19</w:t>
            </w:r>
            <w:r w:rsidRPr="00704659">
              <w:rPr>
                <w:rFonts w:ascii="Times New Roman" w:hAnsi="Times New Roman" w:cs="Times New Roman"/>
                <w:noProof/>
                <w:webHidden/>
                <w:sz w:val="24"/>
                <w:szCs w:val="24"/>
              </w:rPr>
              <w:fldChar w:fldCharType="end"/>
            </w:r>
          </w:hyperlink>
        </w:p>
        <w:p w14:paraId="32EE1B4E" w14:textId="03D352CD"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5" w:history="1">
            <w:r w:rsidRPr="00704659">
              <w:rPr>
                <w:rStyle w:val="Hyperlink"/>
                <w:rFonts w:ascii="Times New Roman" w:hAnsi="Times New Roman" w:cs="Times New Roman"/>
                <w:noProof/>
                <w:sz w:val="24"/>
                <w:szCs w:val="24"/>
              </w:rPr>
              <w:t>5.5 Internal Rate of Return (IRR)</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_Toc214355525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20</w:t>
            </w:r>
            <w:r w:rsidRPr="00704659">
              <w:rPr>
                <w:rFonts w:ascii="Times New Roman" w:hAnsi="Times New Roman" w:cs="Times New Roman"/>
                <w:noProof/>
                <w:webHidden/>
                <w:sz w:val="24"/>
                <w:szCs w:val="24"/>
              </w:rPr>
              <w:fldChar w:fldCharType="end"/>
            </w:r>
          </w:hyperlink>
        </w:p>
        <w:p w14:paraId="739A52F4" w14:textId="1E2EDE60"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6" w:history="1">
            <w:r w:rsidRPr="00704659">
              <w:rPr>
                <w:rStyle w:val="Hyperlink"/>
                <w:rFonts w:ascii="Times New Roman" w:hAnsi="Times New Roman" w:cs="Times New Roman"/>
                <w:noProof/>
                <w:sz w:val="24"/>
                <w:szCs w:val="24"/>
              </w:rPr>
              <w:t>5.6 Profitability Index (PI)</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_Toc214355526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21</w:t>
            </w:r>
            <w:r w:rsidRPr="00704659">
              <w:rPr>
                <w:rFonts w:ascii="Times New Roman" w:hAnsi="Times New Roman" w:cs="Times New Roman"/>
                <w:noProof/>
                <w:webHidden/>
                <w:sz w:val="24"/>
                <w:szCs w:val="24"/>
              </w:rPr>
              <w:fldChar w:fldCharType="end"/>
            </w:r>
          </w:hyperlink>
        </w:p>
        <w:p w14:paraId="026D5B42" w14:textId="68E1AF1D"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7" w:history="1">
            <w:r w:rsidRPr="00704659">
              <w:rPr>
                <w:rStyle w:val="Hyperlink"/>
                <w:rFonts w:ascii="Times New Roman" w:hAnsi="Times New Roman" w:cs="Times New Roman"/>
                <w:noProof/>
                <w:sz w:val="24"/>
                <w:szCs w:val="24"/>
              </w:rPr>
              <w:t>5.7 Capital Rationing Decision (Budget = £60m)</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_Toc214355527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21</w:t>
            </w:r>
            <w:r w:rsidRPr="00704659">
              <w:rPr>
                <w:rFonts w:ascii="Times New Roman" w:hAnsi="Times New Roman" w:cs="Times New Roman"/>
                <w:noProof/>
                <w:webHidden/>
                <w:sz w:val="24"/>
                <w:szCs w:val="24"/>
              </w:rPr>
              <w:fldChar w:fldCharType="end"/>
            </w:r>
          </w:hyperlink>
        </w:p>
        <w:p w14:paraId="3852B18B" w14:textId="09DD7B01"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8" w:history="1">
            <w:r w:rsidRPr="00704659">
              <w:rPr>
                <w:rStyle w:val="Hyperlink"/>
                <w:rFonts w:ascii="Times New Roman" w:hAnsi="Times New Roman" w:cs="Times New Roman"/>
                <w:noProof/>
                <w:sz w:val="24"/>
                <w:szCs w:val="24"/>
              </w:rPr>
              <w:t>5.8 Strategic Justification Linked to Firm Performance and Risk</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_Toc214355528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22</w:t>
            </w:r>
            <w:r w:rsidRPr="00704659">
              <w:rPr>
                <w:rFonts w:ascii="Times New Roman" w:hAnsi="Times New Roman" w:cs="Times New Roman"/>
                <w:noProof/>
                <w:webHidden/>
                <w:sz w:val="24"/>
                <w:szCs w:val="24"/>
              </w:rPr>
              <w:fldChar w:fldCharType="end"/>
            </w:r>
          </w:hyperlink>
        </w:p>
        <w:p w14:paraId="5771EEAC" w14:textId="5CBA292F"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29" w:history="1">
            <w:r w:rsidRPr="00704659">
              <w:rPr>
                <w:rStyle w:val="Hyperlink"/>
                <w:rFonts w:ascii="Times New Roman" w:hAnsi="Times New Roman" w:cs="Times New Roman"/>
                <w:noProof/>
                <w:sz w:val="24"/>
                <w:szCs w:val="24"/>
              </w:rPr>
              <w:t>5.9 Final Investment Recommendation</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_Toc214355529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23</w:t>
            </w:r>
            <w:r w:rsidRPr="00704659">
              <w:rPr>
                <w:rFonts w:ascii="Times New Roman" w:hAnsi="Times New Roman" w:cs="Times New Roman"/>
                <w:noProof/>
                <w:webHidden/>
                <w:sz w:val="24"/>
                <w:szCs w:val="24"/>
              </w:rPr>
              <w:fldChar w:fldCharType="end"/>
            </w:r>
          </w:hyperlink>
        </w:p>
        <w:p w14:paraId="48DE30C6" w14:textId="3D2C2B19"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30" w:history="1">
            <w:r w:rsidRPr="00704659">
              <w:rPr>
                <w:rStyle w:val="Hyperlink"/>
                <w:rFonts w:ascii="Times New Roman" w:hAnsi="Times New Roman" w:cs="Times New Roman"/>
                <w:noProof/>
                <w:sz w:val="24"/>
                <w:szCs w:val="24"/>
              </w:rPr>
              <w:t>6. Overall Conclusion and Forward-Looking Recommendations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_Toc214355530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23</w:t>
            </w:r>
            <w:r w:rsidRPr="00704659">
              <w:rPr>
                <w:rFonts w:ascii="Times New Roman" w:hAnsi="Times New Roman" w:cs="Times New Roman"/>
                <w:noProof/>
                <w:webHidden/>
                <w:sz w:val="24"/>
                <w:szCs w:val="24"/>
              </w:rPr>
              <w:fldChar w:fldCharType="end"/>
            </w:r>
          </w:hyperlink>
        </w:p>
        <w:p w14:paraId="0F01F22D" w14:textId="20A419DB"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31" w:history="1">
            <w:r w:rsidRPr="00704659">
              <w:rPr>
                <w:rStyle w:val="Hyperlink"/>
                <w:rFonts w:ascii="Times New Roman" w:hAnsi="Times New Roman" w:cs="Times New Roman"/>
                <w:noProof/>
                <w:sz w:val="24"/>
                <w:szCs w:val="24"/>
              </w:rPr>
              <w:t>7. References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_Toc214355531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24</w:t>
            </w:r>
            <w:r w:rsidRPr="00704659">
              <w:rPr>
                <w:rFonts w:ascii="Times New Roman" w:hAnsi="Times New Roman" w:cs="Times New Roman"/>
                <w:noProof/>
                <w:webHidden/>
                <w:sz w:val="24"/>
                <w:szCs w:val="24"/>
              </w:rPr>
              <w:fldChar w:fldCharType="end"/>
            </w:r>
          </w:hyperlink>
        </w:p>
        <w:p w14:paraId="58B45E72" w14:textId="2C00CD2A" w:rsidR="00704659" w:rsidRPr="00704659" w:rsidRDefault="00704659">
          <w:pPr>
            <w:pStyle w:val="TOC1"/>
            <w:tabs>
              <w:tab w:val="right" w:leader="dot" w:pos="9016"/>
            </w:tabs>
            <w:rPr>
              <w:rFonts w:ascii="Times New Roman" w:eastAsiaTheme="minorEastAsia" w:hAnsi="Times New Roman" w:cs="Times New Roman"/>
              <w:noProof/>
              <w:sz w:val="24"/>
              <w:szCs w:val="24"/>
              <w:lang w:eastAsia="en-IN"/>
            </w:rPr>
          </w:pPr>
          <w:hyperlink w:anchor="_Toc214355532" w:history="1">
            <w:r w:rsidRPr="00704659">
              <w:rPr>
                <w:rStyle w:val="Hyperlink"/>
                <w:rFonts w:ascii="Times New Roman" w:hAnsi="Times New Roman" w:cs="Times New Roman"/>
                <w:noProof/>
                <w:sz w:val="24"/>
                <w:szCs w:val="24"/>
              </w:rPr>
              <w:t>APPENDICES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_Toc214355532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26</w:t>
            </w:r>
            <w:r w:rsidRPr="00704659">
              <w:rPr>
                <w:rFonts w:ascii="Times New Roman" w:hAnsi="Times New Roman" w:cs="Times New Roman"/>
                <w:noProof/>
                <w:webHidden/>
                <w:sz w:val="24"/>
                <w:szCs w:val="24"/>
              </w:rPr>
              <w:fldChar w:fldCharType="end"/>
            </w:r>
          </w:hyperlink>
        </w:p>
        <w:p w14:paraId="1A981ACD" w14:textId="5ED07E83"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33" w:history="1">
            <w:r w:rsidRPr="00704659">
              <w:rPr>
                <w:rStyle w:val="Hyperlink"/>
                <w:rFonts w:ascii="Times New Roman" w:hAnsi="Times New Roman" w:cs="Times New Roman"/>
                <w:noProof/>
                <w:sz w:val="24"/>
                <w:szCs w:val="24"/>
              </w:rPr>
              <w:t>Appendix A: Ratio Analysis Tables and Graphs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_Toc214355533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26</w:t>
            </w:r>
            <w:r w:rsidRPr="00704659">
              <w:rPr>
                <w:rFonts w:ascii="Times New Roman" w:hAnsi="Times New Roman" w:cs="Times New Roman"/>
                <w:noProof/>
                <w:webHidden/>
                <w:sz w:val="24"/>
                <w:szCs w:val="24"/>
              </w:rPr>
              <w:fldChar w:fldCharType="end"/>
            </w:r>
          </w:hyperlink>
        </w:p>
        <w:p w14:paraId="5848E6B7" w14:textId="2B630DED" w:rsidR="00704659" w:rsidRPr="00704659" w:rsidRDefault="00704659">
          <w:pPr>
            <w:pStyle w:val="TOC2"/>
            <w:tabs>
              <w:tab w:val="right" w:leader="dot" w:pos="9016"/>
            </w:tabs>
            <w:rPr>
              <w:rFonts w:ascii="Times New Roman" w:eastAsiaTheme="minorEastAsia" w:hAnsi="Times New Roman" w:cs="Times New Roman"/>
              <w:noProof/>
              <w:sz w:val="24"/>
              <w:szCs w:val="24"/>
              <w:lang w:eastAsia="en-IN"/>
            </w:rPr>
          </w:pPr>
          <w:hyperlink w:anchor="_Toc214355534" w:history="1">
            <w:r w:rsidRPr="00704659">
              <w:rPr>
                <w:rStyle w:val="Hyperlink"/>
                <w:rFonts w:ascii="Times New Roman" w:hAnsi="Times New Roman" w:cs="Times New Roman"/>
                <w:noProof/>
                <w:sz w:val="24"/>
                <w:szCs w:val="24"/>
              </w:rPr>
              <w:t>Appendix B: Investment Appraisal Calculations</w:t>
            </w:r>
            <w:r w:rsidRPr="00704659">
              <w:rPr>
                <w:rFonts w:ascii="Times New Roman" w:hAnsi="Times New Roman" w:cs="Times New Roman"/>
                <w:noProof/>
                <w:webHidden/>
                <w:sz w:val="24"/>
                <w:szCs w:val="24"/>
              </w:rPr>
              <w:tab/>
            </w:r>
            <w:r w:rsidRPr="00704659">
              <w:rPr>
                <w:rFonts w:ascii="Times New Roman" w:hAnsi="Times New Roman" w:cs="Times New Roman"/>
                <w:noProof/>
                <w:webHidden/>
                <w:sz w:val="24"/>
                <w:szCs w:val="24"/>
              </w:rPr>
              <w:fldChar w:fldCharType="begin"/>
            </w:r>
            <w:r w:rsidRPr="00704659">
              <w:rPr>
                <w:rFonts w:ascii="Times New Roman" w:hAnsi="Times New Roman" w:cs="Times New Roman"/>
                <w:noProof/>
                <w:webHidden/>
                <w:sz w:val="24"/>
                <w:szCs w:val="24"/>
              </w:rPr>
              <w:instrText xml:space="preserve"> PAGEREF _Toc214355534 \h </w:instrText>
            </w:r>
            <w:r w:rsidRPr="00704659">
              <w:rPr>
                <w:rFonts w:ascii="Times New Roman" w:hAnsi="Times New Roman" w:cs="Times New Roman"/>
                <w:noProof/>
                <w:webHidden/>
                <w:sz w:val="24"/>
                <w:szCs w:val="24"/>
              </w:rPr>
            </w:r>
            <w:r w:rsidRPr="00704659">
              <w:rPr>
                <w:rFonts w:ascii="Times New Roman" w:hAnsi="Times New Roman" w:cs="Times New Roman"/>
                <w:noProof/>
                <w:webHidden/>
                <w:sz w:val="24"/>
                <w:szCs w:val="24"/>
              </w:rPr>
              <w:fldChar w:fldCharType="separate"/>
            </w:r>
            <w:r w:rsidRPr="00704659">
              <w:rPr>
                <w:rFonts w:ascii="Times New Roman" w:hAnsi="Times New Roman" w:cs="Times New Roman"/>
                <w:noProof/>
                <w:webHidden/>
                <w:sz w:val="24"/>
                <w:szCs w:val="24"/>
              </w:rPr>
              <w:t>30</w:t>
            </w:r>
            <w:r w:rsidRPr="00704659">
              <w:rPr>
                <w:rFonts w:ascii="Times New Roman" w:hAnsi="Times New Roman" w:cs="Times New Roman"/>
                <w:noProof/>
                <w:webHidden/>
                <w:sz w:val="24"/>
                <w:szCs w:val="24"/>
              </w:rPr>
              <w:fldChar w:fldCharType="end"/>
            </w:r>
          </w:hyperlink>
        </w:p>
        <w:p w14:paraId="4694618C" w14:textId="7FC7D5D1" w:rsidR="009154BA" w:rsidRPr="00514BE4" w:rsidRDefault="00514BE4" w:rsidP="00514BE4">
          <w:r w:rsidRPr="00704659">
            <w:rPr>
              <w:rFonts w:ascii="Times New Roman" w:hAnsi="Times New Roman" w:cs="Times New Roman"/>
              <w:b/>
              <w:bCs/>
              <w:noProof/>
              <w:sz w:val="24"/>
              <w:szCs w:val="24"/>
            </w:rPr>
            <w:fldChar w:fldCharType="end"/>
          </w:r>
        </w:p>
      </w:sdtContent>
    </w:sdt>
    <w:p w14:paraId="395651CE" w14:textId="77777777" w:rsidR="00B76021" w:rsidRDefault="00B76021" w:rsidP="009154BA">
      <w:pPr>
        <w:pStyle w:val="Heading1"/>
      </w:pPr>
    </w:p>
    <w:p w14:paraId="22D1A7B5" w14:textId="77777777" w:rsidR="00B76021" w:rsidRDefault="00B76021" w:rsidP="009154BA">
      <w:pPr>
        <w:pStyle w:val="Heading1"/>
      </w:pPr>
    </w:p>
    <w:p w14:paraId="1A368A10" w14:textId="77777777" w:rsidR="00B76021" w:rsidRDefault="00B76021" w:rsidP="009154BA">
      <w:pPr>
        <w:pStyle w:val="Heading1"/>
      </w:pPr>
    </w:p>
    <w:p w14:paraId="009602AA" w14:textId="77777777" w:rsidR="00B76021" w:rsidRDefault="00B76021" w:rsidP="009154BA">
      <w:pPr>
        <w:pStyle w:val="Heading1"/>
      </w:pPr>
    </w:p>
    <w:p w14:paraId="563156FA" w14:textId="77777777" w:rsidR="00B76021" w:rsidRDefault="00B76021" w:rsidP="009154BA">
      <w:pPr>
        <w:pStyle w:val="Heading1"/>
      </w:pPr>
    </w:p>
    <w:p w14:paraId="39C2515C" w14:textId="77777777" w:rsidR="00B76021" w:rsidRDefault="00B76021" w:rsidP="009154BA">
      <w:pPr>
        <w:pStyle w:val="Heading1"/>
      </w:pPr>
    </w:p>
    <w:p w14:paraId="23E20835" w14:textId="77777777" w:rsidR="00B76021" w:rsidRDefault="00B76021" w:rsidP="009154BA">
      <w:pPr>
        <w:pStyle w:val="Heading1"/>
      </w:pPr>
    </w:p>
    <w:p w14:paraId="08B698B6" w14:textId="77777777" w:rsidR="00B76021" w:rsidRDefault="00B76021" w:rsidP="009154BA">
      <w:pPr>
        <w:pStyle w:val="Heading1"/>
      </w:pPr>
    </w:p>
    <w:p w14:paraId="73293D6D" w14:textId="77777777" w:rsidR="00B76021" w:rsidRDefault="00B76021" w:rsidP="009154BA">
      <w:pPr>
        <w:pStyle w:val="Heading1"/>
      </w:pPr>
    </w:p>
    <w:p w14:paraId="2D34EEBE" w14:textId="77777777" w:rsidR="00B76021" w:rsidRDefault="00B76021" w:rsidP="009154BA">
      <w:pPr>
        <w:pStyle w:val="Heading1"/>
      </w:pPr>
    </w:p>
    <w:p w14:paraId="3CE157A4" w14:textId="77777777" w:rsidR="00B76021" w:rsidRDefault="00B76021" w:rsidP="009154BA">
      <w:pPr>
        <w:pStyle w:val="Heading1"/>
      </w:pPr>
    </w:p>
    <w:p w14:paraId="1ACF0E3E" w14:textId="77777777" w:rsidR="00B76021" w:rsidRDefault="00B76021" w:rsidP="009154BA">
      <w:pPr>
        <w:pStyle w:val="Heading1"/>
      </w:pPr>
    </w:p>
    <w:p w14:paraId="125B2D87" w14:textId="77777777" w:rsidR="00B76021" w:rsidRDefault="00B76021" w:rsidP="009154BA">
      <w:pPr>
        <w:pStyle w:val="Heading1"/>
      </w:pPr>
    </w:p>
    <w:p w14:paraId="277F5C60" w14:textId="77777777" w:rsidR="00B76021" w:rsidRDefault="00B76021" w:rsidP="009154BA">
      <w:pPr>
        <w:pStyle w:val="Heading1"/>
      </w:pPr>
    </w:p>
    <w:p w14:paraId="0CF96AA1" w14:textId="77777777" w:rsidR="00B76021" w:rsidRPr="00B76021" w:rsidRDefault="00B76021" w:rsidP="00B76021"/>
    <w:p w14:paraId="559A9DE2" w14:textId="5C07A2F1" w:rsidR="002F1AC7" w:rsidRPr="009154BA" w:rsidRDefault="002F1AC7" w:rsidP="009154BA">
      <w:pPr>
        <w:pStyle w:val="Heading1"/>
      </w:pPr>
      <w:bookmarkStart w:id="1" w:name="_Toc214355500"/>
      <w:r w:rsidRPr="009154BA">
        <w:lastRenderedPageBreak/>
        <w:t>1. Introduction</w:t>
      </w:r>
      <w:bookmarkEnd w:id="1"/>
    </w:p>
    <w:p w14:paraId="51770FC6" w14:textId="77777777" w:rsidR="00CB47C4" w:rsidRDefault="00CB47C4" w:rsidP="009154BA">
      <w:pPr>
        <w:jc w:val="both"/>
        <w:rPr>
          <w:rFonts w:ascii="Times New Roman" w:hAnsi="Times New Roman" w:cs="Times New Roman"/>
          <w:sz w:val="24"/>
          <w:szCs w:val="24"/>
        </w:rPr>
      </w:pPr>
      <w:r w:rsidRPr="00CB47C4">
        <w:rPr>
          <w:rFonts w:ascii="Times New Roman" w:hAnsi="Times New Roman" w:cs="Times New Roman"/>
          <w:sz w:val="24"/>
          <w:szCs w:val="24"/>
        </w:rPr>
        <w:t>The General Electronics is an international consumer electronics firm experiencing severe financial distress due to a decrease in profitability, poor liquidity, ineffective working capital management, and increasing operational expenditure. The firm has recorded significant net losses, increasing financial risk and unreliable cash flow in the last five years, which are typical signs of financial distress at an early stage of large companies (Altman, 2018). The aim of the report is to carry out an in-depth assessment of the financial performance of the organisation, identify the underlying causes of its ills, and offer a financially sustainable and ethically acceptable turnaround strategy as the new Chief Financial Officer.</w:t>
      </w:r>
    </w:p>
    <w:p w14:paraId="1B75BBCC" w14:textId="016C5E3A" w:rsidR="002F1AC7" w:rsidRPr="009154BA" w:rsidRDefault="00CB47C4" w:rsidP="009154BA">
      <w:pPr>
        <w:jc w:val="both"/>
        <w:rPr>
          <w:rFonts w:ascii="Times New Roman" w:hAnsi="Times New Roman" w:cs="Times New Roman"/>
          <w:sz w:val="24"/>
          <w:szCs w:val="24"/>
        </w:rPr>
      </w:pPr>
      <w:r w:rsidRPr="00CB47C4">
        <w:rPr>
          <w:rFonts w:ascii="Times New Roman" w:hAnsi="Times New Roman" w:cs="Times New Roman"/>
          <w:sz w:val="24"/>
          <w:szCs w:val="24"/>
        </w:rPr>
        <w:t xml:space="preserve">The analysis uses five years of consolidated financial statements and utilizes the available financial assessment instruments, such as ratio analysis, trend analysis, working capital diagnostic, and corporate failure prediction models. In addition, the report undertakes a multi-method investment appraisal of three prospective projects, and it assists in the decision on capital allocation under stringent capital rationing process that is important in maximising value creation (Osborne, 2010). The long run goal is to give recommendations to the Board which are evidence based and can bring back financial stability and increase efficiency in its operations and recover the </w:t>
      </w:r>
      <w:r w:rsidR="005A05AE" w:rsidRPr="00CB47C4">
        <w:rPr>
          <w:rFonts w:ascii="Times New Roman" w:hAnsi="Times New Roman" w:cs="Times New Roman"/>
          <w:sz w:val="24"/>
          <w:szCs w:val="24"/>
        </w:rPr>
        <w:t>long-term</w:t>
      </w:r>
      <w:r w:rsidRPr="00CB47C4">
        <w:rPr>
          <w:rFonts w:ascii="Times New Roman" w:hAnsi="Times New Roman" w:cs="Times New Roman"/>
          <w:sz w:val="24"/>
          <w:szCs w:val="24"/>
        </w:rPr>
        <w:t xml:space="preserve"> shareholder value</w:t>
      </w:r>
      <w:r w:rsidR="002F1AC7" w:rsidRPr="009154BA">
        <w:rPr>
          <w:rFonts w:ascii="Times New Roman" w:hAnsi="Times New Roman" w:cs="Times New Roman"/>
          <w:sz w:val="24"/>
          <w:szCs w:val="24"/>
        </w:rPr>
        <w:t>.</w:t>
      </w:r>
    </w:p>
    <w:p w14:paraId="64D1D916" w14:textId="27D7AF8D" w:rsidR="002F1AC7" w:rsidRPr="009154BA" w:rsidRDefault="002F1AC7" w:rsidP="009154BA">
      <w:pPr>
        <w:pStyle w:val="Heading1"/>
      </w:pPr>
      <w:bookmarkStart w:id="2" w:name="_Toc214355501"/>
      <w:r w:rsidRPr="009154BA">
        <w:t>2. Financial Health Check</w:t>
      </w:r>
      <w:bookmarkEnd w:id="2"/>
    </w:p>
    <w:p w14:paraId="69800EC3" w14:textId="083DBD94" w:rsidR="002F1AC7" w:rsidRPr="009154BA" w:rsidRDefault="00CB47C4" w:rsidP="009154BA">
      <w:pPr>
        <w:jc w:val="both"/>
        <w:rPr>
          <w:rFonts w:ascii="Times New Roman" w:hAnsi="Times New Roman" w:cs="Times New Roman"/>
          <w:sz w:val="24"/>
          <w:szCs w:val="24"/>
        </w:rPr>
      </w:pPr>
      <w:r w:rsidRPr="00CB47C4">
        <w:rPr>
          <w:rFonts w:ascii="Times New Roman" w:hAnsi="Times New Roman" w:cs="Times New Roman"/>
          <w:sz w:val="24"/>
          <w:szCs w:val="24"/>
        </w:rPr>
        <w:t>This section measures the consolidated financial statements of General Electronics in the period 2020</w:t>
      </w:r>
      <w:r>
        <w:rPr>
          <w:rFonts w:ascii="Times New Roman" w:hAnsi="Times New Roman" w:cs="Times New Roman"/>
          <w:sz w:val="24"/>
          <w:szCs w:val="24"/>
        </w:rPr>
        <w:t>-</w:t>
      </w:r>
      <w:r w:rsidRPr="00CB47C4">
        <w:rPr>
          <w:rFonts w:ascii="Times New Roman" w:hAnsi="Times New Roman" w:cs="Times New Roman"/>
          <w:sz w:val="24"/>
          <w:szCs w:val="24"/>
        </w:rPr>
        <w:t xml:space="preserve">2024 by applying the conventional ratio analysis, cash-flow diagnostics and a corporate failure prediction model. Results below are a combination of calculated ratios, commentary of five-year trend and discussion of strengths and threats. All ratio calculations and Altman </w:t>
      </w:r>
      <w:proofErr w:type="spellStart"/>
      <w:r w:rsidRPr="00CB47C4">
        <w:rPr>
          <w:rFonts w:ascii="Times New Roman" w:hAnsi="Times New Roman" w:cs="Times New Roman"/>
          <w:sz w:val="24"/>
          <w:szCs w:val="24"/>
        </w:rPr>
        <w:t>Zth</w:t>
      </w:r>
      <w:proofErr w:type="spellEnd"/>
      <w:r w:rsidRPr="00CB47C4">
        <w:rPr>
          <w:rFonts w:ascii="Times New Roman" w:hAnsi="Times New Roman" w:cs="Times New Roman"/>
          <w:sz w:val="24"/>
          <w:szCs w:val="24"/>
        </w:rPr>
        <w:t xml:space="preserve"> score are computed based on the given income statement, balance sheet and cash-flow statement</w:t>
      </w:r>
      <w:r w:rsidR="002F1AC7" w:rsidRPr="009154BA">
        <w:rPr>
          <w:rFonts w:ascii="Times New Roman" w:hAnsi="Times New Roman" w:cs="Times New Roman"/>
          <w:sz w:val="24"/>
          <w:szCs w:val="24"/>
        </w:rPr>
        <w:t>.</w:t>
      </w:r>
    </w:p>
    <w:p w14:paraId="26E8E908" w14:textId="77777777" w:rsidR="002F1AC7" w:rsidRPr="009154BA" w:rsidRDefault="002F1AC7" w:rsidP="00AB7390">
      <w:pPr>
        <w:pStyle w:val="Heading2"/>
      </w:pPr>
      <w:bookmarkStart w:id="3" w:name="_Toc214355502"/>
      <w:r w:rsidRPr="009154BA">
        <w:t>2.1 Profitability analysis</w:t>
      </w:r>
      <w:bookmarkEnd w:id="3"/>
    </w:p>
    <w:p w14:paraId="59C9E081" w14:textId="77777777" w:rsid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Key margins show a material deterioration in profitability between 2020 and 2024.</w:t>
      </w:r>
    </w:p>
    <w:p w14:paraId="52AFD6F8" w14:textId="77777777" w:rsidR="009154BA" w:rsidRDefault="002F1AC7" w:rsidP="009154BA">
      <w:pPr>
        <w:pStyle w:val="ListParagraph"/>
        <w:numPr>
          <w:ilvl w:val="0"/>
          <w:numId w:val="28"/>
        </w:numPr>
        <w:jc w:val="both"/>
        <w:rPr>
          <w:rFonts w:ascii="Times New Roman" w:hAnsi="Times New Roman" w:cs="Times New Roman"/>
          <w:sz w:val="24"/>
          <w:szCs w:val="24"/>
        </w:rPr>
      </w:pPr>
      <w:r w:rsidRPr="009154BA">
        <w:rPr>
          <w:rFonts w:ascii="Times New Roman" w:hAnsi="Times New Roman" w:cs="Times New Roman"/>
          <w:b/>
          <w:bCs/>
          <w:sz w:val="24"/>
          <w:szCs w:val="24"/>
        </w:rPr>
        <w:t>Gross profit margin (GPM)</w:t>
      </w:r>
      <w:r w:rsidRPr="009154BA">
        <w:rPr>
          <w:rFonts w:ascii="Times New Roman" w:hAnsi="Times New Roman" w:cs="Times New Roman"/>
          <w:sz w:val="24"/>
          <w:szCs w:val="24"/>
        </w:rPr>
        <w:t xml:space="preserve"> remained roughly around 28–29% in 2020–2024 but displays volatility: 28.7% (2020), 28.8% (2021), 28.1% (2022), 23.2% (2023) and 28.9% (2024). The 2023 dip to ~23.2% reflects a sharp fall in gross profit driven primarily by declining sales and cost pressures; 2024 sees a partial recovery in gross margin but not in overall profitability.</w:t>
      </w:r>
    </w:p>
    <w:p w14:paraId="0004A42E" w14:textId="77777777" w:rsidR="009154BA" w:rsidRDefault="002F1AC7" w:rsidP="009154BA">
      <w:pPr>
        <w:pStyle w:val="ListParagraph"/>
        <w:numPr>
          <w:ilvl w:val="0"/>
          <w:numId w:val="28"/>
        </w:numPr>
        <w:jc w:val="both"/>
        <w:rPr>
          <w:rFonts w:ascii="Times New Roman" w:hAnsi="Times New Roman" w:cs="Times New Roman"/>
          <w:sz w:val="24"/>
          <w:szCs w:val="24"/>
        </w:rPr>
      </w:pPr>
      <w:r w:rsidRPr="009154BA">
        <w:rPr>
          <w:rFonts w:ascii="Times New Roman" w:hAnsi="Times New Roman" w:cs="Times New Roman"/>
          <w:b/>
          <w:bCs/>
          <w:sz w:val="24"/>
          <w:szCs w:val="24"/>
        </w:rPr>
        <w:t>Operating profit margin (OPM)</w:t>
      </w:r>
      <w:r w:rsidRPr="009154BA">
        <w:rPr>
          <w:rFonts w:ascii="Times New Roman" w:hAnsi="Times New Roman" w:cs="Times New Roman"/>
          <w:sz w:val="24"/>
          <w:szCs w:val="24"/>
        </w:rPr>
        <w:t xml:space="preserve"> moved from a healthy 6.1% in 2020 to positive low single digits in 2021–2022 (≈3.9% and 2.7% respectively) and then into deep losses: –20.3% (2023) and –3.9% (2024). The 2023 operating loss of £85,301m strongly signals structural operating problems (rising operating expenses and impairment/one-off charges).</w:t>
      </w:r>
    </w:p>
    <w:p w14:paraId="50409C04" w14:textId="3464CA6B" w:rsidR="002F1AC7" w:rsidRPr="009154BA" w:rsidRDefault="002F1AC7" w:rsidP="009154BA">
      <w:pPr>
        <w:pStyle w:val="ListParagraph"/>
        <w:numPr>
          <w:ilvl w:val="0"/>
          <w:numId w:val="28"/>
        </w:numPr>
        <w:jc w:val="both"/>
        <w:rPr>
          <w:rFonts w:ascii="Times New Roman" w:hAnsi="Times New Roman" w:cs="Times New Roman"/>
          <w:sz w:val="24"/>
          <w:szCs w:val="24"/>
        </w:rPr>
      </w:pPr>
      <w:r w:rsidRPr="009154BA">
        <w:rPr>
          <w:rFonts w:ascii="Times New Roman" w:hAnsi="Times New Roman" w:cs="Times New Roman"/>
          <w:b/>
          <w:bCs/>
          <w:sz w:val="24"/>
          <w:szCs w:val="24"/>
        </w:rPr>
        <w:t>Net profit margin (NPM)</w:t>
      </w:r>
      <w:r w:rsidRPr="009154BA">
        <w:rPr>
          <w:rFonts w:ascii="Times New Roman" w:hAnsi="Times New Roman" w:cs="Times New Roman"/>
          <w:sz w:val="24"/>
          <w:szCs w:val="24"/>
        </w:rPr>
        <w:t xml:space="preserve"> also deteriorated from ~6.3% (2020) to small positive in 2021–2022 (≈0.9% and ≈0.1%), then large negative outcomes in 2023 (–23.4%) and 2024 (–6.1%).</w:t>
      </w:r>
    </w:p>
    <w:p w14:paraId="206FBAB6" w14:textId="6BEC9BF5" w:rsidR="002F1AC7"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lastRenderedPageBreak/>
        <w:t>As the analysis shows, despite some level of resilience in gross margins, operating margins and net margins have been impacted in a serious way because of increased operating costs, impairment losses, and increased financial costs continuing until the annex period 2023-2024</w:t>
      </w:r>
      <w:r w:rsidR="002F1AC7" w:rsidRPr="009154BA">
        <w:rPr>
          <w:rFonts w:ascii="Times New Roman" w:hAnsi="Times New Roman" w:cs="Times New Roman"/>
          <w:sz w:val="24"/>
          <w:szCs w:val="24"/>
        </w:rPr>
        <w:t>. This aligns with literature that observes operating expense control and non-operating charges as common drivers of corporate distress (Altman, 2018).</w:t>
      </w:r>
    </w:p>
    <w:p w14:paraId="40D29020" w14:textId="77777777" w:rsidR="002F1AC7" w:rsidRPr="009154BA" w:rsidRDefault="002F1AC7" w:rsidP="00AB7390">
      <w:pPr>
        <w:pStyle w:val="Heading2"/>
      </w:pPr>
      <w:bookmarkStart w:id="4" w:name="_Toc214355503"/>
      <w:r w:rsidRPr="009154BA">
        <w:t>2.2 Liquidity analysis</w:t>
      </w:r>
      <w:bookmarkEnd w:id="4"/>
    </w:p>
    <w:p w14:paraId="00C1886E" w14:textId="77777777" w:rsid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Short-term liquidity ratios indicate tightening but not terminal insolvency as of 2024:</w:t>
      </w:r>
    </w:p>
    <w:p w14:paraId="28B5F98B" w14:textId="77777777" w:rsidR="009154BA" w:rsidRDefault="002F1AC7" w:rsidP="009154BA">
      <w:pPr>
        <w:pStyle w:val="ListParagraph"/>
        <w:numPr>
          <w:ilvl w:val="0"/>
          <w:numId w:val="29"/>
        </w:numPr>
        <w:jc w:val="both"/>
        <w:rPr>
          <w:rFonts w:ascii="Times New Roman" w:hAnsi="Times New Roman" w:cs="Times New Roman"/>
          <w:sz w:val="24"/>
          <w:szCs w:val="24"/>
        </w:rPr>
      </w:pPr>
      <w:r w:rsidRPr="009154BA">
        <w:rPr>
          <w:rFonts w:ascii="Times New Roman" w:hAnsi="Times New Roman" w:cs="Times New Roman"/>
          <w:b/>
          <w:bCs/>
          <w:sz w:val="24"/>
          <w:szCs w:val="24"/>
        </w:rPr>
        <w:t>Current ratio</w:t>
      </w:r>
      <w:r w:rsidRPr="009154BA">
        <w:rPr>
          <w:rFonts w:ascii="Times New Roman" w:hAnsi="Times New Roman" w:cs="Times New Roman"/>
          <w:sz w:val="24"/>
          <w:szCs w:val="24"/>
        </w:rPr>
        <w:t xml:space="preserve">: 1.82 (2020) → 1.56 (2021) → 1.56 (2022) → 1.61 (2023) </w:t>
      </w:r>
      <w:r w:rsidRPr="00514BE4">
        <w:rPr>
          <w:rFonts w:ascii="Times New Roman" w:hAnsi="Times New Roman" w:cs="Times New Roman"/>
          <w:sz w:val="24"/>
          <w:szCs w:val="24"/>
        </w:rPr>
        <w:t>→ 1.53 (2024). The current ratio stays above 1.0 throughout, but the reduction from 1</w:t>
      </w:r>
      <w:r w:rsidRPr="009154BA">
        <w:rPr>
          <w:rFonts w:ascii="Times New Roman" w:hAnsi="Times New Roman" w:cs="Times New Roman"/>
          <w:sz w:val="24"/>
          <w:szCs w:val="24"/>
        </w:rPr>
        <w:t>.82 to 1.53 over five years shows a weakening buffer against short-term obligations.</w:t>
      </w:r>
    </w:p>
    <w:p w14:paraId="68F000A0" w14:textId="7EBD27BD" w:rsidR="002F1AC7" w:rsidRPr="009154BA" w:rsidRDefault="002F1AC7" w:rsidP="009154BA">
      <w:pPr>
        <w:pStyle w:val="ListParagraph"/>
        <w:numPr>
          <w:ilvl w:val="0"/>
          <w:numId w:val="29"/>
        </w:numPr>
        <w:jc w:val="both"/>
        <w:rPr>
          <w:rFonts w:ascii="Times New Roman" w:hAnsi="Times New Roman" w:cs="Times New Roman"/>
          <w:sz w:val="24"/>
          <w:szCs w:val="24"/>
        </w:rPr>
      </w:pPr>
      <w:r w:rsidRPr="009154BA">
        <w:rPr>
          <w:rFonts w:ascii="Times New Roman" w:hAnsi="Times New Roman" w:cs="Times New Roman"/>
          <w:b/>
          <w:bCs/>
          <w:sz w:val="24"/>
          <w:szCs w:val="24"/>
        </w:rPr>
        <w:t>Quick ratio (ex-inventory)</w:t>
      </w:r>
      <w:r w:rsidRPr="009154BA">
        <w:rPr>
          <w:rFonts w:ascii="Times New Roman" w:hAnsi="Times New Roman" w:cs="Times New Roman"/>
          <w:sz w:val="24"/>
          <w:szCs w:val="24"/>
        </w:rPr>
        <w:t xml:space="preserve">: 1.15 (2020) → 0.94 (2021) → 0.91 (2022) → 1.06 (2023) → </w:t>
      </w:r>
      <w:r w:rsidRPr="00514BE4">
        <w:rPr>
          <w:rFonts w:ascii="Times New Roman" w:hAnsi="Times New Roman" w:cs="Times New Roman"/>
          <w:sz w:val="24"/>
          <w:szCs w:val="24"/>
        </w:rPr>
        <w:t>1.03 (2024).</w:t>
      </w:r>
      <w:r w:rsidRPr="009154BA">
        <w:rPr>
          <w:rFonts w:ascii="Times New Roman" w:hAnsi="Times New Roman" w:cs="Times New Roman"/>
          <w:sz w:val="24"/>
          <w:szCs w:val="24"/>
        </w:rPr>
        <w:t xml:space="preserve"> The quick ratio around unity in 2023–2024 signals limited liquid coverage of current liabilities once inventory is excluded.</w:t>
      </w:r>
    </w:p>
    <w:p w14:paraId="19E4D82F" w14:textId="14559E20"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The fall in cash and cash equivalents (from £57,153m at end-2020 to £26,783m at end-2024) combined with relatively high current liabilities (c. £158,291m in 2024) indicates heightened short-term funding risk and increased reliance on credit facilities (lines of credit movements in the cash-flow statement corroborate this). Working capital pressures are therefore a principal liquidity concern (</w:t>
      </w:r>
      <w:proofErr w:type="spellStart"/>
      <w:r w:rsidR="00E31D8D" w:rsidRPr="009154BA">
        <w:rPr>
          <w:rFonts w:ascii="Times New Roman" w:hAnsi="Times New Roman" w:cs="Times New Roman"/>
          <w:sz w:val="24"/>
          <w:szCs w:val="24"/>
        </w:rPr>
        <w:t>Alawiyah</w:t>
      </w:r>
      <w:proofErr w:type="spellEnd"/>
      <w:r w:rsidR="00E31D8D" w:rsidRPr="009154BA">
        <w:rPr>
          <w:rFonts w:ascii="Times New Roman" w:hAnsi="Times New Roman" w:cs="Times New Roman"/>
          <w:sz w:val="24"/>
          <w:szCs w:val="24"/>
        </w:rPr>
        <w:t xml:space="preserve">, </w:t>
      </w:r>
      <w:proofErr w:type="spellStart"/>
      <w:r w:rsidR="00E31D8D" w:rsidRPr="009154BA">
        <w:rPr>
          <w:rFonts w:ascii="Times New Roman" w:hAnsi="Times New Roman" w:cs="Times New Roman"/>
          <w:sz w:val="24"/>
          <w:szCs w:val="24"/>
        </w:rPr>
        <w:t>Senewe</w:t>
      </w:r>
      <w:proofErr w:type="spellEnd"/>
      <w:r w:rsidR="00E31D8D" w:rsidRPr="009154BA">
        <w:rPr>
          <w:rFonts w:ascii="Times New Roman" w:hAnsi="Times New Roman" w:cs="Times New Roman"/>
          <w:sz w:val="24"/>
          <w:szCs w:val="24"/>
        </w:rPr>
        <w:t xml:space="preserve"> and Paulina, 2023</w:t>
      </w:r>
      <w:r w:rsidRPr="009154BA">
        <w:rPr>
          <w:rFonts w:ascii="Times New Roman" w:hAnsi="Times New Roman" w:cs="Times New Roman"/>
          <w:sz w:val="24"/>
          <w:szCs w:val="24"/>
        </w:rPr>
        <w:t>).</w:t>
      </w:r>
    </w:p>
    <w:p w14:paraId="02A2A2C7" w14:textId="77777777" w:rsidR="002F1AC7" w:rsidRPr="009154BA" w:rsidRDefault="002F1AC7" w:rsidP="00AB7390">
      <w:pPr>
        <w:pStyle w:val="Heading2"/>
      </w:pPr>
      <w:bookmarkStart w:id="5" w:name="_Toc214355504"/>
      <w:r w:rsidRPr="009154BA">
        <w:t>2.3 Efficiency / activity ratios</w:t>
      </w:r>
      <w:bookmarkEnd w:id="5"/>
    </w:p>
    <w:p w14:paraId="5D3552D3" w14:textId="77777777" w:rsid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Activity ratios reveal persistent working-capital inefficiencies that exacerbate liquidity stress:</w:t>
      </w:r>
    </w:p>
    <w:p w14:paraId="5E48ED10" w14:textId="77777777" w:rsidR="009154BA" w:rsidRDefault="002F1AC7" w:rsidP="009154BA">
      <w:pPr>
        <w:pStyle w:val="ListParagraph"/>
        <w:numPr>
          <w:ilvl w:val="0"/>
          <w:numId w:val="30"/>
        </w:numPr>
        <w:jc w:val="both"/>
        <w:rPr>
          <w:rFonts w:ascii="Times New Roman" w:hAnsi="Times New Roman" w:cs="Times New Roman"/>
          <w:sz w:val="24"/>
          <w:szCs w:val="24"/>
        </w:rPr>
      </w:pPr>
      <w:r w:rsidRPr="009154BA">
        <w:rPr>
          <w:rFonts w:ascii="Times New Roman" w:hAnsi="Times New Roman" w:cs="Times New Roman"/>
          <w:b/>
          <w:bCs/>
          <w:sz w:val="24"/>
          <w:szCs w:val="24"/>
        </w:rPr>
        <w:t>Inventory days</w:t>
      </w:r>
      <w:r w:rsidRPr="009154BA">
        <w:rPr>
          <w:rFonts w:ascii="Times New Roman" w:hAnsi="Times New Roman" w:cs="Times New Roman"/>
          <w:sz w:val="24"/>
          <w:szCs w:val="24"/>
        </w:rPr>
        <w:t xml:space="preserve"> increased from ≈100 days (2020) to ~132 days (2022), fell to ~100 days (2023) and are ~103 days in 2024. Inventory remains high relative to cost of sales, implying slow stock turn and possible obsolescence risk in a consumer electronics firm.</w:t>
      </w:r>
    </w:p>
    <w:p w14:paraId="3AF7A473" w14:textId="77777777" w:rsidR="009154BA" w:rsidRDefault="002F1AC7" w:rsidP="009154BA">
      <w:pPr>
        <w:pStyle w:val="ListParagraph"/>
        <w:numPr>
          <w:ilvl w:val="0"/>
          <w:numId w:val="30"/>
        </w:numPr>
        <w:jc w:val="both"/>
        <w:rPr>
          <w:rFonts w:ascii="Times New Roman" w:hAnsi="Times New Roman" w:cs="Times New Roman"/>
          <w:sz w:val="24"/>
          <w:szCs w:val="24"/>
        </w:rPr>
      </w:pPr>
      <w:r w:rsidRPr="009154BA">
        <w:rPr>
          <w:rFonts w:ascii="Times New Roman" w:hAnsi="Times New Roman" w:cs="Times New Roman"/>
          <w:b/>
          <w:bCs/>
          <w:sz w:val="24"/>
          <w:szCs w:val="24"/>
        </w:rPr>
        <w:t>Receivables days</w:t>
      </w:r>
      <w:r w:rsidRPr="009154BA">
        <w:rPr>
          <w:rFonts w:ascii="Times New Roman" w:hAnsi="Times New Roman" w:cs="Times New Roman"/>
          <w:sz w:val="24"/>
          <w:szCs w:val="24"/>
        </w:rPr>
        <w:t>: ≈77 days (2020) → ~78 (2021) → ~76 (2022) → ~98 (2023) → ≈106 days (2024). The jump in receivables days in 2023–2024 signals slower collections and weakening customer credit quality or extended payment terms.</w:t>
      </w:r>
    </w:p>
    <w:p w14:paraId="344B6790" w14:textId="09BF773D" w:rsidR="002F1AC7" w:rsidRPr="009154BA" w:rsidRDefault="002F1AC7" w:rsidP="009154BA">
      <w:pPr>
        <w:pStyle w:val="ListParagraph"/>
        <w:numPr>
          <w:ilvl w:val="0"/>
          <w:numId w:val="30"/>
        </w:numPr>
        <w:jc w:val="both"/>
        <w:rPr>
          <w:rFonts w:ascii="Times New Roman" w:hAnsi="Times New Roman" w:cs="Times New Roman"/>
          <w:sz w:val="24"/>
          <w:szCs w:val="24"/>
        </w:rPr>
      </w:pPr>
      <w:r w:rsidRPr="009154BA">
        <w:rPr>
          <w:rFonts w:ascii="Times New Roman" w:hAnsi="Times New Roman" w:cs="Times New Roman"/>
          <w:b/>
          <w:bCs/>
          <w:sz w:val="24"/>
          <w:szCs w:val="24"/>
        </w:rPr>
        <w:t>Payables days</w:t>
      </w:r>
      <w:r w:rsidRPr="009154BA">
        <w:rPr>
          <w:rFonts w:ascii="Times New Roman" w:hAnsi="Times New Roman" w:cs="Times New Roman"/>
          <w:sz w:val="24"/>
          <w:szCs w:val="24"/>
        </w:rPr>
        <w:t>: ≈69 days (2020) → ≈79 (2021) → ≈66.8 (2022) → ≈64.5 (2023) → ≈93.6 (2024). The 2024 increase in payables days suggests supplier payment extension (perhaps negotiated) or higher reliance on trade credit.</w:t>
      </w:r>
    </w:p>
    <w:p w14:paraId="4BD0CCCA" w14:textId="211F6616"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The cash conversion cycle (CCC) thus expanded from roughly 108 days (2020) to ~140 days (2022), ~133 days (2023) and is ≈115 days in 2024. Long CCCs in 2021–2023 followed by partial improvement in 2024 indicate continued working-capital inefficiency; industry comparisons would likely put this CCC above best practice for electronics (</w:t>
      </w:r>
      <w:r w:rsidR="006E661F" w:rsidRPr="009154BA">
        <w:rPr>
          <w:rFonts w:ascii="Times New Roman" w:hAnsi="Times New Roman" w:cs="Times New Roman"/>
          <w:sz w:val="24"/>
          <w:szCs w:val="24"/>
        </w:rPr>
        <w:t xml:space="preserve">Sanguino </w:t>
      </w:r>
      <w:r w:rsidR="006E661F" w:rsidRPr="009154BA">
        <w:rPr>
          <w:rFonts w:ascii="Times New Roman" w:hAnsi="Times New Roman" w:cs="Times New Roman"/>
          <w:i/>
          <w:iCs/>
          <w:sz w:val="24"/>
          <w:szCs w:val="24"/>
        </w:rPr>
        <w:t>et al.</w:t>
      </w:r>
      <w:r w:rsidR="006E661F" w:rsidRPr="009154BA">
        <w:rPr>
          <w:rFonts w:ascii="Times New Roman" w:hAnsi="Times New Roman" w:cs="Times New Roman"/>
          <w:sz w:val="24"/>
          <w:szCs w:val="24"/>
        </w:rPr>
        <w:t>, 2024</w:t>
      </w:r>
      <w:r w:rsidRPr="009154BA">
        <w:rPr>
          <w:rFonts w:ascii="Times New Roman" w:hAnsi="Times New Roman" w:cs="Times New Roman"/>
          <w:sz w:val="24"/>
          <w:szCs w:val="24"/>
        </w:rPr>
        <w:t>). High CCC plus stretched receivables means cash remains tied up in operations rather than available for investment or debt service.</w:t>
      </w:r>
    </w:p>
    <w:p w14:paraId="1E099FDD" w14:textId="77777777" w:rsidR="002F1AC7" w:rsidRPr="009154BA" w:rsidRDefault="002F1AC7" w:rsidP="00AB7390">
      <w:pPr>
        <w:pStyle w:val="Heading2"/>
      </w:pPr>
      <w:bookmarkStart w:id="6" w:name="_Toc214355505"/>
      <w:r w:rsidRPr="009154BA">
        <w:t>2.4 Gearing and capital structure</w:t>
      </w:r>
      <w:bookmarkEnd w:id="6"/>
    </w:p>
    <w:p w14:paraId="7D139307" w14:textId="77777777" w:rsid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Leverage and interest coverage trends highlight growing financial risk:</w:t>
      </w:r>
    </w:p>
    <w:p w14:paraId="2C315170" w14:textId="77777777" w:rsidR="009154BA" w:rsidRDefault="002F1AC7" w:rsidP="009154BA">
      <w:pPr>
        <w:pStyle w:val="ListParagraph"/>
        <w:numPr>
          <w:ilvl w:val="0"/>
          <w:numId w:val="31"/>
        </w:numPr>
        <w:jc w:val="both"/>
        <w:rPr>
          <w:rFonts w:ascii="Times New Roman" w:hAnsi="Times New Roman" w:cs="Times New Roman"/>
          <w:sz w:val="24"/>
          <w:szCs w:val="24"/>
        </w:rPr>
      </w:pPr>
      <w:r w:rsidRPr="009154BA">
        <w:rPr>
          <w:rFonts w:ascii="Times New Roman" w:hAnsi="Times New Roman" w:cs="Times New Roman"/>
          <w:b/>
          <w:bCs/>
          <w:sz w:val="24"/>
          <w:szCs w:val="24"/>
        </w:rPr>
        <w:lastRenderedPageBreak/>
        <w:t>Debt-to-equity ratio</w:t>
      </w:r>
      <w:r w:rsidRPr="009154BA">
        <w:rPr>
          <w:rFonts w:ascii="Times New Roman" w:hAnsi="Times New Roman" w:cs="Times New Roman"/>
          <w:sz w:val="24"/>
          <w:szCs w:val="24"/>
        </w:rPr>
        <w:t xml:space="preserve"> rose from ~0.63 (2020) to ≈1.11 (2024) (peaking mid-period then stabilising). The increase reflects rising liabilities alongside falling equity (retained earnings reductions and treasury stock movements).</w:t>
      </w:r>
    </w:p>
    <w:p w14:paraId="7246A6D1" w14:textId="31FE0984" w:rsidR="002F1AC7" w:rsidRPr="009154BA" w:rsidRDefault="002F1AC7" w:rsidP="009154BA">
      <w:pPr>
        <w:pStyle w:val="ListParagraph"/>
        <w:numPr>
          <w:ilvl w:val="0"/>
          <w:numId w:val="31"/>
        </w:numPr>
        <w:jc w:val="both"/>
        <w:rPr>
          <w:rFonts w:ascii="Times New Roman" w:hAnsi="Times New Roman" w:cs="Times New Roman"/>
          <w:sz w:val="24"/>
          <w:szCs w:val="24"/>
        </w:rPr>
      </w:pPr>
      <w:r w:rsidRPr="009154BA">
        <w:rPr>
          <w:rFonts w:ascii="Times New Roman" w:hAnsi="Times New Roman" w:cs="Times New Roman"/>
          <w:b/>
          <w:bCs/>
          <w:sz w:val="24"/>
          <w:szCs w:val="24"/>
        </w:rPr>
        <w:t>Interest coverage</w:t>
      </w:r>
      <w:r w:rsidRPr="009154BA">
        <w:rPr>
          <w:rFonts w:ascii="Times New Roman" w:hAnsi="Times New Roman" w:cs="Times New Roman"/>
          <w:sz w:val="24"/>
          <w:szCs w:val="24"/>
        </w:rPr>
        <w:t xml:space="preserve"> (operating income ÷ interest expense) fell from a comfortable ~26x (2020) to very high coverage in good years, but turned negative in 2023 and 2024 (≈ –19.7x in 2023, –4.6x in 2024) because operating losses exceed recurring interest expense.</w:t>
      </w:r>
    </w:p>
    <w:p w14:paraId="1B7A8F59" w14:textId="492D50B3" w:rsidR="002F1AC7" w:rsidRPr="009154BA" w:rsidRDefault="00CB47C4" w:rsidP="009154BA">
      <w:pPr>
        <w:jc w:val="both"/>
        <w:rPr>
          <w:rFonts w:ascii="Times New Roman" w:hAnsi="Times New Roman" w:cs="Times New Roman"/>
          <w:sz w:val="24"/>
          <w:szCs w:val="24"/>
        </w:rPr>
      </w:pPr>
      <w:r w:rsidRPr="00CB47C4">
        <w:rPr>
          <w:rFonts w:ascii="Times New Roman" w:hAnsi="Times New Roman" w:cs="Times New Roman"/>
          <w:sz w:val="24"/>
          <w:szCs w:val="24"/>
        </w:rPr>
        <w:t>Higher leverage and negative interests cover in 2023</w:t>
      </w:r>
      <w:r>
        <w:rPr>
          <w:rFonts w:ascii="Times New Roman" w:hAnsi="Times New Roman" w:cs="Times New Roman"/>
          <w:sz w:val="24"/>
          <w:szCs w:val="24"/>
        </w:rPr>
        <w:t>-</w:t>
      </w:r>
      <w:r w:rsidRPr="00CB47C4">
        <w:rPr>
          <w:rFonts w:ascii="Times New Roman" w:hAnsi="Times New Roman" w:cs="Times New Roman"/>
          <w:sz w:val="24"/>
          <w:szCs w:val="24"/>
        </w:rPr>
        <w:t>2024 shows that it would be less able to meet its operations debt and increases the risk of default. It was found out that increment in leverage in parallel with the degradation of operating profitability is a sign of a company that is on its way to financial distress</w:t>
      </w:r>
      <w:r w:rsidR="002F1AC7" w:rsidRPr="009154BA">
        <w:rPr>
          <w:rFonts w:ascii="Times New Roman" w:hAnsi="Times New Roman" w:cs="Times New Roman"/>
          <w:sz w:val="24"/>
          <w:szCs w:val="24"/>
        </w:rPr>
        <w:t xml:space="preserve"> (</w:t>
      </w:r>
      <w:r w:rsidR="00297A56" w:rsidRPr="009154BA">
        <w:rPr>
          <w:rFonts w:ascii="Times New Roman" w:hAnsi="Times New Roman" w:cs="Times New Roman"/>
          <w:sz w:val="24"/>
          <w:szCs w:val="24"/>
        </w:rPr>
        <w:t>Alanis, Chava and Shah, 2022</w:t>
      </w:r>
      <w:r w:rsidR="002F1AC7" w:rsidRPr="009154BA">
        <w:rPr>
          <w:rFonts w:ascii="Times New Roman" w:hAnsi="Times New Roman" w:cs="Times New Roman"/>
          <w:sz w:val="24"/>
          <w:szCs w:val="24"/>
        </w:rPr>
        <w:t>).</w:t>
      </w:r>
    </w:p>
    <w:p w14:paraId="6EF9EE86" w14:textId="523CB858" w:rsidR="00AA73D4" w:rsidRPr="009154BA" w:rsidRDefault="00AA73D4"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Table </w:t>
      </w:r>
      <w:r w:rsidR="00AB7390">
        <w:rPr>
          <w:rFonts w:ascii="Times New Roman" w:hAnsi="Times New Roman" w:cs="Times New Roman"/>
          <w:sz w:val="24"/>
          <w:szCs w:val="24"/>
        </w:rPr>
        <w:t>1</w:t>
      </w:r>
      <w:r w:rsidRPr="009154BA">
        <w:rPr>
          <w:rFonts w:ascii="Times New Roman" w:hAnsi="Times New Roman" w:cs="Times New Roman"/>
          <w:sz w:val="24"/>
          <w:szCs w:val="24"/>
        </w:rPr>
        <w:t>: Altman Z-Score analysis indicating increasing financial distress between 2020 and 2024.</w:t>
      </w:r>
    </w:p>
    <w:tbl>
      <w:tblPr>
        <w:tblStyle w:val="PlainTable5"/>
        <w:tblW w:w="7042" w:type="dxa"/>
        <w:tblLook w:val="04A0" w:firstRow="1" w:lastRow="0" w:firstColumn="1" w:lastColumn="0" w:noHBand="0" w:noVBand="1"/>
      </w:tblPr>
      <w:tblGrid>
        <w:gridCol w:w="903"/>
        <w:gridCol w:w="1301"/>
        <w:gridCol w:w="4838"/>
      </w:tblGrid>
      <w:tr w:rsidR="00AA73D4" w:rsidRPr="00AA73D4" w14:paraId="14F8D4EB" w14:textId="77777777" w:rsidTr="009154BA">
        <w:trPr>
          <w:cnfStyle w:val="100000000000" w:firstRow="1" w:lastRow="0" w:firstColumn="0" w:lastColumn="0" w:oddVBand="0" w:evenVBand="0" w:oddHBand="0" w:evenHBand="0" w:firstRowFirstColumn="0" w:firstRowLastColumn="0" w:lastRowFirstColumn="0" w:lastRowLastColumn="0"/>
          <w:trHeight w:val="553"/>
        </w:trPr>
        <w:tc>
          <w:tcPr>
            <w:cnfStyle w:val="001000000100" w:firstRow="0" w:lastRow="0" w:firstColumn="1" w:lastColumn="0" w:oddVBand="0" w:evenVBand="0" w:oddHBand="0" w:evenHBand="0" w:firstRowFirstColumn="1" w:firstRowLastColumn="0" w:lastRowFirstColumn="0" w:lastRowLastColumn="0"/>
            <w:tcW w:w="0" w:type="auto"/>
            <w:hideMark/>
          </w:tcPr>
          <w:p w14:paraId="66F9D94F" w14:textId="77777777" w:rsidR="00AA73D4" w:rsidRPr="00AA73D4" w:rsidRDefault="00AA73D4" w:rsidP="009154BA">
            <w:pPr>
              <w:spacing w:after="200" w:line="276" w:lineRule="auto"/>
              <w:jc w:val="both"/>
              <w:rPr>
                <w:rFonts w:ascii="Times New Roman" w:hAnsi="Times New Roman" w:cs="Times New Roman"/>
                <w:b/>
                <w:bCs/>
                <w:sz w:val="24"/>
                <w:szCs w:val="24"/>
              </w:rPr>
            </w:pPr>
            <w:r w:rsidRPr="00AA73D4">
              <w:rPr>
                <w:rFonts w:ascii="Times New Roman" w:hAnsi="Times New Roman" w:cs="Times New Roman"/>
                <w:b/>
                <w:bCs/>
                <w:sz w:val="24"/>
                <w:szCs w:val="24"/>
              </w:rPr>
              <w:t>Year</w:t>
            </w:r>
          </w:p>
        </w:tc>
        <w:tc>
          <w:tcPr>
            <w:tcW w:w="0" w:type="auto"/>
            <w:hideMark/>
          </w:tcPr>
          <w:p w14:paraId="1A12A755" w14:textId="77777777" w:rsidR="00AA73D4" w:rsidRPr="00AA73D4" w:rsidRDefault="00AA73D4" w:rsidP="009154BA">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AA73D4">
              <w:rPr>
                <w:rFonts w:ascii="Times New Roman" w:hAnsi="Times New Roman" w:cs="Times New Roman"/>
                <w:b/>
                <w:bCs/>
                <w:sz w:val="24"/>
                <w:szCs w:val="24"/>
              </w:rPr>
              <w:t>Z-Score</w:t>
            </w:r>
          </w:p>
        </w:tc>
        <w:tc>
          <w:tcPr>
            <w:tcW w:w="0" w:type="auto"/>
            <w:hideMark/>
          </w:tcPr>
          <w:p w14:paraId="58AA367A" w14:textId="77777777" w:rsidR="00AA73D4" w:rsidRPr="00AA73D4" w:rsidRDefault="00AA73D4" w:rsidP="009154BA">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AA73D4">
              <w:rPr>
                <w:rFonts w:ascii="Times New Roman" w:hAnsi="Times New Roman" w:cs="Times New Roman"/>
                <w:b/>
                <w:bCs/>
                <w:sz w:val="24"/>
                <w:szCs w:val="24"/>
              </w:rPr>
              <w:t>Interpretation</w:t>
            </w:r>
          </w:p>
        </w:tc>
      </w:tr>
      <w:tr w:rsidR="00AA73D4" w:rsidRPr="00AA73D4" w14:paraId="7262B874" w14:textId="77777777" w:rsidTr="009154BA">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290CF2BF"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2020</w:t>
            </w:r>
          </w:p>
        </w:tc>
        <w:tc>
          <w:tcPr>
            <w:tcW w:w="0" w:type="auto"/>
            <w:hideMark/>
          </w:tcPr>
          <w:p w14:paraId="70C945C7"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3.10</w:t>
            </w:r>
          </w:p>
        </w:tc>
        <w:tc>
          <w:tcPr>
            <w:tcW w:w="0" w:type="auto"/>
            <w:hideMark/>
          </w:tcPr>
          <w:p w14:paraId="7486CC90"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Safe Zone – Low risk</w:t>
            </w:r>
          </w:p>
        </w:tc>
      </w:tr>
      <w:tr w:rsidR="00AA73D4" w:rsidRPr="00AA73D4" w14:paraId="1A976DAC" w14:textId="77777777" w:rsidTr="009154BA">
        <w:trPr>
          <w:trHeight w:val="553"/>
        </w:trPr>
        <w:tc>
          <w:tcPr>
            <w:cnfStyle w:val="001000000000" w:firstRow="0" w:lastRow="0" w:firstColumn="1" w:lastColumn="0" w:oddVBand="0" w:evenVBand="0" w:oddHBand="0" w:evenHBand="0" w:firstRowFirstColumn="0" w:firstRowLastColumn="0" w:lastRowFirstColumn="0" w:lastRowLastColumn="0"/>
            <w:tcW w:w="0" w:type="auto"/>
            <w:hideMark/>
          </w:tcPr>
          <w:p w14:paraId="504B3BFE"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2021</w:t>
            </w:r>
          </w:p>
        </w:tc>
        <w:tc>
          <w:tcPr>
            <w:tcW w:w="0" w:type="auto"/>
            <w:hideMark/>
          </w:tcPr>
          <w:p w14:paraId="714950DE" w14:textId="77777777"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2.75</w:t>
            </w:r>
          </w:p>
        </w:tc>
        <w:tc>
          <w:tcPr>
            <w:tcW w:w="0" w:type="auto"/>
            <w:hideMark/>
          </w:tcPr>
          <w:p w14:paraId="24B04D6F" w14:textId="77777777"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Grey Zone – Moderate caution</w:t>
            </w:r>
          </w:p>
        </w:tc>
      </w:tr>
      <w:tr w:rsidR="00AA73D4" w:rsidRPr="00AA73D4" w14:paraId="598ABB16" w14:textId="77777777" w:rsidTr="009154BA">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3E572ADD"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2022</w:t>
            </w:r>
          </w:p>
        </w:tc>
        <w:tc>
          <w:tcPr>
            <w:tcW w:w="0" w:type="auto"/>
            <w:hideMark/>
          </w:tcPr>
          <w:p w14:paraId="31142FC9"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2.40</w:t>
            </w:r>
          </w:p>
        </w:tc>
        <w:tc>
          <w:tcPr>
            <w:tcW w:w="0" w:type="auto"/>
            <w:hideMark/>
          </w:tcPr>
          <w:p w14:paraId="6E7A0124"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Grey Zone – Warning signs</w:t>
            </w:r>
          </w:p>
        </w:tc>
      </w:tr>
      <w:tr w:rsidR="00AA73D4" w:rsidRPr="00AA73D4" w14:paraId="42C37042" w14:textId="77777777" w:rsidTr="009154BA">
        <w:trPr>
          <w:trHeight w:val="553"/>
        </w:trPr>
        <w:tc>
          <w:tcPr>
            <w:cnfStyle w:val="001000000000" w:firstRow="0" w:lastRow="0" w:firstColumn="1" w:lastColumn="0" w:oddVBand="0" w:evenVBand="0" w:oddHBand="0" w:evenHBand="0" w:firstRowFirstColumn="0" w:firstRowLastColumn="0" w:lastRowFirstColumn="0" w:lastRowLastColumn="0"/>
            <w:tcW w:w="0" w:type="auto"/>
            <w:hideMark/>
          </w:tcPr>
          <w:p w14:paraId="3A382252"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2023</w:t>
            </w:r>
          </w:p>
        </w:tc>
        <w:tc>
          <w:tcPr>
            <w:tcW w:w="0" w:type="auto"/>
            <w:hideMark/>
          </w:tcPr>
          <w:p w14:paraId="168969C6" w14:textId="77777777"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1.95</w:t>
            </w:r>
          </w:p>
        </w:tc>
        <w:tc>
          <w:tcPr>
            <w:tcW w:w="0" w:type="auto"/>
            <w:hideMark/>
          </w:tcPr>
          <w:p w14:paraId="30AB9D6F" w14:textId="77777777"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Distress Zone – Elevated failure risk</w:t>
            </w:r>
          </w:p>
        </w:tc>
      </w:tr>
      <w:tr w:rsidR="00AA73D4" w:rsidRPr="00AA73D4" w14:paraId="3D7D340A" w14:textId="77777777" w:rsidTr="009154BA">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5EB67203"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2024</w:t>
            </w:r>
          </w:p>
        </w:tc>
        <w:tc>
          <w:tcPr>
            <w:tcW w:w="0" w:type="auto"/>
            <w:hideMark/>
          </w:tcPr>
          <w:p w14:paraId="1840B55C"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1.88</w:t>
            </w:r>
          </w:p>
        </w:tc>
        <w:tc>
          <w:tcPr>
            <w:tcW w:w="0" w:type="auto"/>
            <w:hideMark/>
          </w:tcPr>
          <w:p w14:paraId="057A3CDA"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Distress Zone – High risk</w:t>
            </w:r>
          </w:p>
        </w:tc>
      </w:tr>
    </w:tbl>
    <w:p w14:paraId="32291351" w14:textId="77777777" w:rsidR="00AA73D4" w:rsidRPr="009154BA" w:rsidRDefault="00AA73D4" w:rsidP="009154BA">
      <w:pPr>
        <w:jc w:val="both"/>
        <w:rPr>
          <w:rFonts w:ascii="Times New Roman" w:hAnsi="Times New Roman" w:cs="Times New Roman"/>
          <w:sz w:val="24"/>
          <w:szCs w:val="24"/>
        </w:rPr>
      </w:pPr>
    </w:p>
    <w:p w14:paraId="55068E93" w14:textId="77777777" w:rsidR="002F1AC7" w:rsidRPr="009154BA" w:rsidRDefault="002F1AC7" w:rsidP="00AB7390">
      <w:pPr>
        <w:pStyle w:val="Heading2"/>
      </w:pPr>
      <w:bookmarkStart w:id="7" w:name="_Toc214355506"/>
      <w:r w:rsidRPr="009154BA">
        <w:t>2.5 Investment and shareholder-return metrics</w:t>
      </w:r>
      <w:bookmarkEnd w:id="7"/>
    </w:p>
    <w:p w14:paraId="77987AFC" w14:textId="2DF8937D"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Earnings per share (EPS) fell sharply: basic EPS moved from £2.78 (2020) to £0.39 (2021), near zero in 2022, then large losses per share in 2023–2024 (diluted –£7.64 in 2023; –£1.85 in 2024). The EPS volatility and negative results will impair investor confidence and limit access to equity markets for recapitalisation (Chen, 20</w:t>
      </w:r>
      <w:r w:rsidR="00AD4539" w:rsidRPr="009154BA">
        <w:rPr>
          <w:rFonts w:ascii="Times New Roman" w:hAnsi="Times New Roman" w:cs="Times New Roman"/>
          <w:sz w:val="24"/>
          <w:szCs w:val="24"/>
        </w:rPr>
        <w:t>16</w:t>
      </w:r>
      <w:r w:rsidRPr="009154BA">
        <w:rPr>
          <w:rFonts w:ascii="Times New Roman" w:hAnsi="Times New Roman" w:cs="Times New Roman"/>
          <w:sz w:val="24"/>
          <w:szCs w:val="24"/>
        </w:rPr>
        <w:t xml:space="preserve">; </w:t>
      </w:r>
      <w:proofErr w:type="spellStart"/>
      <w:r w:rsidR="006E661F" w:rsidRPr="009154BA">
        <w:rPr>
          <w:rFonts w:ascii="Times New Roman" w:hAnsi="Times New Roman" w:cs="Times New Roman"/>
          <w:sz w:val="24"/>
          <w:szCs w:val="24"/>
        </w:rPr>
        <w:t>Gholampoor</w:t>
      </w:r>
      <w:proofErr w:type="spellEnd"/>
      <w:r w:rsidR="006E661F" w:rsidRPr="009154BA">
        <w:rPr>
          <w:rFonts w:ascii="Times New Roman" w:hAnsi="Times New Roman" w:cs="Times New Roman"/>
          <w:sz w:val="24"/>
          <w:szCs w:val="24"/>
        </w:rPr>
        <w:t xml:space="preserve"> and Asadi, 2024</w:t>
      </w:r>
      <w:r w:rsidRPr="009154BA">
        <w:rPr>
          <w:rFonts w:ascii="Times New Roman" w:hAnsi="Times New Roman" w:cs="Times New Roman"/>
          <w:sz w:val="24"/>
          <w:szCs w:val="24"/>
        </w:rPr>
        <w:t>).</w:t>
      </w:r>
    </w:p>
    <w:p w14:paraId="3A698493" w14:textId="77777777" w:rsidR="002F1AC7" w:rsidRPr="009154BA" w:rsidRDefault="002F1AC7" w:rsidP="00AB7390">
      <w:pPr>
        <w:pStyle w:val="Heading2"/>
      </w:pPr>
      <w:bookmarkStart w:id="8" w:name="_Toc214355507"/>
      <w:r w:rsidRPr="009154BA">
        <w:t>2.6 Cash-flow analysis</w:t>
      </w:r>
      <w:bookmarkEnd w:id="8"/>
    </w:p>
    <w:p w14:paraId="7D0FDD08" w14:textId="2A4F082A"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Operating cash flow demonstrates a pronounced fall: £73,392m (2020) → £40,283m (2021) → £10,926m (2022) → £25,190m (2023) → £14,822m (2024). While OCF stayed positive across the period, the drop from 2020 levels and the low OCF-to-net-income ratios in loss years (negative or volatile) show weakness in the quality of earnings and constrained internal cash generation. Investing cash flow remains negative (capex and intangible investment), and financing flows evidence heavy line-of-credit movements</w:t>
      </w:r>
      <w:r w:rsidR="009154BA" w:rsidRPr="009154BA">
        <w:rPr>
          <w:rFonts w:ascii="Times New Roman" w:hAnsi="Times New Roman" w:cs="Times New Roman"/>
          <w:sz w:val="24"/>
          <w:szCs w:val="24"/>
        </w:rPr>
        <w:t xml:space="preserve"> </w:t>
      </w:r>
      <w:r w:rsidRPr="009154BA">
        <w:rPr>
          <w:rFonts w:ascii="Times New Roman" w:hAnsi="Times New Roman" w:cs="Times New Roman"/>
          <w:sz w:val="24"/>
          <w:szCs w:val="24"/>
        </w:rPr>
        <w:t>signalling dependency on short-term borrowings to manage liquidity (Baafi, 2024; Anton, 2020).</w:t>
      </w:r>
    </w:p>
    <w:p w14:paraId="18B7FF9A" w14:textId="77777777" w:rsidR="002F1AC7" w:rsidRPr="009154BA" w:rsidRDefault="002F1AC7" w:rsidP="009154BA">
      <w:pPr>
        <w:jc w:val="both"/>
        <w:rPr>
          <w:rFonts w:ascii="Times New Roman" w:hAnsi="Times New Roman" w:cs="Times New Roman"/>
          <w:sz w:val="24"/>
          <w:szCs w:val="24"/>
        </w:rPr>
      </w:pPr>
    </w:p>
    <w:p w14:paraId="0174A290" w14:textId="27E4D48B" w:rsidR="002F1AC7" w:rsidRPr="009154BA" w:rsidRDefault="002F1AC7" w:rsidP="00AB7390">
      <w:pPr>
        <w:pStyle w:val="Heading2"/>
      </w:pPr>
      <w:bookmarkStart w:id="9" w:name="_Toc214355508"/>
      <w:r w:rsidRPr="009154BA">
        <w:lastRenderedPageBreak/>
        <w:t xml:space="preserve">2.7 Corporate failure prediction </w:t>
      </w:r>
      <w:r w:rsidR="00AB7390">
        <w:t xml:space="preserve">- </w:t>
      </w:r>
      <w:r w:rsidRPr="009154BA">
        <w:t>Altman Z'' (private-firm variant)</w:t>
      </w:r>
      <w:bookmarkEnd w:id="9"/>
    </w:p>
    <w:p w14:paraId="728D24C8" w14:textId="20F7C3E1"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Using the Altman Z″ (Z-prime) formulation suitable when market value is not available (Altman, 2018; </w:t>
      </w:r>
      <w:proofErr w:type="spellStart"/>
      <w:r w:rsidR="00297A56" w:rsidRPr="009154BA">
        <w:rPr>
          <w:rFonts w:ascii="Times New Roman" w:hAnsi="Times New Roman" w:cs="Times New Roman"/>
          <w:sz w:val="24"/>
          <w:szCs w:val="24"/>
        </w:rPr>
        <w:t>Toudas</w:t>
      </w:r>
      <w:proofErr w:type="spellEnd"/>
      <w:r w:rsidR="00297A56" w:rsidRPr="009154BA">
        <w:rPr>
          <w:rFonts w:ascii="Times New Roman" w:hAnsi="Times New Roman" w:cs="Times New Roman"/>
          <w:sz w:val="24"/>
          <w:szCs w:val="24"/>
        </w:rPr>
        <w:t xml:space="preserve">, </w:t>
      </w:r>
      <w:proofErr w:type="spellStart"/>
      <w:r w:rsidR="00297A56" w:rsidRPr="009154BA">
        <w:rPr>
          <w:rFonts w:ascii="Times New Roman" w:hAnsi="Times New Roman" w:cs="Times New Roman"/>
          <w:sz w:val="24"/>
          <w:szCs w:val="24"/>
        </w:rPr>
        <w:t>Archontakis</w:t>
      </w:r>
      <w:proofErr w:type="spellEnd"/>
      <w:r w:rsidR="00297A56" w:rsidRPr="009154BA">
        <w:rPr>
          <w:rFonts w:ascii="Times New Roman" w:hAnsi="Times New Roman" w:cs="Times New Roman"/>
          <w:sz w:val="24"/>
          <w:szCs w:val="24"/>
        </w:rPr>
        <w:t xml:space="preserve"> and Boufounou, 2024</w:t>
      </w:r>
      <w:r w:rsidRPr="009154BA">
        <w:rPr>
          <w:rFonts w:ascii="Times New Roman" w:hAnsi="Times New Roman" w:cs="Times New Roman"/>
          <w:sz w:val="24"/>
          <w:szCs w:val="24"/>
        </w:rPr>
        <w:t>), the computed Z″ scores are approximately:</w:t>
      </w:r>
    </w:p>
    <w:p w14:paraId="2BC90EE2" w14:textId="77777777" w:rsidR="002F1AC7" w:rsidRPr="009154BA" w:rsidRDefault="002F1AC7" w:rsidP="009154BA">
      <w:pPr>
        <w:numPr>
          <w:ilvl w:val="0"/>
          <w:numId w:val="1"/>
        </w:numPr>
        <w:jc w:val="both"/>
        <w:rPr>
          <w:rFonts w:ascii="Times New Roman" w:hAnsi="Times New Roman" w:cs="Times New Roman"/>
          <w:sz w:val="24"/>
          <w:szCs w:val="24"/>
        </w:rPr>
      </w:pPr>
      <w:r w:rsidRPr="009154BA">
        <w:rPr>
          <w:rFonts w:ascii="Times New Roman" w:hAnsi="Times New Roman" w:cs="Times New Roman"/>
          <w:sz w:val="24"/>
          <w:szCs w:val="24"/>
        </w:rPr>
        <w:t xml:space="preserve">2020: </w:t>
      </w:r>
      <w:r w:rsidRPr="009154BA">
        <w:rPr>
          <w:rFonts w:ascii="Times New Roman" w:hAnsi="Times New Roman" w:cs="Times New Roman"/>
          <w:b/>
          <w:bCs/>
          <w:sz w:val="24"/>
          <w:szCs w:val="24"/>
        </w:rPr>
        <w:t>≈5.72</w:t>
      </w:r>
    </w:p>
    <w:p w14:paraId="5B4CCDA4" w14:textId="77777777" w:rsidR="002F1AC7" w:rsidRPr="009154BA" w:rsidRDefault="002F1AC7" w:rsidP="009154BA">
      <w:pPr>
        <w:numPr>
          <w:ilvl w:val="0"/>
          <w:numId w:val="1"/>
        </w:numPr>
        <w:jc w:val="both"/>
        <w:rPr>
          <w:rFonts w:ascii="Times New Roman" w:hAnsi="Times New Roman" w:cs="Times New Roman"/>
          <w:sz w:val="24"/>
          <w:szCs w:val="24"/>
        </w:rPr>
      </w:pPr>
      <w:r w:rsidRPr="009154BA">
        <w:rPr>
          <w:rFonts w:ascii="Times New Roman" w:hAnsi="Times New Roman" w:cs="Times New Roman"/>
          <w:sz w:val="24"/>
          <w:szCs w:val="24"/>
        </w:rPr>
        <w:t xml:space="preserve">2021: </w:t>
      </w:r>
      <w:r w:rsidRPr="009154BA">
        <w:rPr>
          <w:rFonts w:ascii="Times New Roman" w:hAnsi="Times New Roman" w:cs="Times New Roman"/>
          <w:b/>
          <w:bCs/>
          <w:sz w:val="24"/>
          <w:szCs w:val="24"/>
        </w:rPr>
        <w:t>≈5.20</w:t>
      </w:r>
    </w:p>
    <w:p w14:paraId="2C79E8BE" w14:textId="77777777" w:rsidR="002F1AC7" w:rsidRPr="009154BA" w:rsidRDefault="002F1AC7" w:rsidP="009154BA">
      <w:pPr>
        <w:numPr>
          <w:ilvl w:val="0"/>
          <w:numId w:val="1"/>
        </w:numPr>
        <w:jc w:val="both"/>
        <w:rPr>
          <w:rFonts w:ascii="Times New Roman" w:hAnsi="Times New Roman" w:cs="Times New Roman"/>
          <w:sz w:val="24"/>
          <w:szCs w:val="24"/>
        </w:rPr>
      </w:pPr>
      <w:r w:rsidRPr="009154BA">
        <w:rPr>
          <w:rFonts w:ascii="Times New Roman" w:hAnsi="Times New Roman" w:cs="Times New Roman"/>
          <w:sz w:val="24"/>
          <w:szCs w:val="24"/>
        </w:rPr>
        <w:t xml:space="preserve">2022: </w:t>
      </w:r>
      <w:r w:rsidRPr="009154BA">
        <w:rPr>
          <w:rFonts w:ascii="Times New Roman" w:hAnsi="Times New Roman" w:cs="Times New Roman"/>
          <w:b/>
          <w:bCs/>
          <w:sz w:val="24"/>
          <w:szCs w:val="24"/>
        </w:rPr>
        <w:t>≈5.04</w:t>
      </w:r>
    </w:p>
    <w:p w14:paraId="5BE28488" w14:textId="77777777" w:rsidR="002F1AC7" w:rsidRPr="009154BA" w:rsidRDefault="002F1AC7" w:rsidP="009154BA">
      <w:pPr>
        <w:numPr>
          <w:ilvl w:val="0"/>
          <w:numId w:val="1"/>
        </w:numPr>
        <w:jc w:val="both"/>
        <w:rPr>
          <w:rFonts w:ascii="Times New Roman" w:hAnsi="Times New Roman" w:cs="Times New Roman"/>
          <w:sz w:val="24"/>
          <w:szCs w:val="24"/>
        </w:rPr>
      </w:pPr>
      <w:r w:rsidRPr="009154BA">
        <w:rPr>
          <w:rFonts w:ascii="Times New Roman" w:hAnsi="Times New Roman" w:cs="Times New Roman"/>
          <w:sz w:val="24"/>
          <w:szCs w:val="24"/>
        </w:rPr>
        <w:t xml:space="preserve">2023: </w:t>
      </w:r>
      <w:r w:rsidRPr="009154BA">
        <w:rPr>
          <w:rFonts w:ascii="Times New Roman" w:hAnsi="Times New Roman" w:cs="Times New Roman"/>
          <w:b/>
          <w:bCs/>
          <w:sz w:val="24"/>
          <w:szCs w:val="24"/>
        </w:rPr>
        <w:t>≈3.56</w:t>
      </w:r>
    </w:p>
    <w:p w14:paraId="1C034880" w14:textId="77777777" w:rsidR="002F1AC7" w:rsidRPr="009154BA" w:rsidRDefault="002F1AC7" w:rsidP="009154BA">
      <w:pPr>
        <w:numPr>
          <w:ilvl w:val="0"/>
          <w:numId w:val="1"/>
        </w:numPr>
        <w:jc w:val="both"/>
        <w:rPr>
          <w:rFonts w:ascii="Times New Roman" w:hAnsi="Times New Roman" w:cs="Times New Roman"/>
          <w:sz w:val="24"/>
          <w:szCs w:val="24"/>
        </w:rPr>
      </w:pPr>
      <w:r w:rsidRPr="009154BA">
        <w:rPr>
          <w:rFonts w:ascii="Times New Roman" w:hAnsi="Times New Roman" w:cs="Times New Roman"/>
          <w:sz w:val="24"/>
          <w:szCs w:val="24"/>
        </w:rPr>
        <w:t xml:space="preserve">2024: </w:t>
      </w:r>
      <w:r w:rsidRPr="009154BA">
        <w:rPr>
          <w:rFonts w:ascii="Times New Roman" w:hAnsi="Times New Roman" w:cs="Times New Roman"/>
          <w:b/>
          <w:bCs/>
          <w:sz w:val="24"/>
          <w:szCs w:val="24"/>
        </w:rPr>
        <w:t>≈4.78</w:t>
      </w:r>
    </w:p>
    <w:p w14:paraId="450109FA" w14:textId="6D643C8F"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Interpretation: Z″ values above ~2.6 are typically considered in the “safe” zone; 1.1–2.6 is the grey zone and below 1.1 the distress zone. Although the firm’s Z″ remains above the distress threshold throughout, the fall to ≈3.56 in 2023 reflects a marked deterioration in the balance of working capital, retained earnings and operating profitability during the worst year. The 2024 rebound to ~4.78 is driven by relatively </w:t>
      </w:r>
      <w:r w:rsidR="009154BA" w:rsidRPr="009154BA">
        <w:rPr>
          <w:rFonts w:ascii="Times New Roman" w:hAnsi="Times New Roman" w:cs="Times New Roman"/>
          <w:sz w:val="24"/>
          <w:szCs w:val="24"/>
        </w:rPr>
        <w:t>large, retained</w:t>
      </w:r>
      <w:r w:rsidRPr="009154BA">
        <w:rPr>
          <w:rFonts w:ascii="Times New Roman" w:hAnsi="Times New Roman" w:cs="Times New Roman"/>
          <w:sz w:val="24"/>
          <w:szCs w:val="24"/>
        </w:rPr>
        <w:t xml:space="preserve"> earnings and working capital recovery, but this should not be interpreted as full recovery given continuing operating losses and cash-flow fragility. Corporate failure models are useful early-warning tools but should be combined with cash-flow and qualitative analysis (Altman, 2018; </w:t>
      </w:r>
      <w:proofErr w:type="spellStart"/>
      <w:r w:rsidR="006E661F" w:rsidRPr="009154BA">
        <w:rPr>
          <w:rFonts w:ascii="Times New Roman" w:hAnsi="Times New Roman" w:cs="Times New Roman"/>
          <w:sz w:val="24"/>
          <w:szCs w:val="24"/>
        </w:rPr>
        <w:t>Mancisidor</w:t>
      </w:r>
      <w:proofErr w:type="spellEnd"/>
      <w:r w:rsidR="006E661F" w:rsidRPr="009154BA">
        <w:rPr>
          <w:rFonts w:ascii="Times New Roman" w:hAnsi="Times New Roman" w:cs="Times New Roman"/>
          <w:sz w:val="24"/>
          <w:szCs w:val="24"/>
        </w:rPr>
        <w:t>, 2022</w:t>
      </w:r>
      <w:r w:rsidRPr="009154BA">
        <w:rPr>
          <w:rFonts w:ascii="Times New Roman" w:hAnsi="Times New Roman" w:cs="Times New Roman"/>
          <w:sz w:val="24"/>
          <w:szCs w:val="24"/>
        </w:rPr>
        <w:t>).</w:t>
      </w:r>
    </w:p>
    <w:p w14:paraId="120F2FB0" w14:textId="77777777" w:rsidR="002F1AC7" w:rsidRPr="009154BA" w:rsidRDefault="002F1AC7" w:rsidP="00AB7390">
      <w:pPr>
        <w:pStyle w:val="Heading2"/>
      </w:pPr>
      <w:bookmarkStart w:id="10" w:name="_Toc214355509"/>
      <w:r w:rsidRPr="009154BA">
        <w:t>2.8 Summary: trends, strengths and threats</w:t>
      </w:r>
      <w:bookmarkEnd w:id="10"/>
    </w:p>
    <w:p w14:paraId="6BA530E7" w14:textId="77777777"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b/>
          <w:bCs/>
          <w:sz w:val="24"/>
          <w:szCs w:val="24"/>
        </w:rPr>
        <w:t>Trends:</w:t>
      </w:r>
      <w:r w:rsidRPr="009154BA">
        <w:rPr>
          <w:rFonts w:ascii="Times New Roman" w:hAnsi="Times New Roman" w:cs="Times New Roman"/>
          <w:sz w:val="24"/>
          <w:szCs w:val="24"/>
        </w:rPr>
        <w:t xml:space="preserve"> Over 2020–2024, General Electronics shows (a) stable but volatile gross margins, (b) collapsing operating and net margins in 2023 with partial recovery in 2024, (c) weakening liquidity (lower cash balances, current ratio decline) and (d) prolonged working-capital inefficiency (high CCC). Leverage increased and interest coverage turned negative in the loss years.</w:t>
      </w:r>
    </w:p>
    <w:p w14:paraId="3B51F013" w14:textId="3F2F655E" w:rsidR="002F1AC7"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b/>
          <w:bCs/>
          <w:sz w:val="24"/>
          <w:szCs w:val="24"/>
        </w:rPr>
        <w:t>Strengths:</w:t>
      </w:r>
      <w:r w:rsidRPr="009154BA">
        <w:rPr>
          <w:rFonts w:ascii="Times New Roman" w:hAnsi="Times New Roman" w:cs="Times New Roman"/>
          <w:sz w:val="24"/>
          <w:szCs w:val="24"/>
        </w:rPr>
        <w:t xml:space="preserve"> </w:t>
      </w:r>
      <w:r w:rsidR="00CB47C4" w:rsidRPr="00CB47C4">
        <w:rPr>
          <w:rFonts w:ascii="Times New Roman" w:hAnsi="Times New Roman" w:cs="Times New Roman"/>
          <w:sz w:val="24"/>
          <w:szCs w:val="24"/>
        </w:rPr>
        <w:t xml:space="preserve">The company has sizeable revenues and assets with a record of strong gross margins which can be used to recover in case cost and working-capital problems are addressed. The retained earnings and intangible assets are substantial in the balance sheet and can be used to restructure (Chen, 2016; Basu and Guariglia, 2002). </w:t>
      </w:r>
    </w:p>
    <w:p w14:paraId="0BD5F7BA" w14:textId="6C8F32B9" w:rsidR="003A08EE" w:rsidRPr="009154BA" w:rsidRDefault="002F1AC7" w:rsidP="009154BA">
      <w:pPr>
        <w:jc w:val="both"/>
        <w:rPr>
          <w:rFonts w:ascii="Times New Roman" w:hAnsi="Times New Roman" w:cs="Times New Roman"/>
          <w:sz w:val="24"/>
          <w:szCs w:val="24"/>
        </w:rPr>
      </w:pPr>
      <w:r w:rsidRPr="009154BA">
        <w:rPr>
          <w:rFonts w:ascii="Times New Roman" w:hAnsi="Times New Roman" w:cs="Times New Roman"/>
          <w:b/>
          <w:bCs/>
          <w:sz w:val="24"/>
          <w:szCs w:val="24"/>
        </w:rPr>
        <w:t>Threats:</w:t>
      </w:r>
      <w:r w:rsidRPr="009154BA">
        <w:rPr>
          <w:rFonts w:ascii="Times New Roman" w:hAnsi="Times New Roman" w:cs="Times New Roman"/>
          <w:sz w:val="24"/>
          <w:szCs w:val="24"/>
        </w:rPr>
        <w:t xml:space="preserve"> </w:t>
      </w:r>
      <w:r w:rsidR="00CB47C4" w:rsidRPr="00CB47C4">
        <w:rPr>
          <w:rFonts w:ascii="Times New Roman" w:hAnsi="Times New Roman" w:cs="Times New Roman"/>
          <w:sz w:val="24"/>
          <w:szCs w:val="24"/>
        </w:rPr>
        <w:t>The major threats are (</w:t>
      </w:r>
      <w:proofErr w:type="spellStart"/>
      <w:r w:rsidR="00CB47C4" w:rsidRPr="00CB47C4">
        <w:rPr>
          <w:rFonts w:ascii="Times New Roman" w:hAnsi="Times New Roman" w:cs="Times New Roman"/>
          <w:sz w:val="24"/>
          <w:szCs w:val="24"/>
        </w:rPr>
        <w:t>i</w:t>
      </w:r>
      <w:proofErr w:type="spellEnd"/>
      <w:r w:rsidR="00CB47C4" w:rsidRPr="00CB47C4">
        <w:rPr>
          <w:rFonts w:ascii="Times New Roman" w:hAnsi="Times New Roman" w:cs="Times New Roman"/>
          <w:sz w:val="24"/>
          <w:szCs w:val="24"/>
        </w:rPr>
        <w:t>) operating losses worsen equity, (ii) depending upon short term credit lines that may be withdrawn, (iii) increase in supplier/customer credit risk due to change in the dynamics between receivables and payables, and (iv) loss of investor confidence, as demonstrated by fluctuating EPS. The inability to turn operating losses into profits and enhance cash conversion will have a significant impact on the default risk even when Altman is non-stressed (</w:t>
      </w:r>
      <w:proofErr w:type="spellStart"/>
      <w:r w:rsidR="00CB47C4" w:rsidRPr="00CB47C4">
        <w:rPr>
          <w:rFonts w:ascii="Times New Roman" w:hAnsi="Times New Roman" w:cs="Times New Roman"/>
          <w:sz w:val="24"/>
          <w:szCs w:val="24"/>
        </w:rPr>
        <w:t>Dasilas</w:t>
      </w:r>
      <w:proofErr w:type="spellEnd"/>
      <w:r w:rsidR="00CB47C4" w:rsidRPr="00CB47C4">
        <w:rPr>
          <w:rFonts w:ascii="Times New Roman" w:hAnsi="Times New Roman" w:cs="Times New Roman"/>
          <w:sz w:val="24"/>
          <w:szCs w:val="24"/>
        </w:rPr>
        <w:t xml:space="preserve"> and </w:t>
      </w:r>
      <w:proofErr w:type="spellStart"/>
      <w:r w:rsidR="00CB47C4" w:rsidRPr="00CB47C4">
        <w:rPr>
          <w:rFonts w:ascii="Times New Roman" w:hAnsi="Times New Roman" w:cs="Times New Roman"/>
          <w:sz w:val="24"/>
          <w:szCs w:val="24"/>
        </w:rPr>
        <w:t>Rigani</w:t>
      </w:r>
      <w:proofErr w:type="spellEnd"/>
      <w:r w:rsidR="00CB47C4" w:rsidRPr="00CB47C4">
        <w:rPr>
          <w:rFonts w:ascii="Times New Roman" w:hAnsi="Times New Roman" w:cs="Times New Roman"/>
          <w:sz w:val="24"/>
          <w:szCs w:val="24"/>
        </w:rPr>
        <w:t>, 2024).</w:t>
      </w:r>
    </w:p>
    <w:p w14:paraId="084E872D" w14:textId="5A67FBDB" w:rsidR="003A08EE" w:rsidRPr="009154BA" w:rsidRDefault="003A08EE" w:rsidP="009154BA">
      <w:pPr>
        <w:pStyle w:val="Heading1"/>
      </w:pPr>
      <w:bookmarkStart w:id="11" w:name="_Toc214355510"/>
      <w:r w:rsidRPr="009154BA">
        <w:lastRenderedPageBreak/>
        <w:t>3. Working Capital Management Analysis</w:t>
      </w:r>
      <w:bookmarkEnd w:id="11"/>
    </w:p>
    <w:p w14:paraId="7AC97C38" w14:textId="3BFECFF6" w:rsidR="003A08EE" w:rsidRPr="009154BA" w:rsidRDefault="00CB47C4" w:rsidP="009154BA">
      <w:pPr>
        <w:jc w:val="both"/>
        <w:rPr>
          <w:rFonts w:ascii="Times New Roman" w:hAnsi="Times New Roman" w:cs="Times New Roman"/>
          <w:sz w:val="24"/>
          <w:szCs w:val="24"/>
        </w:rPr>
      </w:pPr>
      <w:r w:rsidRPr="00CB47C4">
        <w:rPr>
          <w:rFonts w:ascii="Times New Roman" w:hAnsi="Times New Roman" w:cs="Times New Roman"/>
          <w:sz w:val="24"/>
          <w:szCs w:val="24"/>
        </w:rPr>
        <w:t>The ability to effectively manage working capital is imperative in terms of ensuring the continuity of operations and ensuring that the business is not over-dependent on a single source of financing. In the case of General Electronics, the last five years indicate the presence of inefficient inventory management, receivables and payables management that lead to increased cash operating cycle and liquidity pressure. In this section, the cash conversion performance has been assessed, and the operational drivers of its working-capital deterioration are identified reporting the strategies of improving liquidity, by implementing specific reforms. It even comparatively examines long-term and short-term funding that can be used to fund the turnaround of the firm</w:t>
      </w:r>
      <w:r w:rsidR="003A08EE" w:rsidRPr="009154BA">
        <w:rPr>
          <w:rFonts w:ascii="Times New Roman" w:hAnsi="Times New Roman" w:cs="Times New Roman"/>
          <w:sz w:val="24"/>
          <w:szCs w:val="24"/>
        </w:rPr>
        <w:t>.</w:t>
      </w:r>
    </w:p>
    <w:p w14:paraId="5FAD3FD8" w14:textId="1E0E7606" w:rsidR="003A08EE" w:rsidRPr="009154BA" w:rsidRDefault="003A08EE" w:rsidP="00AB7390">
      <w:pPr>
        <w:pStyle w:val="Heading2"/>
      </w:pPr>
      <w:bookmarkStart w:id="12" w:name="_Toc214355511"/>
      <w:r w:rsidRPr="009154BA">
        <w:t>3.1 Cash Operating Cycle Assessment</w:t>
      </w:r>
      <w:bookmarkEnd w:id="12"/>
    </w:p>
    <w:p w14:paraId="147719D0" w14:textId="4534F97F"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The cash operating cycle (CCC)</w:t>
      </w:r>
      <w:r w:rsidR="009154BA">
        <w:rPr>
          <w:rFonts w:ascii="Times New Roman" w:hAnsi="Times New Roman" w:cs="Times New Roman"/>
          <w:sz w:val="24"/>
          <w:szCs w:val="24"/>
        </w:rPr>
        <w:t xml:space="preserve"> </w:t>
      </w:r>
      <w:r w:rsidRPr="009154BA">
        <w:rPr>
          <w:rFonts w:ascii="Times New Roman" w:hAnsi="Times New Roman" w:cs="Times New Roman"/>
          <w:sz w:val="24"/>
          <w:szCs w:val="24"/>
        </w:rPr>
        <w:t>measured as inventory days plus receivables days minus payables days</w:t>
      </w:r>
      <w:r w:rsidR="009154BA">
        <w:rPr>
          <w:rFonts w:ascii="Times New Roman" w:hAnsi="Times New Roman" w:cs="Times New Roman"/>
          <w:sz w:val="24"/>
          <w:szCs w:val="24"/>
        </w:rPr>
        <w:t xml:space="preserve"> </w:t>
      </w:r>
      <w:r w:rsidRPr="009154BA">
        <w:rPr>
          <w:rFonts w:ascii="Times New Roman" w:hAnsi="Times New Roman" w:cs="Times New Roman"/>
          <w:sz w:val="24"/>
          <w:szCs w:val="24"/>
        </w:rPr>
        <w:t xml:space="preserve">provides a comprehensive indicator of how quickly operating cash is converted back into liquidity. </w:t>
      </w:r>
      <w:r w:rsidR="00E813D2" w:rsidRPr="00E813D2">
        <w:rPr>
          <w:rFonts w:ascii="Times New Roman" w:hAnsi="Times New Roman" w:cs="Times New Roman"/>
          <w:sz w:val="24"/>
          <w:szCs w:val="24"/>
        </w:rPr>
        <w:t>The cash conversion cycle (CCC) of General Electronics stayed between 108 and 140 days during 2020-24, which is comparatively long in the case of one of the largest global manufacturers of electronics. The peak of the cycle about 140 days as seen in 2022 was way to high inventory levels and slower sales recuperation. Despite the fact that the CCC was slightly better in 2024, turning towards approximately 115 days, it is still one of the major liquidity limitations.</w:t>
      </w:r>
    </w:p>
    <w:p w14:paraId="3825F9F5" w14:textId="40BA07BD"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The long cash conversion cycle is a major contributor by inventory management. Inventory days exceeded the level of 100 days in four of the five years under the period of observation and went up to about 132 days in 2022. These lengthy inventory times suggest presence of sluggish inventory, possibility of obsolescence of a product and inefficiency in forecasting which is a frequent situation in the fast-changing electronics industry. High levels of inventory foster the unjustifiable locking up of capital and those of holding costs, thus limiting the free cash flow (Sanguino et al., 2024)</w:t>
      </w:r>
      <w:r w:rsidR="003A08EE" w:rsidRPr="009154BA">
        <w:rPr>
          <w:rFonts w:ascii="Times New Roman" w:hAnsi="Times New Roman" w:cs="Times New Roman"/>
          <w:sz w:val="24"/>
          <w:szCs w:val="24"/>
        </w:rPr>
        <w:t>.</w:t>
      </w:r>
    </w:p>
    <w:p w14:paraId="23F30B17" w14:textId="3F8228F9"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Days outstanding had a strong upward trend within the period between 2023 and 2024 with a range of approximately 76 days in 2022, 98 days in 2023 and 105 days in 2024. The trend implies a deterioration of credit control procedures, which may indicate the reduction of customer creditworthiness or the intentional increase of credit terms to maintain the level of sales</w:t>
      </w:r>
      <w:r w:rsidR="003A08EE" w:rsidRPr="009154BA">
        <w:rPr>
          <w:rFonts w:ascii="Times New Roman" w:hAnsi="Times New Roman" w:cs="Times New Roman"/>
          <w:sz w:val="24"/>
          <w:szCs w:val="24"/>
        </w:rPr>
        <w:t>. Slower cash collection further weakens liquidity by delaying inflows needed for operational and financing commitments.</w:t>
      </w:r>
    </w:p>
    <w:p w14:paraId="3DFD3817" w14:textId="7FF94F83" w:rsidR="003A08EE" w:rsidRPr="009154BA" w:rsidRDefault="00950BC5" w:rsidP="009154BA">
      <w:pPr>
        <w:jc w:val="both"/>
        <w:rPr>
          <w:rFonts w:ascii="Times New Roman" w:hAnsi="Times New Roman" w:cs="Times New Roman"/>
          <w:sz w:val="24"/>
          <w:szCs w:val="24"/>
        </w:rPr>
      </w:pPr>
      <w:r w:rsidRPr="00950BC5">
        <w:rPr>
          <w:rFonts w:ascii="Times New Roman" w:hAnsi="Times New Roman" w:cs="Times New Roman"/>
          <w:sz w:val="24"/>
          <w:szCs w:val="24"/>
        </w:rPr>
        <w:t xml:space="preserve">Payables days on the other hand increased significantly in 2024 to about 94 days compared to around 64 days in 2023. Although an extension of the time of payment may temporarily reduce the cash pressure, it might also indicate poor relations with suppliers, renegotiated credit terms or reliance on trade credit. A prolonged increase in payables days increases the possibility of disruption such as supply in cases where suppliers feel at risk (Anton and </w:t>
      </w:r>
      <w:proofErr w:type="spellStart"/>
      <w:r w:rsidRPr="00950BC5">
        <w:rPr>
          <w:rFonts w:ascii="Times New Roman" w:hAnsi="Times New Roman" w:cs="Times New Roman"/>
          <w:sz w:val="24"/>
          <w:szCs w:val="24"/>
        </w:rPr>
        <w:t>Nucu</w:t>
      </w:r>
      <w:proofErr w:type="spellEnd"/>
      <w:r w:rsidRPr="00950BC5">
        <w:rPr>
          <w:rFonts w:ascii="Times New Roman" w:hAnsi="Times New Roman" w:cs="Times New Roman"/>
          <w:sz w:val="24"/>
          <w:szCs w:val="24"/>
        </w:rPr>
        <w:t xml:space="preserve">, 2020). </w:t>
      </w:r>
    </w:p>
    <w:p w14:paraId="5250AA64" w14:textId="30B397EA" w:rsidR="00D97283" w:rsidRPr="009154BA" w:rsidRDefault="00950BC5" w:rsidP="009154BA">
      <w:pPr>
        <w:jc w:val="both"/>
        <w:rPr>
          <w:rFonts w:ascii="Times New Roman" w:hAnsi="Times New Roman" w:cs="Times New Roman"/>
          <w:sz w:val="24"/>
          <w:szCs w:val="24"/>
        </w:rPr>
      </w:pPr>
      <w:r w:rsidRPr="00950BC5">
        <w:rPr>
          <w:rFonts w:ascii="Times New Roman" w:hAnsi="Times New Roman" w:cs="Times New Roman"/>
          <w:sz w:val="24"/>
          <w:szCs w:val="24"/>
        </w:rPr>
        <w:lastRenderedPageBreak/>
        <w:t xml:space="preserve">In general, the CCC analysis indicates that the working capital cycle is too long, unstable, and affected by inefficient receivables and inventory management. This has a direct effect of causing liquidity stress and dependence on short-term borrowing which have been cited to be a primary trigger of financial distress </w:t>
      </w:r>
      <w:r w:rsidR="003A08EE" w:rsidRPr="009154BA">
        <w:rPr>
          <w:rFonts w:ascii="Times New Roman" w:hAnsi="Times New Roman" w:cs="Times New Roman"/>
          <w:sz w:val="24"/>
          <w:szCs w:val="24"/>
        </w:rPr>
        <w:t>(</w:t>
      </w:r>
      <w:r w:rsidR="00E472C6" w:rsidRPr="009154BA">
        <w:rPr>
          <w:rFonts w:ascii="Times New Roman" w:hAnsi="Times New Roman" w:cs="Times New Roman"/>
          <w:sz w:val="24"/>
          <w:szCs w:val="24"/>
        </w:rPr>
        <w:t>Basu and Guariglia, 2002</w:t>
      </w:r>
      <w:r w:rsidR="003A08EE" w:rsidRPr="009154BA">
        <w:rPr>
          <w:rFonts w:ascii="Times New Roman" w:hAnsi="Times New Roman" w:cs="Times New Roman"/>
          <w:sz w:val="24"/>
          <w:szCs w:val="24"/>
        </w:rPr>
        <w:t>).</w:t>
      </w:r>
    </w:p>
    <w:p w14:paraId="11FC9C8E" w14:textId="77777777" w:rsidR="003A08EE" w:rsidRPr="009154BA" w:rsidRDefault="003A08EE" w:rsidP="00704659">
      <w:pPr>
        <w:pStyle w:val="Heading2"/>
      </w:pPr>
      <w:bookmarkStart w:id="13" w:name="_Toc214355512"/>
      <w:r w:rsidRPr="009154BA">
        <w:t>3.2 Liquidity Improvement Through Working Capital Reforms</w:t>
      </w:r>
      <w:bookmarkEnd w:id="13"/>
    </w:p>
    <w:p w14:paraId="230EC08A"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To strengthen liquidity, General Electronics must implement a coordinated set of working-capital reforms targeting inventory policy, receivables management and payables optimisation.</w:t>
      </w:r>
    </w:p>
    <w:p w14:paraId="31E4FBF0" w14:textId="77777777"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Inventory Reforms:</w:t>
      </w:r>
    </w:p>
    <w:p w14:paraId="07FD3684" w14:textId="38A1F1F1"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Introducing more sophisticated demand-forecasting models, reducing SKU complexity and applying just-in-time (JIT) principles where feasible can reduce inventory days and prevent excess stock accumulation. Additionally, adopting vendor-managed inventory (VMI) agreements with key suppliers may improve turnover and lower safety-stock requirements. Regular product lifecycle reviews are essential in the electronics sector, where obsolescence risk is high.</w:t>
      </w:r>
    </w:p>
    <w:p w14:paraId="138EF9EE" w14:textId="77777777"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Receivables Reforms:</w:t>
      </w:r>
    </w:p>
    <w:p w14:paraId="18212B44" w14:textId="7C4EEECA"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Increasing the effectiveness of credit screening procedures, influence advance payments, and resolving credit terms with clients are viable options of reducing the receivables days. The use of automated monitoring systems of receivables and the use of digital invoicing could make the collection process faster. In its international or high-risk customers, the company may selectively use factoring or credit insurance to obtain cash flows. Literature is consistent in revealing the usefulness of proper receivables management as a key stimulator of liquidity and profit enhancement (Baafi, 2024).</w:t>
      </w:r>
    </w:p>
    <w:p w14:paraId="6403FD26" w14:textId="77777777"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Payables Reforms:</w:t>
      </w:r>
    </w:p>
    <w:p w14:paraId="4B8583DA" w14:textId="7F395E46"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Payable extension can temporarily boost working capital but too much scaling can destroy supplier relations. The optimal approach is to have a mixed approach: bargain in respect to price concessions on a volume-based basis, buy in advance, purchase volume-based payment rebates when economically viable, and introduce the concept of multi-level payments. At the same time, the risk of concentrated dependency in the suppliers might be alleviated with the help of supplier diversification</w:t>
      </w:r>
      <w:r w:rsidR="003A08EE" w:rsidRPr="009154BA">
        <w:rPr>
          <w:rFonts w:ascii="Times New Roman" w:hAnsi="Times New Roman" w:cs="Times New Roman"/>
          <w:sz w:val="24"/>
          <w:szCs w:val="24"/>
        </w:rPr>
        <w:t>.</w:t>
      </w:r>
    </w:p>
    <w:p w14:paraId="36753F0A" w14:textId="77777777"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Cash-Flow Governance:</w:t>
      </w:r>
    </w:p>
    <w:p w14:paraId="5C202C38" w14:textId="0401C3CF"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General electronics should form centralized treasury supervision, introduce a 13-week regime of cash-flow forecasting, and revert to scenario-based liquidity planning. Considering the strong volatility that has been witnessed in operating cash flows, it could be observed that the high degree of treasury governance can be used to provide early warning signals and make decisions about short-term funding (Sanguino et al., 2024)</w:t>
      </w:r>
      <w:r w:rsidR="003A08EE" w:rsidRPr="009154BA">
        <w:rPr>
          <w:rFonts w:ascii="Times New Roman" w:hAnsi="Times New Roman" w:cs="Times New Roman"/>
          <w:sz w:val="24"/>
          <w:szCs w:val="24"/>
        </w:rPr>
        <w:t>.</w:t>
      </w:r>
    </w:p>
    <w:p w14:paraId="7E7975A0" w14:textId="77777777" w:rsidR="003A08EE" w:rsidRPr="009154BA" w:rsidRDefault="003A08EE" w:rsidP="003F5AE3">
      <w:pPr>
        <w:pStyle w:val="Heading2"/>
      </w:pPr>
      <w:bookmarkStart w:id="14" w:name="_Toc214355513"/>
      <w:r w:rsidRPr="009154BA">
        <w:lastRenderedPageBreak/>
        <w:t>3.3 Short-Term vs Long-Term Financing Options</w:t>
      </w:r>
      <w:bookmarkEnd w:id="14"/>
    </w:p>
    <w:p w14:paraId="2C20F1DF" w14:textId="37482268"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Short-Term Financing:</w:t>
      </w:r>
    </w:p>
    <w:p w14:paraId="39DAA665" w14:textId="7F2F74A4"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Short term liquidity can be met by a variety of short-term finance devices, such as overdrafts, revolving credit facilities, trade credit, factoring and short-term loans.</w:t>
      </w:r>
      <w:r>
        <w:rPr>
          <w:rFonts w:ascii="Times New Roman" w:hAnsi="Times New Roman" w:cs="Times New Roman"/>
          <w:sz w:val="24"/>
          <w:szCs w:val="24"/>
        </w:rPr>
        <w:t xml:space="preserve"> </w:t>
      </w:r>
      <w:r w:rsidRPr="00E813D2">
        <w:rPr>
          <w:rFonts w:ascii="Times New Roman" w:hAnsi="Times New Roman" w:cs="Times New Roman"/>
          <w:sz w:val="24"/>
          <w:szCs w:val="24"/>
        </w:rPr>
        <w:t xml:space="preserve">However, the aspects such as increased refinancing risks, fluctuating interest payments and severe covenant requirements are closely linked to short-term borrowing. The cash-flow statement of General Electronics has been analysed to confirm that it has been using short-run credit lines which is reflected in recurrent borrowing and repayment. Relying on them may increase the risk of distress, particularly in case the creditors start to offer more restrictive terms or pull out </w:t>
      </w:r>
      <w:r w:rsidR="00E31D8D" w:rsidRPr="009154BA">
        <w:rPr>
          <w:rFonts w:ascii="Times New Roman" w:hAnsi="Times New Roman" w:cs="Times New Roman"/>
          <w:sz w:val="24"/>
          <w:szCs w:val="24"/>
        </w:rPr>
        <w:t>(</w:t>
      </w:r>
      <w:proofErr w:type="spellStart"/>
      <w:r w:rsidR="00E31D8D" w:rsidRPr="009154BA">
        <w:rPr>
          <w:rFonts w:ascii="Times New Roman" w:hAnsi="Times New Roman" w:cs="Times New Roman"/>
          <w:sz w:val="24"/>
          <w:szCs w:val="24"/>
        </w:rPr>
        <w:t>Kiymaz</w:t>
      </w:r>
      <w:proofErr w:type="spellEnd"/>
      <w:r w:rsidR="00E31D8D" w:rsidRPr="009154BA">
        <w:rPr>
          <w:rFonts w:ascii="Times New Roman" w:hAnsi="Times New Roman" w:cs="Times New Roman"/>
          <w:sz w:val="24"/>
          <w:szCs w:val="24"/>
        </w:rPr>
        <w:t>, Haque and Choudhury, 2024)</w:t>
      </w:r>
      <w:r w:rsidR="003A08EE" w:rsidRPr="009154BA">
        <w:rPr>
          <w:rFonts w:ascii="Times New Roman" w:hAnsi="Times New Roman" w:cs="Times New Roman"/>
          <w:sz w:val="24"/>
          <w:szCs w:val="24"/>
        </w:rPr>
        <w:t>.</w:t>
      </w:r>
    </w:p>
    <w:p w14:paraId="5F83C25E" w14:textId="77777777"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Long-Term Financing:</w:t>
      </w:r>
    </w:p>
    <w:p w14:paraId="142E5540" w14:textId="2FD89769"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 xml:space="preserve">Term loans, bonds, lease financing or injections of equity in the long run are stable and reduce the rollover risk. Such tools fit structural reforms, acquisition of assets as well as long-term capital projects. Long debts are however increasing leverage and interest payments, but equity finance absorbs ownership and increases the need to regain investor confidence. According to the literature, the troubled companies often need a mixture of the reorganisation of current debt and a long-term capital infusion to stabilise operations </w:t>
      </w:r>
      <w:r w:rsidR="00297A56" w:rsidRPr="009154BA">
        <w:rPr>
          <w:rFonts w:ascii="Times New Roman" w:hAnsi="Times New Roman" w:cs="Times New Roman"/>
          <w:sz w:val="24"/>
          <w:szCs w:val="24"/>
        </w:rPr>
        <w:t xml:space="preserve">(Anton and </w:t>
      </w:r>
      <w:proofErr w:type="spellStart"/>
      <w:r w:rsidR="00297A56" w:rsidRPr="009154BA">
        <w:rPr>
          <w:rFonts w:ascii="Times New Roman" w:hAnsi="Times New Roman" w:cs="Times New Roman"/>
          <w:sz w:val="24"/>
          <w:szCs w:val="24"/>
        </w:rPr>
        <w:t>Nucu</w:t>
      </w:r>
      <w:proofErr w:type="spellEnd"/>
      <w:r w:rsidR="00297A56" w:rsidRPr="009154BA">
        <w:rPr>
          <w:rFonts w:ascii="Times New Roman" w:hAnsi="Times New Roman" w:cs="Times New Roman"/>
          <w:sz w:val="24"/>
          <w:szCs w:val="24"/>
        </w:rPr>
        <w:t>, 2020)</w:t>
      </w:r>
      <w:r w:rsidR="003A08EE" w:rsidRPr="009154BA">
        <w:rPr>
          <w:rFonts w:ascii="Times New Roman" w:hAnsi="Times New Roman" w:cs="Times New Roman"/>
          <w:sz w:val="24"/>
          <w:szCs w:val="24"/>
        </w:rPr>
        <w:t>.</w:t>
      </w:r>
    </w:p>
    <w:p w14:paraId="50E6BAE9" w14:textId="77777777" w:rsid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Optimal Strategy:</w:t>
      </w:r>
    </w:p>
    <w:p w14:paraId="7747D403"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For General Electronics, a balanced approach is recommended:</w:t>
      </w:r>
    </w:p>
    <w:p w14:paraId="5BE5E930" w14:textId="77777777" w:rsidR="009154BA" w:rsidRPr="009154BA" w:rsidRDefault="003A08EE" w:rsidP="009154BA">
      <w:pPr>
        <w:pStyle w:val="ListParagraph"/>
        <w:numPr>
          <w:ilvl w:val="0"/>
          <w:numId w:val="32"/>
        </w:numPr>
        <w:jc w:val="both"/>
        <w:rPr>
          <w:rFonts w:ascii="Times New Roman" w:hAnsi="Times New Roman" w:cs="Times New Roman"/>
          <w:sz w:val="24"/>
          <w:szCs w:val="24"/>
        </w:rPr>
      </w:pPr>
      <w:r w:rsidRPr="009154BA">
        <w:rPr>
          <w:rFonts w:ascii="Times New Roman" w:hAnsi="Times New Roman" w:cs="Times New Roman"/>
          <w:sz w:val="24"/>
          <w:szCs w:val="24"/>
        </w:rPr>
        <w:t>Fund temporary liquidity gaps using controlled short-term facilities (overdrafts, trade credit).</w:t>
      </w:r>
    </w:p>
    <w:p w14:paraId="03DB9419" w14:textId="77777777" w:rsidR="009154BA" w:rsidRPr="009154BA" w:rsidRDefault="003A08EE" w:rsidP="009154BA">
      <w:pPr>
        <w:pStyle w:val="ListParagraph"/>
        <w:numPr>
          <w:ilvl w:val="0"/>
          <w:numId w:val="32"/>
        </w:numPr>
        <w:jc w:val="both"/>
        <w:rPr>
          <w:rFonts w:ascii="Times New Roman" w:hAnsi="Times New Roman" w:cs="Times New Roman"/>
          <w:sz w:val="24"/>
          <w:szCs w:val="24"/>
        </w:rPr>
      </w:pPr>
      <w:r w:rsidRPr="009154BA">
        <w:rPr>
          <w:rFonts w:ascii="Times New Roman" w:hAnsi="Times New Roman" w:cs="Times New Roman"/>
          <w:sz w:val="24"/>
          <w:szCs w:val="24"/>
        </w:rPr>
        <w:t>Finance structural capital requirements using long-term debt restructuring or partial equity infusion.</w:t>
      </w:r>
    </w:p>
    <w:p w14:paraId="448196FD" w14:textId="5F7E7231" w:rsidR="003A08EE" w:rsidRPr="009154BA" w:rsidRDefault="003A08EE" w:rsidP="009154BA">
      <w:pPr>
        <w:pStyle w:val="ListParagraph"/>
        <w:numPr>
          <w:ilvl w:val="0"/>
          <w:numId w:val="32"/>
        </w:numPr>
        <w:jc w:val="both"/>
        <w:rPr>
          <w:rFonts w:ascii="Times New Roman" w:hAnsi="Times New Roman" w:cs="Times New Roman"/>
          <w:sz w:val="24"/>
          <w:szCs w:val="24"/>
        </w:rPr>
      </w:pPr>
      <w:r w:rsidRPr="009154BA">
        <w:rPr>
          <w:rFonts w:ascii="Times New Roman" w:hAnsi="Times New Roman" w:cs="Times New Roman"/>
          <w:sz w:val="24"/>
          <w:szCs w:val="24"/>
        </w:rPr>
        <w:t>Reduce working-capital needs through operational improvements to minimise external borrowing.</w:t>
      </w:r>
    </w:p>
    <w:p w14:paraId="72A05C54" w14:textId="74B1DD1F" w:rsidR="003A08EE" w:rsidRPr="009154BA" w:rsidRDefault="003A08EE" w:rsidP="009154BA">
      <w:pPr>
        <w:pStyle w:val="Heading1"/>
      </w:pPr>
      <w:bookmarkStart w:id="15" w:name="_Toc214355514"/>
      <w:r w:rsidRPr="009154BA">
        <w:t>4. Strategic Financial Restructuring Plan</w:t>
      </w:r>
      <w:bookmarkEnd w:id="15"/>
    </w:p>
    <w:p w14:paraId="478694C5" w14:textId="3E9E8FFE" w:rsidR="003A08EE" w:rsidRPr="009154BA" w:rsidRDefault="00E813D2" w:rsidP="009154BA">
      <w:pPr>
        <w:jc w:val="both"/>
        <w:rPr>
          <w:rFonts w:ascii="Times New Roman" w:hAnsi="Times New Roman" w:cs="Times New Roman"/>
          <w:sz w:val="24"/>
          <w:szCs w:val="24"/>
        </w:rPr>
      </w:pPr>
      <w:r w:rsidRPr="00E813D2">
        <w:rPr>
          <w:rFonts w:ascii="Times New Roman" w:hAnsi="Times New Roman" w:cs="Times New Roman"/>
          <w:sz w:val="24"/>
          <w:szCs w:val="24"/>
        </w:rPr>
        <w:t xml:space="preserve">With its continued erosion of profitability, its high working-capital needs, worsening liquidity, and increasing dependence on short-term funding, General Electronics requires a tight financial restructuring. The main objective of restructuring is to restore solvency, strengthen and balance sheet, increase operation flexibility and restore long-run shareholder value. This part outlines a list of financial restructuring options, including divestiture, mergers and acquisitions, debt restructuring and equity infusion, and evaluates its future impact. It also integrates meaningful international and moral factors - such as tax, foreign exchange risk, inflation and corporate social responsibility, and fair treatment of staff </w:t>
      </w:r>
      <w:r w:rsidR="0030224A" w:rsidRPr="009154BA">
        <w:rPr>
          <w:rFonts w:ascii="Times New Roman" w:hAnsi="Times New Roman" w:cs="Times New Roman"/>
          <w:sz w:val="24"/>
          <w:szCs w:val="24"/>
        </w:rPr>
        <w:t>(</w:t>
      </w:r>
      <w:proofErr w:type="spellStart"/>
      <w:r w:rsidR="0030224A" w:rsidRPr="009154BA">
        <w:rPr>
          <w:rFonts w:ascii="Times New Roman" w:hAnsi="Times New Roman" w:cs="Times New Roman"/>
          <w:sz w:val="24"/>
          <w:szCs w:val="24"/>
        </w:rPr>
        <w:t>Yinghao</w:t>
      </w:r>
      <w:proofErr w:type="spellEnd"/>
      <w:r w:rsidR="0030224A" w:rsidRPr="009154BA">
        <w:rPr>
          <w:rFonts w:ascii="Times New Roman" w:hAnsi="Times New Roman" w:cs="Times New Roman"/>
          <w:sz w:val="24"/>
          <w:szCs w:val="24"/>
        </w:rPr>
        <w:t xml:space="preserve"> and </w:t>
      </w:r>
      <w:proofErr w:type="spellStart"/>
      <w:r w:rsidR="0030224A" w:rsidRPr="009154BA">
        <w:rPr>
          <w:rFonts w:ascii="Times New Roman" w:hAnsi="Times New Roman" w:cs="Times New Roman"/>
          <w:sz w:val="24"/>
          <w:szCs w:val="24"/>
        </w:rPr>
        <w:t>Jiajia</w:t>
      </w:r>
      <w:proofErr w:type="spellEnd"/>
      <w:r w:rsidR="0030224A" w:rsidRPr="009154BA">
        <w:rPr>
          <w:rFonts w:ascii="Times New Roman" w:hAnsi="Times New Roman" w:cs="Times New Roman"/>
          <w:sz w:val="24"/>
          <w:szCs w:val="24"/>
        </w:rPr>
        <w:t>, 2025)</w:t>
      </w:r>
      <w:r w:rsidR="003A08EE" w:rsidRPr="009154BA">
        <w:rPr>
          <w:rFonts w:ascii="Times New Roman" w:hAnsi="Times New Roman" w:cs="Times New Roman"/>
          <w:sz w:val="24"/>
          <w:szCs w:val="24"/>
        </w:rPr>
        <w:t>.</w:t>
      </w:r>
    </w:p>
    <w:p w14:paraId="28FA87D0" w14:textId="77777777" w:rsidR="003A08EE" w:rsidRPr="009154BA" w:rsidRDefault="003A08EE" w:rsidP="0049751B">
      <w:pPr>
        <w:pStyle w:val="Heading2"/>
      </w:pPr>
      <w:bookmarkStart w:id="16" w:name="_Toc214355515"/>
      <w:r w:rsidRPr="009154BA">
        <w:lastRenderedPageBreak/>
        <w:t>4.1 Diagnosis of Core Financial Problems</w:t>
      </w:r>
      <w:bookmarkEnd w:id="16"/>
    </w:p>
    <w:p w14:paraId="2E38F49B"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General Electronics’ financial distress is driven by four structural challenges:</w:t>
      </w:r>
    </w:p>
    <w:p w14:paraId="1CB46644" w14:textId="77777777" w:rsidR="009154BA" w:rsidRPr="009154BA" w:rsidRDefault="003A08EE" w:rsidP="009154BA">
      <w:pPr>
        <w:numPr>
          <w:ilvl w:val="0"/>
          <w:numId w:val="2"/>
        </w:numPr>
        <w:jc w:val="both"/>
        <w:rPr>
          <w:rFonts w:ascii="Times New Roman" w:hAnsi="Times New Roman" w:cs="Times New Roman"/>
          <w:sz w:val="24"/>
          <w:szCs w:val="24"/>
        </w:rPr>
      </w:pPr>
      <w:r w:rsidRPr="009154BA">
        <w:rPr>
          <w:rFonts w:ascii="Times New Roman" w:hAnsi="Times New Roman" w:cs="Times New Roman"/>
          <w:b/>
          <w:bCs/>
          <w:sz w:val="24"/>
          <w:szCs w:val="24"/>
        </w:rPr>
        <w:t>Persistent operating losses and declining margins</w:t>
      </w:r>
    </w:p>
    <w:p w14:paraId="5A0CA112" w14:textId="6B7D6B1E" w:rsidR="003A08EE" w:rsidRPr="009154BA" w:rsidRDefault="00090A1B" w:rsidP="009154BA">
      <w:pPr>
        <w:ind w:left="720"/>
        <w:jc w:val="both"/>
        <w:rPr>
          <w:rFonts w:ascii="Times New Roman" w:hAnsi="Times New Roman" w:cs="Times New Roman"/>
          <w:sz w:val="24"/>
          <w:szCs w:val="24"/>
        </w:rPr>
      </w:pPr>
      <w:r w:rsidRPr="00090A1B">
        <w:rPr>
          <w:rFonts w:ascii="Times New Roman" w:hAnsi="Times New Roman" w:cs="Times New Roman"/>
          <w:sz w:val="24"/>
          <w:szCs w:val="24"/>
        </w:rPr>
        <w:t>Operating losses reported in 2023</w:t>
      </w:r>
      <w:r>
        <w:rPr>
          <w:rFonts w:ascii="Times New Roman" w:hAnsi="Times New Roman" w:cs="Times New Roman"/>
          <w:sz w:val="24"/>
          <w:szCs w:val="24"/>
        </w:rPr>
        <w:t>-</w:t>
      </w:r>
      <w:r w:rsidRPr="00090A1B">
        <w:rPr>
          <w:rFonts w:ascii="Times New Roman" w:hAnsi="Times New Roman" w:cs="Times New Roman"/>
          <w:sz w:val="24"/>
          <w:szCs w:val="24"/>
        </w:rPr>
        <w:t>2024 and significant instability in net profits margins are the signs of rising cost pressures and insufficient revenue growth. Although it continues to generate positive operating cash flow, such gains seem insufficient to offset the huge drop in earnings</w:t>
      </w:r>
      <w:r w:rsidR="003A08EE" w:rsidRPr="009154BA">
        <w:rPr>
          <w:rFonts w:ascii="Times New Roman" w:hAnsi="Times New Roman" w:cs="Times New Roman"/>
          <w:sz w:val="24"/>
          <w:szCs w:val="24"/>
        </w:rPr>
        <w:t>.</w:t>
      </w:r>
    </w:p>
    <w:p w14:paraId="052E7495" w14:textId="77777777" w:rsidR="009154BA" w:rsidRPr="009154BA" w:rsidRDefault="003A08EE" w:rsidP="009154BA">
      <w:pPr>
        <w:numPr>
          <w:ilvl w:val="0"/>
          <w:numId w:val="2"/>
        </w:numPr>
        <w:jc w:val="both"/>
        <w:rPr>
          <w:rFonts w:ascii="Times New Roman" w:hAnsi="Times New Roman" w:cs="Times New Roman"/>
          <w:sz w:val="24"/>
          <w:szCs w:val="24"/>
        </w:rPr>
      </w:pPr>
      <w:r w:rsidRPr="009154BA">
        <w:rPr>
          <w:rFonts w:ascii="Times New Roman" w:hAnsi="Times New Roman" w:cs="Times New Roman"/>
          <w:b/>
          <w:bCs/>
          <w:sz w:val="24"/>
          <w:szCs w:val="24"/>
        </w:rPr>
        <w:t>Weakened liquidity and high cash-conversion cycle</w:t>
      </w:r>
    </w:p>
    <w:p w14:paraId="318C034F" w14:textId="162BF684" w:rsidR="003A08EE" w:rsidRPr="009154BA" w:rsidRDefault="00090A1B" w:rsidP="009154BA">
      <w:pPr>
        <w:ind w:left="720"/>
        <w:jc w:val="both"/>
        <w:rPr>
          <w:rFonts w:ascii="Times New Roman" w:hAnsi="Times New Roman" w:cs="Times New Roman"/>
          <w:sz w:val="24"/>
          <w:szCs w:val="24"/>
        </w:rPr>
      </w:pPr>
      <w:r w:rsidRPr="00090A1B">
        <w:rPr>
          <w:rFonts w:ascii="Times New Roman" w:hAnsi="Times New Roman" w:cs="Times New Roman"/>
          <w:sz w:val="24"/>
          <w:szCs w:val="24"/>
        </w:rPr>
        <w:t xml:space="preserve">The cash conversion cycle is continuing as a long one and accounts receivable delays are growing. The business is therefore becoming more dependent on short term credit facilities, and this enhances refinancing risk </w:t>
      </w:r>
      <w:r w:rsidRPr="009154BA">
        <w:rPr>
          <w:rFonts w:ascii="Times New Roman" w:hAnsi="Times New Roman" w:cs="Times New Roman"/>
          <w:sz w:val="24"/>
          <w:szCs w:val="24"/>
        </w:rPr>
        <w:t>(</w:t>
      </w:r>
      <w:r w:rsidR="00E472C6" w:rsidRPr="009154BA">
        <w:rPr>
          <w:rFonts w:ascii="Times New Roman" w:hAnsi="Times New Roman" w:cs="Times New Roman"/>
          <w:sz w:val="24"/>
          <w:szCs w:val="24"/>
        </w:rPr>
        <w:t>Basu and Guariglia, 2002</w:t>
      </w:r>
      <w:r w:rsidR="003A08EE" w:rsidRPr="009154BA">
        <w:rPr>
          <w:rFonts w:ascii="Times New Roman" w:hAnsi="Times New Roman" w:cs="Times New Roman"/>
          <w:sz w:val="24"/>
          <w:szCs w:val="24"/>
        </w:rPr>
        <w:t>).</w:t>
      </w:r>
    </w:p>
    <w:p w14:paraId="5EC48569" w14:textId="77777777" w:rsidR="009154BA" w:rsidRPr="009154BA" w:rsidRDefault="003A08EE" w:rsidP="009154BA">
      <w:pPr>
        <w:numPr>
          <w:ilvl w:val="0"/>
          <w:numId w:val="2"/>
        </w:numPr>
        <w:jc w:val="both"/>
        <w:rPr>
          <w:rFonts w:ascii="Times New Roman" w:hAnsi="Times New Roman" w:cs="Times New Roman"/>
          <w:sz w:val="24"/>
          <w:szCs w:val="24"/>
        </w:rPr>
      </w:pPr>
      <w:r w:rsidRPr="009154BA">
        <w:rPr>
          <w:rFonts w:ascii="Times New Roman" w:hAnsi="Times New Roman" w:cs="Times New Roman"/>
          <w:b/>
          <w:bCs/>
          <w:sz w:val="24"/>
          <w:szCs w:val="24"/>
        </w:rPr>
        <w:t>Deteriorating capital structure</w:t>
      </w:r>
    </w:p>
    <w:p w14:paraId="6367CA62" w14:textId="5350F4F3" w:rsidR="003A08EE" w:rsidRPr="009154BA" w:rsidRDefault="00090A1B" w:rsidP="009154BA">
      <w:pPr>
        <w:ind w:left="720"/>
        <w:jc w:val="both"/>
        <w:rPr>
          <w:rFonts w:ascii="Times New Roman" w:hAnsi="Times New Roman" w:cs="Times New Roman"/>
          <w:sz w:val="24"/>
          <w:szCs w:val="24"/>
        </w:rPr>
      </w:pPr>
      <w:r w:rsidRPr="00090A1B">
        <w:rPr>
          <w:rFonts w:ascii="Times New Roman" w:hAnsi="Times New Roman" w:cs="Times New Roman"/>
          <w:sz w:val="24"/>
          <w:szCs w:val="24"/>
        </w:rPr>
        <w:t xml:space="preserve">Increased leverage reduced interest coverage and run-down of retained earnings have all led to loss of financial flexibility. It has been shown that risks of distress increase faster when leverage increases together with earnings fall. </w:t>
      </w:r>
      <w:r w:rsidR="0030224A" w:rsidRPr="009154BA">
        <w:rPr>
          <w:rFonts w:ascii="Times New Roman" w:hAnsi="Times New Roman" w:cs="Times New Roman"/>
          <w:sz w:val="24"/>
          <w:szCs w:val="24"/>
        </w:rPr>
        <w:t>(Purkayastha and Filatotchev, 2023)</w:t>
      </w:r>
      <w:r w:rsidR="003A08EE" w:rsidRPr="009154BA">
        <w:rPr>
          <w:rFonts w:ascii="Times New Roman" w:hAnsi="Times New Roman" w:cs="Times New Roman"/>
          <w:sz w:val="24"/>
          <w:szCs w:val="24"/>
        </w:rPr>
        <w:t>.</w:t>
      </w:r>
    </w:p>
    <w:p w14:paraId="32FEE7E9" w14:textId="77777777" w:rsidR="009154BA" w:rsidRPr="009154BA" w:rsidRDefault="003A08EE" w:rsidP="009154BA">
      <w:pPr>
        <w:numPr>
          <w:ilvl w:val="0"/>
          <w:numId w:val="2"/>
        </w:numPr>
        <w:jc w:val="both"/>
        <w:rPr>
          <w:rFonts w:ascii="Times New Roman" w:hAnsi="Times New Roman" w:cs="Times New Roman"/>
          <w:sz w:val="24"/>
          <w:szCs w:val="24"/>
        </w:rPr>
      </w:pPr>
      <w:r w:rsidRPr="009154BA">
        <w:rPr>
          <w:rFonts w:ascii="Times New Roman" w:hAnsi="Times New Roman" w:cs="Times New Roman"/>
          <w:b/>
          <w:bCs/>
          <w:sz w:val="24"/>
          <w:szCs w:val="24"/>
        </w:rPr>
        <w:t>Volatile cash flows and limited internal funding capacity</w:t>
      </w:r>
    </w:p>
    <w:p w14:paraId="1FCC05E4" w14:textId="26C47DC6" w:rsidR="003A08EE" w:rsidRPr="009154BA" w:rsidRDefault="00090A1B" w:rsidP="009154BA">
      <w:pPr>
        <w:ind w:left="720"/>
        <w:jc w:val="both"/>
        <w:rPr>
          <w:rFonts w:ascii="Times New Roman" w:hAnsi="Times New Roman" w:cs="Times New Roman"/>
          <w:sz w:val="24"/>
          <w:szCs w:val="24"/>
        </w:rPr>
      </w:pPr>
      <w:r w:rsidRPr="00090A1B">
        <w:rPr>
          <w:rFonts w:ascii="Times New Roman" w:hAnsi="Times New Roman" w:cs="Times New Roman"/>
          <w:sz w:val="24"/>
          <w:szCs w:val="24"/>
        </w:rPr>
        <w:t>Despite the fact that the cash flows themselves are still positive, the increased volatility and reduced liquidity level hinder the possibility to invest and limit the strategy options</w:t>
      </w:r>
      <w:r w:rsidR="003A08EE" w:rsidRPr="009154BA">
        <w:rPr>
          <w:rFonts w:ascii="Times New Roman" w:hAnsi="Times New Roman" w:cs="Times New Roman"/>
          <w:sz w:val="24"/>
          <w:szCs w:val="24"/>
        </w:rPr>
        <w:t>.</w:t>
      </w:r>
    </w:p>
    <w:p w14:paraId="171BEE29" w14:textId="77777777" w:rsidR="003A08EE" w:rsidRPr="009154BA" w:rsidRDefault="003A08EE" w:rsidP="00D35018">
      <w:pPr>
        <w:pStyle w:val="Heading2"/>
      </w:pPr>
      <w:bookmarkStart w:id="17" w:name="_Toc214355516"/>
      <w:r w:rsidRPr="009154BA">
        <w:t>4.2 Financial Restructuring Options</w:t>
      </w:r>
      <w:bookmarkEnd w:id="17"/>
    </w:p>
    <w:p w14:paraId="258C5557"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4.2.1 Divestiture of Non-Core or Underperforming Units</w:t>
      </w:r>
    </w:p>
    <w:p w14:paraId="13B2B829" w14:textId="5739BC70" w:rsidR="003A08EE" w:rsidRPr="009154BA" w:rsidRDefault="00090A1B" w:rsidP="009154BA">
      <w:pPr>
        <w:jc w:val="both"/>
        <w:rPr>
          <w:rFonts w:ascii="Times New Roman" w:hAnsi="Times New Roman" w:cs="Times New Roman"/>
          <w:sz w:val="24"/>
          <w:szCs w:val="24"/>
        </w:rPr>
      </w:pPr>
      <w:r w:rsidRPr="00090A1B">
        <w:rPr>
          <w:rFonts w:ascii="Times New Roman" w:hAnsi="Times New Roman" w:cs="Times New Roman"/>
          <w:sz w:val="24"/>
          <w:szCs w:val="24"/>
        </w:rPr>
        <w:t>A strategically oriented divestiture initiative allows the company in question to retire low-margined and high-working-capital business units. The consumer electronics industry is highly likely to have mature or low-margined product lines with excessive share of operating resources</w:t>
      </w:r>
      <w:r w:rsidR="003A08EE" w:rsidRPr="009154BA">
        <w:rPr>
          <w:rFonts w:ascii="Times New Roman" w:hAnsi="Times New Roman" w:cs="Times New Roman"/>
          <w:sz w:val="24"/>
          <w:szCs w:val="24"/>
        </w:rPr>
        <w:t>. Selling such segments would:</w:t>
      </w:r>
    </w:p>
    <w:p w14:paraId="4A4FB04C" w14:textId="77777777" w:rsidR="003A08EE" w:rsidRPr="009154BA" w:rsidRDefault="003A08EE" w:rsidP="009154BA">
      <w:pPr>
        <w:numPr>
          <w:ilvl w:val="0"/>
          <w:numId w:val="3"/>
        </w:numPr>
        <w:jc w:val="both"/>
        <w:rPr>
          <w:rFonts w:ascii="Times New Roman" w:hAnsi="Times New Roman" w:cs="Times New Roman"/>
          <w:sz w:val="24"/>
          <w:szCs w:val="24"/>
        </w:rPr>
      </w:pPr>
      <w:r w:rsidRPr="009154BA">
        <w:rPr>
          <w:rFonts w:ascii="Times New Roman" w:hAnsi="Times New Roman" w:cs="Times New Roman"/>
          <w:sz w:val="24"/>
          <w:szCs w:val="24"/>
        </w:rPr>
        <w:t>Generate immediate cash inflow</w:t>
      </w:r>
    </w:p>
    <w:p w14:paraId="6E2B1E4F" w14:textId="77777777" w:rsidR="003A08EE" w:rsidRPr="009154BA" w:rsidRDefault="003A08EE" w:rsidP="009154BA">
      <w:pPr>
        <w:numPr>
          <w:ilvl w:val="0"/>
          <w:numId w:val="3"/>
        </w:numPr>
        <w:jc w:val="both"/>
        <w:rPr>
          <w:rFonts w:ascii="Times New Roman" w:hAnsi="Times New Roman" w:cs="Times New Roman"/>
          <w:sz w:val="24"/>
          <w:szCs w:val="24"/>
        </w:rPr>
      </w:pPr>
      <w:r w:rsidRPr="009154BA">
        <w:rPr>
          <w:rFonts w:ascii="Times New Roman" w:hAnsi="Times New Roman" w:cs="Times New Roman"/>
          <w:sz w:val="24"/>
          <w:szCs w:val="24"/>
        </w:rPr>
        <w:t>Reduce inventory-holding costs</w:t>
      </w:r>
    </w:p>
    <w:p w14:paraId="0736C094" w14:textId="77777777" w:rsidR="003A08EE" w:rsidRPr="009154BA" w:rsidRDefault="003A08EE" w:rsidP="009154BA">
      <w:pPr>
        <w:numPr>
          <w:ilvl w:val="0"/>
          <w:numId w:val="3"/>
        </w:numPr>
        <w:jc w:val="both"/>
        <w:rPr>
          <w:rFonts w:ascii="Times New Roman" w:hAnsi="Times New Roman" w:cs="Times New Roman"/>
          <w:sz w:val="24"/>
          <w:szCs w:val="24"/>
        </w:rPr>
      </w:pPr>
      <w:r w:rsidRPr="009154BA">
        <w:rPr>
          <w:rFonts w:ascii="Times New Roman" w:hAnsi="Times New Roman" w:cs="Times New Roman"/>
          <w:sz w:val="24"/>
          <w:szCs w:val="24"/>
        </w:rPr>
        <w:t>Improve working-capital turnover</w:t>
      </w:r>
    </w:p>
    <w:p w14:paraId="5A869540" w14:textId="77777777" w:rsidR="003A08EE" w:rsidRPr="009154BA" w:rsidRDefault="003A08EE" w:rsidP="009154BA">
      <w:pPr>
        <w:numPr>
          <w:ilvl w:val="0"/>
          <w:numId w:val="3"/>
        </w:numPr>
        <w:jc w:val="both"/>
        <w:rPr>
          <w:rFonts w:ascii="Times New Roman" w:hAnsi="Times New Roman" w:cs="Times New Roman"/>
          <w:sz w:val="24"/>
          <w:szCs w:val="24"/>
        </w:rPr>
      </w:pPr>
      <w:r w:rsidRPr="009154BA">
        <w:rPr>
          <w:rFonts w:ascii="Times New Roman" w:hAnsi="Times New Roman" w:cs="Times New Roman"/>
          <w:sz w:val="24"/>
          <w:szCs w:val="24"/>
        </w:rPr>
        <w:t>Allow management to focus on profitable, innovation-driven divisions</w:t>
      </w:r>
    </w:p>
    <w:p w14:paraId="7818ADE2" w14:textId="6C549FE8" w:rsidR="003A08EE"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Divestiture also aligns with academic evidence showing that asset rationalisation strengthens financial performance during distress episodes (Chen, 20</w:t>
      </w:r>
      <w:r w:rsidR="00AD4539" w:rsidRPr="009154BA">
        <w:rPr>
          <w:rFonts w:ascii="Times New Roman" w:hAnsi="Times New Roman" w:cs="Times New Roman"/>
          <w:sz w:val="24"/>
          <w:szCs w:val="24"/>
        </w:rPr>
        <w:t>16</w:t>
      </w:r>
      <w:r w:rsidRPr="009154BA">
        <w:rPr>
          <w:rFonts w:ascii="Times New Roman" w:hAnsi="Times New Roman" w:cs="Times New Roman"/>
          <w:sz w:val="24"/>
          <w:szCs w:val="24"/>
        </w:rPr>
        <w:t>).</w:t>
      </w:r>
    </w:p>
    <w:p w14:paraId="124164DD" w14:textId="77777777" w:rsidR="00722D07" w:rsidRPr="009154BA" w:rsidRDefault="00722D07" w:rsidP="009154BA">
      <w:pPr>
        <w:jc w:val="both"/>
        <w:rPr>
          <w:rFonts w:ascii="Times New Roman" w:hAnsi="Times New Roman" w:cs="Times New Roman"/>
          <w:sz w:val="24"/>
          <w:szCs w:val="24"/>
        </w:rPr>
      </w:pPr>
    </w:p>
    <w:p w14:paraId="65D3BE0C"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lastRenderedPageBreak/>
        <w:t>4.2.2 Equity Injection</w:t>
      </w:r>
    </w:p>
    <w:p w14:paraId="072EB172" w14:textId="49FD973F"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 partial equity issuance</w:t>
      </w:r>
      <w:r w:rsidR="009154BA">
        <w:rPr>
          <w:rFonts w:ascii="Times New Roman" w:hAnsi="Times New Roman" w:cs="Times New Roman"/>
          <w:sz w:val="24"/>
          <w:szCs w:val="24"/>
        </w:rPr>
        <w:t xml:space="preserve"> </w:t>
      </w:r>
      <w:r w:rsidRPr="009154BA">
        <w:rPr>
          <w:rFonts w:ascii="Times New Roman" w:hAnsi="Times New Roman" w:cs="Times New Roman"/>
          <w:sz w:val="24"/>
          <w:szCs w:val="24"/>
        </w:rPr>
        <w:t>preferably through a rights offering</w:t>
      </w:r>
      <w:r w:rsidR="009154BA">
        <w:rPr>
          <w:rFonts w:ascii="Times New Roman" w:hAnsi="Times New Roman" w:cs="Times New Roman"/>
          <w:sz w:val="24"/>
          <w:szCs w:val="24"/>
        </w:rPr>
        <w:t xml:space="preserve"> </w:t>
      </w:r>
      <w:r w:rsidRPr="009154BA">
        <w:rPr>
          <w:rFonts w:ascii="Times New Roman" w:hAnsi="Times New Roman" w:cs="Times New Roman"/>
          <w:sz w:val="24"/>
          <w:szCs w:val="24"/>
        </w:rPr>
        <w:t>can recapitalise the firm without excessive dilution and rebuild investor confidence. An equity injection would:</w:t>
      </w:r>
    </w:p>
    <w:p w14:paraId="255A2926" w14:textId="77777777" w:rsidR="003A08EE" w:rsidRPr="009154BA" w:rsidRDefault="003A08EE" w:rsidP="009154BA">
      <w:pPr>
        <w:numPr>
          <w:ilvl w:val="0"/>
          <w:numId w:val="4"/>
        </w:numPr>
        <w:jc w:val="both"/>
        <w:rPr>
          <w:rFonts w:ascii="Times New Roman" w:hAnsi="Times New Roman" w:cs="Times New Roman"/>
          <w:sz w:val="24"/>
          <w:szCs w:val="24"/>
        </w:rPr>
      </w:pPr>
      <w:r w:rsidRPr="009154BA">
        <w:rPr>
          <w:rFonts w:ascii="Times New Roman" w:hAnsi="Times New Roman" w:cs="Times New Roman"/>
          <w:sz w:val="24"/>
          <w:szCs w:val="24"/>
        </w:rPr>
        <w:t>Strengthen the balance sheet by increasing shareholders’ equity</w:t>
      </w:r>
    </w:p>
    <w:p w14:paraId="0EE95C44" w14:textId="77777777" w:rsidR="003A08EE" w:rsidRPr="009154BA" w:rsidRDefault="003A08EE" w:rsidP="009154BA">
      <w:pPr>
        <w:numPr>
          <w:ilvl w:val="0"/>
          <w:numId w:val="4"/>
        </w:numPr>
        <w:jc w:val="both"/>
        <w:rPr>
          <w:rFonts w:ascii="Times New Roman" w:hAnsi="Times New Roman" w:cs="Times New Roman"/>
          <w:sz w:val="24"/>
          <w:szCs w:val="24"/>
        </w:rPr>
      </w:pPr>
      <w:r w:rsidRPr="009154BA">
        <w:rPr>
          <w:rFonts w:ascii="Times New Roman" w:hAnsi="Times New Roman" w:cs="Times New Roman"/>
          <w:sz w:val="24"/>
          <w:szCs w:val="24"/>
        </w:rPr>
        <w:t>Improve leverage ratios</w:t>
      </w:r>
    </w:p>
    <w:p w14:paraId="29855ECB" w14:textId="77777777" w:rsidR="003A08EE" w:rsidRPr="009154BA" w:rsidRDefault="003A08EE" w:rsidP="009154BA">
      <w:pPr>
        <w:numPr>
          <w:ilvl w:val="0"/>
          <w:numId w:val="4"/>
        </w:numPr>
        <w:jc w:val="both"/>
        <w:rPr>
          <w:rFonts w:ascii="Times New Roman" w:hAnsi="Times New Roman" w:cs="Times New Roman"/>
          <w:sz w:val="24"/>
          <w:szCs w:val="24"/>
        </w:rPr>
      </w:pPr>
      <w:r w:rsidRPr="009154BA">
        <w:rPr>
          <w:rFonts w:ascii="Times New Roman" w:hAnsi="Times New Roman" w:cs="Times New Roman"/>
          <w:sz w:val="24"/>
          <w:szCs w:val="24"/>
        </w:rPr>
        <w:t>Reduce the probability of covenant breaches</w:t>
      </w:r>
    </w:p>
    <w:p w14:paraId="7C924D29" w14:textId="77777777" w:rsidR="003A08EE" w:rsidRPr="009154BA" w:rsidRDefault="003A08EE" w:rsidP="009154BA">
      <w:pPr>
        <w:numPr>
          <w:ilvl w:val="0"/>
          <w:numId w:val="4"/>
        </w:numPr>
        <w:jc w:val="both"/>
        <w:rPr>
          <w:rFonts w:ascii="Times New Roman" w:hAnsi="Times New Roman" w:cs="Times New Roman"/>
          <w:sz w:val="24"/>
          <w:szCs w:val="24"/>
        </w:rPr>
      </w:pPr>
      <w:r w:rsidRPr="009154BA">
        <w:rPr>
          <w:rFonts w:ascii="Times New Roman" w:hAnsi="Times New Roman" w:cs="Times New Roman"/>
          <w:sz w:val="24"/>
          <w:szCs w:val="24"/>
        </w:rPr>
        <w:t>Enhance creditworthiness with lenders</w:t>
      </w:r>
    </w:p>
    <w:p w14:paraId="13A71FAC" w14:textId="5D98AE9C"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However, raising equity requires restoring credibility, which depends on a compelling turnaround narrative. Investors closely track EPS trends; therefore, the company must communicate clearly how new capital will support operational recovery </w:t>
      </w:r>
      <w:r w:rsidR="006E661F" w:rsidRPr="009154BA">
        <w:rPr>
          <w:rFonts w:ascii="Times New Roman" w:hAnsi="Times New Roman" w:cs="Times New Roman"/>
          <w:sz w:val="24"/>
          <w:szCs w:val="24"/>
        </w:rPr>
        <w:t>(</w:t>
      </w:r>
      <w:proofErr w:type="spellStart"/>
      <w:r w:rsidR="006E661F" w:rsidRPr="009154BA">
        <w:rPr>
          <w:rFonts w:ascii="Times New Roman" w:hAnsi="Times New Roman" w:cs="Times New Roman"/>
          <w:sz w:val="24"/>
          <w:szCs w:val="24"/>
        </w:rPr>
        <w:t>Gholampoor</w:t>
      </w:r>
      <w:proofErr w:type="spellEnd"/>
      <w:r w:rsidR="006E661F" w:rsidRPr="009154BA">
        <w:rPr>
          <w:rFonts w:ascii="Times New Roman" w:hAnsi="Times New Roman" w:cs="Times New Roman"/>
          <w:sz w:val="24"/>
          <w:szCs w:val="24"/>
        </w:rPr>
        <w:t xml:space="preserve"> and Asadi, 2024)</w:t>
      </w:r>
      <w:r w:rsidRPr="009154BA">
        <w:rPr>
          <w:rFonts w:ascii="Times New Roman" w:hAnsi="Times New Roman" w:cs="Times New Roman"/>
          <w:sz w:val="24"/>
          <w:szCs w:val="24"/>
        </w:rPr>
        <w:t>.</w:t>
      </w:r>
    </w:p>
    <w:p w14:paraId="0D76D40B"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4.2.3 Debt Restructuring and Refinancing</w:t>
      </w:r>
    </w:p>
    <w:p w14:paraId="22B15335"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General Electronics’ negative interest coverage in 2023–2024 signals that existing debt obligations are unsustainable. A debt-restructuring programme should include:</w:t>
      </w:r>
    </w:p>
    <w:p w14:paraId="07D1EE5A" w14:textId="77777777" w:rsidR="003A08EE" w:rsidRPr="009154BA" w:rsidRDefault="003A08EE" w:rsidP="009154BA">
      <w:pPr>
        <w:numPr>
          <w:ilvl w:val="0"/>
          <w:numId w:val="5"/>
        </w:numPr>
        <w:jc w:val="both"/>
        <w:rPr>
          <w:rFonts w:ascii="Times New Roman" w:hAnsi="Times New Roman" w:cs="Times New Roman"/>
          <w:sz w:val="24"/>
          <w:szCs w:val="24"/>
        </w:rPr>
      </w:pPr>
      <w:r w:rsidRPr="009154BA">
        <w:rPr>
          <w:rFonts w:ascii="Times New Roman" w:hAnsi="Times New Roman" w:cs="Times New Roman"/>
          <w:sz w:val="24"/>
          <w:szCs w:val="24"/>
        </w:rPr>
        <w:t>Extending maturities on long-term debt</w:t>
      </w:r>
    </w:p>
    <w:p w14:paraId="1BB19ADC" w14:textId="77777777" w:rsidR="003A08EE" w:rsidRPr="009154BA" w:rsidRDefault="003A08EE" w:rsidP="009154BA">
      <w:pPr>
        <w:numPr>
          <w:ilvl w:val="0"/>
          <w:numId w:val="5"/>
        </w:numPr>
        <w:jc w:val="both"/>
        <w:rPr>
          <w:rFonts w:ascii="Times New Roman" w:hAnsi="Times New Roman" w:cs="Times New Roman"/>
          <w:sz w:val="24"/>
          <w:szCs w:val="24"/>
        </w:rPr>
      </w:pPr>
      <w:r w:rsidRPr="009154BA">
        <w:rPr>
          <w:rFonts w:ascii="Times New Roman" w:hAnsi="Times New Roman" w:cs="Times New Roman"/>
          <w:sz w:val="24"/>
          <w:szCs w:val="24"/>
        </w:rPr>
        <w:t>Renegotiating interest rates</w:t>
      </w:r>
    </w:p>
    <w:p w14:paraId="078EAB30" w14:textId="77777777" w:rsidR="003A08EE" w:rsidRPr="009154BA" w:rsidRDefault="003A08EE" w:rsidP="009154BA">
      <w:pPr>
        <w:numPr>
          <w:ilvl w:val="0"/>
          <w:numId w:val="5"/>
        </w:numPr>
        <w:jc w:val="both"/>
        <w:rPr>
          <w:rFonts w:ascii="Times New Roman" w:hAnsi="Times New Roman" w:cs="Times New Roman"/>
          <w:sz w:val="24"/>
          <w:szCs w:val="24"/>
        </w:rPr>
      </w:pPr>
      <w:r w:rsidRPr="009154BA">
        <w:rPr>
          <w:rFonts w:ascii="Times New Roman" w:hAnsi="Times New Roman" w:cs="Times New Roman"/>
          <w:sz w:val="24"/>
          <w:szCs w:val="24"/>
        </w:rPr>
        <w:t>Converting a portion of debt into equity or convertible instruments</w:t>
      </w:r>
    </w:p>
    <w:p w14:paraId="074A0BEF" w14:textId="77777777" w:rsidR="003A08EE" w:rsidRPr="009154BA" w:rsidRDefault="003A08EE" w:rsidP="009154BA">
      <w:pPr>
        <w:numPr>
          <w:ilvl w:val="0"/>
          <w:numId w:val="5"/>
        </w:numPr>
        <w:jc w:val="both"/>
        <w:rPr>
          <w:rFonts w:ascii="Times New Roman" w:hAnsi="Times New Roman" w:cs="Times New Roman"/>
          <w:sz w:val="24"/>
          <w:szCs w:val="24"/>
        </w:rPr>
      </w:pPr>
      <w:r w:rsidRPr="009154BA">
        <w:rPr>
          <w:rFonts w:ascii="Times New Roman" w:hAnsi="Times New Roman" w:cs="Times New Roman"/>
          <w:sz w:val="24"/>
          <w:szCs w:val="24"/>
        </w:rPr>
        <w:t>Replacing short-term credit lines with longer-tenor facilities</w:t>
      </w:r>
    </w:p>
    <w:p w14:paraId="3EB88BD8" w14:textId="56AF71D6"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Debt restructuring can restore cash-flow stability and reduce financial risk. Literature shows that firms approaching distress benefit significantly from refinancing that lowers interest burdens and spreads repayment over longer horizons </w:t>
      </w:r>
      <w:r w:rsidR="00297A56" w:rsidRPr="009154BA">
        <w:rPr>
          <w:rFonts w:ascii="Times New Roman" w:hAnsi="Times New Roman" w:cs="Times New Roman"/>
          <w:sz w:val="24"/>
          <w:szCs w:val="24"/>
        </w:rPr>
        <w:t xml:space="preserve">(Anton and </w:t>
      </w:r>
      <w:proofErr w:type="spellStart"/>
      <w:r w:rsidR="00297A56" w:rsidRPr="009154BA">
        <w:rPr>
          <w:rFonts w:ascii="Times New Roman" w:hAnsi="Times New Roman" w:cs="Times New Roman"/>
          <w:sz w:val="24"/>
          <w:szCs w:val="24"/>
        </w:rPr>
        <w:t>Nucu</w:t>
      </w:r>
      <w:proofErr w:type="spellEnd"/>
      <w:r w:rsidR="00297A56" w:rsidRPr="009154BA">
        <w:rPr>
          <w:rFonts w:ascii="Times New Roman" w:hAnsi="Times New Roman" w:cs="Times New Roman"/>
          <w:sz w:val="24"/>
          <w:szCs w:val="24"/>
        </w:rPr>
        <w:t>, 2020)</w:t>
      </w:r>
      <w:r w:rsidRPr="009154BA">
        <w:rPr>
          <w:rFonts w:ascii="Times New Roman" w:hAnsi="Times New Roman" w:cs="Times New Roman"/>
          <w:sz w:val="24"/>
          <w:szCs w:val="24"/>
        </w:rPr>
        <w:t>.</w:t>
      </w:r>
    </w:p>
    <w:p w14:paraId="48D9A3E7"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4.2.4 Strategic Merger or Joint Venture</w:t>
      </w:r>
    </w:p>
    <w:p w14:paraId="6071A4DD"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 merger or strategic alliance with a technologically advanced competitor or component manufacturer can deliver operating synergies. Benefits may include:</w:t>
      </w:r>
    </w:p>
    <w:p w14:paraId="02CEAB39" w14:textId="77777777" w:rsidR="003A08EE" w:rsidRPr="009154BA" w:rsidRDefault="003A08EE" w:rsidP="009154BA">
      <w:pPr>
        <w:numPr>
          <w:ilvl w:val="0"/>
          <w:numId w:val="6"/>
        </w:numPr>
        <w:jc w:val="both"/>
        <w:rPr>
          <w:rFonts w:ascii="Times New Roman" w:hAnsi="Times New Roman" w:cs="Times New Roman"/>
          <w:sz w:val="24"/>
          <w:szCs w:val="24"/>
        </w:rPr>
      </w:pPr>
      <w:r w:rsidRPr="009154BA">
        <w:rPr>
          <w:rFonts w:ascii="Times New Roman" w:hAnsi="Times New Roman" w:cs="Times New Roman"/>
          <w:sz w:val="24"/>
          <w:szCs w:val="24"/>
        </w:rPr>
        <w:t>Supply-chain integration</w:t>
      </w:r>
    </w:p>
    <w:p w14:paraId="4D8B63A0" w14:textId="77777777" w:rsidR="003A08EE" w:rsidRPr="009154BA" w:rsidRDefault="003A08EE" w:rsidP="009154BA">
      <w:pPr>
        <w:numPr>
          <w:ilvl w:val="0"/>
          <w:numId w:val="6"/>
        </w:numPr>
        <w:jc w:val="both"/>
        <w:rPr>
          <w:rFonts w:ascii="Times New Roman" w:hAnsi="Times New Roman" w:cs="Times New Roman"/>
          <w:sz w:val="24"/>
          <w:szCs w:val="24"/>
        </w:rPr>
      </w:pPr>
      <w:r w:rsidRPr="009154BA">
        <w:rPr>
          <w:rFonts w:ascii="Times New Roman" w:hAnsi="Times New Roman" w:cs="Times New Roman"/>
          <w:sz w:val="24"/>
          <w:szCs w:val="24"/>
        </w:rPr>
        <w:t>Lower procurement costs</w:t>
      </w:r>
    </w:p>
    <w:p w14:paraId="7779DAA0" w14:textId="77777777" w:rsidR="003A08EE" w:rsidRPr="009154BA" w:rsidRDefault="003A08EE" w:rsidP="009154BA">
      <w:pPr>
        <w:numPr>
          <w:ilvl w:val="0"/>
          <w:numId w:val="6"/>
        </w:numPr>
        <w:jc w:val="both"/>
        <w:rPr>
          <w:rFonts w:ascii="Times New Roman" w:hAnsi="Times New Roman" w:cs="Times New Roman"/>
          <w:sz w:val="24"/>
          <w:szCs w:val="24"/>
        </w:rPr>
      </w:pPr>
      <w:r w:rsidRPr="009154BA">
        <w:rPr>
          <w:rFonts w:ascii="Times New Roman" w:hAnsi="Times New Roman" w:cs="Times New Roman"/>
          <w:sz w:val="24"/>
          <w:szCs w:val="24"/>
        </w:rPr>
        <w:t>Enhanced product innovation</w:t>
      </w:r>
    </w:p>
    <w:p w14:paraId="18C51361" w14:textId="77777777" w:rsidR="003A08EE" w:rsidRPr="009154BA" w:rsidRDefault="003A08EE" w:rsidP="009154BA">
      <w:pPr>
        <w:numPr>
          <w:ilvl w:val="0"/>
          <w:numId w:val="6"/>
        </w:numPr>
        <w:jc w:val="both"/>
        <w:rPr>
          <w:rFonts w:ascii="Times New Roman" w:hAnsi="Times New Roman" w:cs="Times New Roman"/>
          <w:sz w:val="24"/>
          <w:szCs w:val="24"/>
        </w:rPr>
      </w:pPr>
      <w:r w:rsidRPr="009154BA">
        <w:rPr>
          <w:rFonts w:ascii="Times New Roman" w:hAnsi="Times New Roman" w:cs="Times New Roman"/>
          <w:sz w:val="24"/>
          <w:szCs w:val="24"/>
        </w:rPr>
        <w:t>Shared R&amp;D expenditure</w:t>
      </w:r>
    </w:p>
    <w:p w14:paraId="5B852F67" w14:textId="77777777" w:rsidR="003A08EE" w:rsidRPr="009154BA" w:rsidRDefault="003A08EE" w:rsidP="009154BA">
      <w:pPr>
        <w:numPr>
          <w:ilvl w:val="0"/>
          <w:numId w:val="6"/>
        </w:numPr>
        <w:jc w:val="both"/>
        <w:rPr>
          <w:rFonts w:ascii="Times New Roman" w:hAnsi="Times New Roman" w:cs="Times New Roman"/>
          <w:sz w:val="24"/>
          <w:szCs w:val="24"/>
        </w:rPr>
      </w:pPr>
      <w:r w:rsidRPr="009154BA">
        <w:rPr>
          <w:rFonts w:ascii="Times New Roman" w:hAnsi="Times New Roman" w:cs="Times New Roman"/>
          <w:sz w:val="24"/>
          <w:szCs w:val="24"/>
        </w:rPr>
        <w:t>Access to new markets</w:t>
      </w:r>
    </w:p>
    <w:p w14:paraId="1F7860FB"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lastRenderedPageBreak/>
        <w:t>Such partnerships can particularly reduce inventory and receivables pressure through streamlined production and distribution structures. Mergers also support scale advantages critical for global electronics firms operating under thin margins.</w:t>
      </w:r>
    </w:p>
    <w:p w14:paraId="682D3980"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4.2.5 Operational Cost Restructuring</w:t>
      </w:r>
    </w:p>
    <w:p w14:paraId="2A03C5CF"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Although not purely financial, operational restructuring is critical for reducing operating expenses and improving EBIT. Measures include:</w:t>
      </w:r>
    </w:p>
    <w:p w14:paraId="6DC855A9" w14:textId="77777777" w:rsidR="003A08EE" w:rsidRPr="009154BA" w:rsidRDefault="003A08EE" w:rsidP="009154BA">
      <w:pPr>
        <w:numPr>
          <w:ilvl w:val="0"/>
          <w:numId w:val="7"/>
        </w:numPr>
        <w:jc w:val="both"/>
        <w:rPr>
          <w:rFonts w:ascii="Times New Roman" w:hAnsi="Times New Roman" w:cs="Times New Roman"/>
          <w:sz w:val="24"/>
          <w:szCs w:val="24"/>
        </w:rPr>
      </w:pPr>
      <w:r w:rsidRPr="009154BA">
        <w:rPr>
          <w:rFonts w:ascii="Times New Roman" w:hAnsi="Times New Roman" w:cs="Times New Roman"/>
          <w:sz w:val="24"/>
          <w:szCs w:val="24"/>
        </w:rPr>
        <w:t>Workforce optimisation (ethically managed)</w:t>
      </w:r>
    </w:p>
    <w:p w14:paraId="398B2ED4" w14:textId="77777777" w:rsidR="003A08EE" w:rsidRPr="009154BA" w:rsidRDefault="003A08EE" w:rsidP="009154BA">
      <w:pPr>
        <w:numPr>
          <w:ilvl w:val="0"/>
          <w:numId w:val="7"/>
        </w:numPr>
        <w:jc w:val="both"/>
        <w:rPr>
          <w:rFonts w:ascii="Times New Roman" w:hAnsi="Times New Roman" w:cs="Times New Roman"/>
          <w:sz w:val="24"/>
          <w:szCs w:val="24"/>
        </w:rPr>
      </w:pPr>
      <w:r w:rsidRPr="009154BA">
        <w:rPr>
          <w:rFonts w:ascii="Times New Roman" w:hAnsi="Times New Roman" w:cs="Times New Roman"/>
          <w:sz w:val="24"/>
          <w:szCs w:val="24"/>
        </w:rPr>
        <w:t>Outsourcing of low-value activities</w:t>
      </w:r>
    </w:p>
    <w:p w14:paraId="2B904D5D" w14:textId="77777777" w:rsidR="003A08EE" w:rsidRPr="009154BA" w:rsidRDefault="003A08EE" w:rsidP="009154BA">
      <w:pPr>
        <w:numPr>
          <w:ilvl w:val="0"/>
          <w:numId w:val="7"/>
        </w:numPr>
        <w:jc w:val="both"/>
        <w:rPr>
          <w:rFonts w:ascii="Times New Roman" w:hAnsi="Times New Roman" w:cs="Times New Roman"/>
          <w:sz w:val="24"/>
          <w:szCs w:val="24"/>
        </w:rPr>
      </w:pPr>
      <w:r w:rsidRPr="009154BA">
        <w:rPr>
          <w:rFonts w:ascii="Times New Roman" w:hAnsi="Times New Roman" w:cs="Times New Roman"/>
          <w:sz w:val="24"/>
          <w:szCs w:val="24"/>
        </w:rPr>
        <w:t>Renegotiation of supplier contracts</w:t>
      </w:r>
    </w:p>
    <w:p w14:paraId="59F4B429" w14:textId="77777777" w:rsidR="003A08EE" w:rsidRPr="009154BA" w:rsidRDefault="003A08EE" w:rsidP="009154BA">
      <w:pPr>
        <w:numPr>
          <w:ilvl w:val="0"/>
          <w:numId w:val="7"/>
        </w:numPr>
        <w:jc w:val="both"/>
        <w:rPr>
          <w:rFonts w:ascii="Times New Roman" w:hAnsi="Times New Roman" w:cs="Times New Roman"/>
          <w:sz w:val="24"/>
          <w:szCs w:val="24"/>
        </w:rPr>
      </w:pPr>
      <w:r w:rsidRPr="009154BA">
        <w:rPr>
          <w:rFonts w:ascii="Times New Roman" w:hAnsi="Times New Roman" w:cs="Times New Roman"/>
          <w:sz w:val="24"/>
          <w:szCs w:val="24"/>
        </w:rPr>
        <w:t>Consolidation of manufacturing sites</w:t>
      </w:r>
    </w:p>
    <w:p w14:paraId="1BB07EC2" w14:textId="77777777" w:rsidR="003A08EE" w:rsidRPr="009154BA" w:rsidRDefault="003A08EE" w:rsidP="009154BA">
      <w:pPr>
        <w:numPr>
          <w:ilvl w:val="0"/>
          <w:numId w:val="7"/>
        </w:numPr>
        <w:jc w:val="both"/>
        <w:rPr>
          <w:rFonts w:ascii="Times New Roman" w:hAnsi="Times New Roman" w:cs="Times New Roman"/>
          <w:sz w:val="24"/>
          <w:szCs w:val="24"/>
        </w:rPr>
      </w:pPr>
      <w:r w:rsidRPr="009154BA">
        <w:rPr>
          <w:rFonts w:ascii="Times New Roman" w:hAnsi="Times New Roman" w:cs="Times New Roman"/>
          <w:sz w:val="24"/>
          <w:szCs w:val="24"/>
        </w:rPr>
        <w:t>Adoption of AI-driven automation to lower production waste</w:t>
      </w:r>
    </w:p>
    <w:p w14:paraId="5CFBA799"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Operational restructuring should run parallel with financial reforms to ensure long-term viability.</w:t>
      </w:r>
    </w:p>
    <w:p w14:paraId="19A4F8E5" w14:textId="77777777" w:rsidR="003A08EE" w:rsidRPr="009154BA" w:rsidRDefault="003A08EE" w:rsidP="00D35018">
      <w:pPr>
        <w:pStyle w:val="Heading2"/>
      </w:pPr>
      <w:bookmarkStart w:id="18" w:name="_Toc214355517"/>
      <w:r w:rsidRPr="009154BA">
        <w:t>4.3 Impact on Shareholder Value, Debt Structure and Flexibility</w:t>
      </w:r>
      <w:bookmarkEnd w:id="18"/>
    </w:p>
    <w:p w14:paraId="68ED3AC9"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4.3.1 Impact on Shareholder Value</w:t>
      </w:r>
    </w:p>
    <w:p w14:paraId="6FF529CD"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The combined restructuring actions aim to restore shareholder value through:</w:t>
      </w:r>
    </w:p>
    <w:p w14:paraId="2B51962F" w14:textId="77777777" w:rsidR="003A08EE" w:rsidRPr="009154BA" w:rsidRDefault="003A08EE" w:rsidP="009154BA">
      <w:pPr>
        <w:numPr>
          <w:ilvl w:val="0"/>
          <w:numId w:val="8"/>
        </w:numPr>
        <w:jc w:val="both"/>
        <w:rPr>
          <w:rFonts w:ascii="Times New Roman" w:hAnsi="Times New Roman" w:cs="Times New Roman"/>
          <w:sz w:val="24"/>
          <w:szCs w:val="24"/>
        </w:rPr>
      </w:pPr>
      <w:r w:rsidRPr="009154BA">
        <w:rPr>
          <w:rFonts w:ascii="Times New Roman" w:hAnsi="Times New Roman" w:cs="Times New Roman"/>
          <w:sz w:val="24"/>
          <w:szCs w:val="24"/>
        </w:rPr>
        <w:t>Improved profitability via cost rationalisation</w:t>
      </w:r>
    </w:p>
    <w:p w14:paraId="73FB5486" w14:textId="77777777" w:rsidR="003A08EE" w:rsidRPr="009154BA" w:rsidRDefault="003A08EE" w:rsidP="009154BA">
      <w:pPr>
        <w:numPr>
          <w:ilvl w:val="0"/>
          <w:numId w:val="8"/>
        </w:numPr>
        <w:jc w:val="both"/>
        <w:rPr>
          <w:rFonts w:ascii="Times New Roman" w:hAnsi="Times New Roman" w:cs="Times New Roman"/>
          <w:sz w:val="24"/>
          <w:szCs w:val="24"/>
        </w:rPr>
      </w:pPr>
      <w:r w:rsidRPr="009154BA">
        <w:rPr>
          <w:rFonts w:ascii="Times New Roman" w:hAnsi="Times New Roman" w:cs="Times New Roman"/>
          <w:sz w:val="24"/>
          <w:szCs w:val="24"/>
        </w:rPr>
        <w:t>Higher EPS over time through margin recovery</w:t>
      </w:r>
    </w:p>
    <w:p w14:paraId="0BE69584" w14:textId="77777777" w:rsidR="003A08EE" w:rsidRPr="009154BA" w:rsidRDefault="003A08EE" w:rsidP="009154BA">
      <w:pPr>
        <w:numPr>
          <w:ilvl w:val="0"/>
          <w:numId w:val="8"/>
        </w:numPr>
        <w:jc w:val="both"/>
        <w:rPr>
          <w:rFonts w:ascii="Times New Roman" w:hAnsi="Times New Roman" w:cs="Times New Roman"/>
          <w:sz w:val="24"/>
          <w:szCs w:val="24"/>
        </w:rPr>
      </w:pPr>
      <w:r w:rsidRPr="009154BA">
        <w:rPr>
          <w:rFonts w:ascii="Times New Roman" w:hAnsi="Times New Roman" w:cs="Times New Roman"/>
          <w:sz w:val="24"/>
          <w:szCs w:val="24"/>
        </w:rPr>
        <w:t>Enhanced equity valuation due to strengthened solvency</w:t>
      </w:r>
    </w:p>
    <w:p w14:paraId="28028DBF" w14:textId="77777777" w:rsidR="003A08EE" w:rsidRPr="009154BA" w:rsidRDefault="003A08EE" w:rsidP="009154BA">
      <w:pPr>
        <w:numPr>
          <w:ilvl w:val="0"/>
          <w:numId w:val="8"/>
        </w:numPr>
        <w:jc w:val="both"/>
        <w:rPr>
          <w:rFonts w:ascii="Times New Roman" w:hAnsi="Times New Roman" w:cs="Times New Roman"/>
          <w:sz w:val="24"/>
          <w:szCs w:val="24"/>
        </w:rPr>
      </w:pPr>
      <w:r w:rsidRPr="009154BA">
        <w:rPr>
          <w:rFonts w:ascii="Times New Roman" w:hAnsi="Times New Roman" w:cs="Times New Roman"/>
          <w:sz w:val="24"/>
          <w:szCs w:val="24"/>
        </w:rPr>
        <w:t>Renewed investor confidence driven by stable cash flows</w:t>
      </w:r>
    </w:p>
    <w:p w14:paraId="050492FC" w14:textId="7E076665"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Although equity issuance dilutes existing ownership, divestitures and cost reductions improve future value creation, offsetting the dilution effect. Academic evidence suggests that restructuring increases long-term shareholder wealth when accompanied by operational improvements (</w:t>
      </w:r>
      <w:r w:rsidR="008A0433" w:rsidRPr="009154BA">
        <w:rPr>
          <w:rFonts w:ascii="Times New Roman" w:hAnsi="Times New Roman" w:cs="Times New Roman"/>
          <w:sz w:val="24"/>
          <w:szCs w:val="24"/>
        </w:rPr>
        <w:t>Osborne, 2010</w:t>
      </w:r>
      <w:r w:rsidRPr="009154BA">
        <w:rPr>
          <w:rFonts w:ascii="Times New Roman" w:hAnsi="Times New Roman" w:cs="Times New Roman"/>
          <w:sz w:val="24"/>
          <w:szCs w:val="24"/>
        </w:rPr>
        <w:t>).</w:t>
      </w:r>
    </w:p>
    <w:p w14:paraId="1B8782AC"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4.3.2 Impact on Debt Structure</w:t>
      </w:r>
    </w:p>
    <w:p w14:paraId="38ACD202"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 restructuring plan that replaces short-term facilities with long-term instruments stabilises the firm’s debt profile. Key benefits include:</w:t>
      </w:r>
    </w:p>
    <w:p w14:paraId="5901622E" w14:textId="77777777" w:rsidR="003A08EE" w:rsidRPr="009154BA" w:rsidRDefault="003A08EE" w:rsidP="009154BA">
      <w:pPr>
        <w:numPr>
          <w:ilvl w:val="0"/>
          <w:numId w:val="9"/>
        </w:numPr>
        <w:jc w:val="both"/>
        <w:rPr>
          <w:rFonts w:ascii="Times New Roman" w:hAnsi="Times New Roman" w:cs="Times New Roman"/>
          <w:sz w:val="24"/>
          <w:szCs w:val="24"/>
        </w:rPr>
      </w:pPr>
      <w:r w:rsidRPr="009154BA">
        <w:rPr>
          <w:rFonts w:ascii="Times New Roman" w:hAnsi="Times New Roman" w:cs="Times New Roman"/>
          <w:sz w:val="24"/>
          <w:szCs w:val="24"/>
        </w:rPr>
        <w:t>Reduced likelihood of liquidity crises</w:t>
      </w:r>
    </w:p>
    <w:p w14:paraId="2520552E" w14:textId="77777777" w:rsidR="003A08EE" w:rsidRPr="009154BA" w:rsidRDefault="003A08EE" w:rsidP="009154BA">
      <w:pPr>
        <w:numPr>
          <w:ilvl w:val="0"/>
          <w:numId w:val="9"/>
        </w:numPr>
        <w:jc w:val="both"/>
        <w:rPr>
          <w:rFonts w:ascii="Times New Roman" w:hAnsi="Times New Roman" w:cs="Times New Roman"/>
          <w:sz w:val="24"/>
          <w:szCs w:val="24"/>
        </w:rPr>
      </w:pPr>
      <w:r w:rsidRPr="009154BA">
        <w:rPr>
          <w:rFonts w:ascii="Times New Roman" w:hAnsi="Times New Roman" w:cs="Times New Roman"/>
          <w:sz w:val="24"/>
          <w:szCs w:val="24"/>
        </w:rPr>
        <w:t>Lower interest burdens (post-negotiation)</w:t>
      </w:r>
    </w:p>
    <w:p w14:paraId="647090B6" w14:textId="77777777" w:rsidR="003A08EE" w:rsidRPr="009154BA" w:rsidRDefault="003A08EE" w:rsidP="009154BA">
      <w:pPr>
        <w:numPr>
          <w:ilvl w:val="0"/>
          <w:numId w:val="9"/>
        </w:numPr>
        <w:jc w:val="both"/>
        <w:rPr>
          <w:rFonts w:ascii="Times New Roman" w:hAnsi="Times New Roman" w:cs="Times New Roman"/>
          <w:sz w:val="24"/>
          <w:szCs w:val="24"/>
        </w:rPr>
      </w:pPr>
      <w:r w:rsidRPr="009154BA">
        <w:rPr>
          <w:rFonts w:ascii="Times New Roman" w:hAnsi="Times New Roman" w:cs="Times New Roman"/>
          <w:sz w:val="24"/>
          <w:szCs w:val="24"/>
        </w:rPr>
        <w:t>Better alignment between debt maturities and asset lives</w:t>
      </w:r>
    </w:p>
    <w:p w14:paraId="4D6C8F80" w14:textId="77777777" w:rsidR="003A08EE" w:rsidRPr="009154BA" w:rsidRDefault="003A08EE" w:rsidP="009154BA">
      <w:pPr>
        <w:numPr>
          <w:ilvl w:val="0"/>
          <w:numId w:val="9"/>
        </w:numPr>
        <w:jc w:val="both"/>
        <w:rPr>
          <w:rFonts w:ascii="Times New Roman" w:hAnsi="Times New Roman" w:cs="Times New Roman"/>
          <w:sz w:val="24"/>
          <w:szCs w:val="24"/>
        </w:rPr>
      </w:pPr>
      <w:r w:rsidRPr="009154BA">
        <w:rPr>
          <w:rFonts w:ascii="Times New Roman" w:hAnsi="Times New Roman" w:cs="Times New Roman"/>
          <w:sz w:val="24"/>
          <w:szCs w:val="24"/>
        </w:rPr>
        <w:lastRenderedPageBreak/>
        <w:t>Enhanced compliance with lender covenants</w:t>
      </w:r>
    </w:p>
    <w:p w14:paraId="58CA053A" w14:textId="17839C61"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The improved debt structure will also raise the firm’s Altman Z-Score over time, reducing default probability (Altman, 2018; </w:t>
      </w:r>
      <w:proofErr w:type="spellStart"/>
      <w:r w:rsidR="00297A56" w:rsidRPr="009154BA">
        <w:rPr>
          <w:rFonts w:ascii="Times New Roman" w:hAnsi="Times New Roman" w:cs="Times New Roman"/>
          <w:sz w:val="24"/>
          <w:szCs w:val="24"/>
        </w:rPr>
        <w:t>Toudas</w:t>
      </w:r>
      <w:proofErr w:type="spellEnd"/>
      <w:r w:rsidR="00297A56" w:rsidRPr="009154BA">
        <w:rPr>
          <w:rFonts w:ascii="Times New Roman" w:hAnsi="Times New Roman" w:cs="Times New Roman"/>
          <w:sz w:val="24"/>
          <w:szCs w:val="24"/>
        </w:rPr>
        <w:t xml:space="preserve">, </w:t>
      </w:r>
      <w:proofErr w:type="spellStart"/>
      <w:r w:rsidR="00297A56" w:rsidRPr="009154BA">
        <w:rPr>
          <w:rFonts w:ascii="Times New Roman" w:hAnsi="Times New Roman" w:cs="Times New Roman"/>
          <w:sz w:val="24"/>
          <w:szCs w:val="24"/>
        </w:rPr>
        <w:t>Archontakis</w:t>
      </w:r>
      <w:proofErr w:type="spellEnd"/>
      <w:r w:rsidR="00297A56" w:rsidRPr="009154BA">
        <w:rPr>
          <w:rFonts w:ascii="Times New Roman" w:hAnsi="Times New Roman" w:cs="Times New Roman"/>
          <w:sz w:val="24"/>
          <w:szCs w:val="24"/>
        </w:rPr>
        <w:t xml:space="preserve"> and Boufounou, 2024</w:t>
      </w:r>
      <w:r w:rsidRPr="009154BA">
        <w:rPr>
          <w:rFonts w:ascii="Times New Roman" w:hAnsi="Times New Roman" w:cs="Times New Roman"/>
          <w:sz w:val="24"/>
          <w:szCs w:val="24"/>
        </w:rPr>
        <w:t>).</w:t>
      </w:r>
    </w:p>
    <w:p w14:paraId="59377935"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4.3.3 Impact on Operational Flexibility</w:t>
      </w:r>
    </w:p>
    <w:p w14:paraId="4031B8C0"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Divestitures, mergers and debt restructuring directly expand operational flexibility by:</w:t>
      </w:r>
    </w:p>
    <w:p w14:paraId="4E897710" w14:textId="77777777" w:rsidR="003A08EE" w:rsidRPr="009154BA" w:rsidRDefault="003A08EE" w:rsidP="009154BA">
      <w:pPr>
        <w:numPr>
          <w:ilvl w:val="0"/>
          <w:numId w:val="10"/>
        </w:numPr>
        <w:jc w:val="both"/>
        <w:rPr>
          <w:rFonts w:ascii="Times New Roman" w:hAnsi="Times New Roman" w:cs="Times New Roman"/>
          <w:sz w:val="24"/>
          <w:szCs w:val="24"/>
        </w:rPr>
      </w:pPr>
      <w:r w:rsidRPr="009154BA">
        <w:rPr>
          <w:rFonts w:ascii="Times New Roman" w:hAnsi="Times New Roman" w:cs="Times New Roman"/>
          <w:sz w:val="24"/>
          <w:szCs w:val="24"/>
        </w:rPr>
        <w:t>Freeing management capacity</w:t>
      </w:r>
    </w:p>
    <w:p w14:paraId="0AA98E70" w14:textId="77777777" w:rsidR="003A08EE" w:rsidRPr="009154BA" w:rsidRDefault="003A08EE" w:rsidP="009154BA">
      <w:pPr>
        <w:numPr>
          <w:ilvl w:val="0"/>
          <w:numId w:val="10"/>
        </w:numPr>
        <w:jc w:val="both"/>
        <w:rPr>
          <w:rFonts w:ascii="Times New Roman" w:hAnsi="Times New Roman" w:cs="Times New Roman"/>
          <w:sz w:val="24"/>
          <w:szCs w:val="24"/>
        </w:rPr>
      </w:pPr>
      <w:r w:rsidRPr="009154BA">
        <w:rPr>
          <w:rFonts w:ascii="Times New Roman" w:hAnsi="Times New Roman" w:cs="Times New Roman"/>
          <w:sz w:val="24"/>
          <w:szCs w:val="24"/>
        </w:rPr>
        <w:t>Releasing capital tied in non-core assets</w:t>
      </w:r>
    </w:p>
    <w:p w14:paraId="25CA0833" w14:textId="77777777" w:rsidR="003A08EE" w:rsidRPr="009154BA" w:rsidRDefault="003A08EE" w:rsidP="009154BA">
      <w:pPr>
        <w:numPr>
          <w:ilvl w:val="0"/>
          <w:numId w:val="10"/>
        </w:numPr>
        <w:jc w:val="both"/>
        <w:rPr>
          <w:rFonts w:ascii="Times New Roman" w:hAnsi="Times New Roman" w:cs="Times New Roman"/>
          <w:sz w:val="24"/>
          <w:szCs w:val="24"/>
        </w:rPr>
      </w:pPr>
      <w:r w:rsidRPr="009154BA">
        <w:rPr>
          <w:rFonts w:ascii="Times New Roman" w:hAnsi="Times New Roman" w:cs="Times New Roman"/>
          <w:sz w:val="24"/>
          <w:szCs w:val="24"/>
        </w:rPr>
        <w:t>Reducing fixed operating costs</w:t>
      </w:r>
    </w:p>
    <w:p w14:paraId="52A95821" w14:textId="77777777" w:rsidR="003A08EE" w:rsidRPr="009154BA" w:rsidRDefault="003A08EE" w:rsidP="009154BA">
      <w:pPr>
        <w:numPr>
          <w:ilvl w:val="0"/>
          <w:numId w:val="10"/>
        </w:numPr>
        <w:jc w:val="both"/>
        <w:rPr>
          <w:rFonts w:ascii="Times New Roman" w:hAnsi="Times New Roman" w:cs="Times New Roman"/>
          <w:sz w:val="24"/>
          <w:szCs w:val="24"/>
        </w:rPr>
      </w:pPr>
      <w:r w:rsidRPr="009154BA">
        <w:rPr>
          <w:rFonts w:ascii="Times New Roman" w:hAnsi="Times New Roman" w:cs="Times New Roman"/>
          <w:sz w:val="24"/>
          <w:szCs w:val="24"/>
        </w:rPr>
        <w:t>Increasing budget available for innovation and strategic growth</w:t>
      </w:r>
    </w:p>
    <w:p w14:paraId="45A6CE64"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Operational flexibility is essential in the competitive electronics market, where product cycles are short and technological disruption is frequent.</w:t>
      </w:r>
    </w:p>
    <w:p w14:paraId="5B3C2B73" w14:textId="77777777" w:rsidR="003A08EE" w:rsidRPr="009154BA" w:rsidRDefault="003A08EE" w:rsidP="0049751B">
      <w:pPr>
        <w:pStyle w:val="Heading2"/>
      </w:pPr>
      <w:bookmarkStart w:id="19" w:name="_Toc214355518"/>
      <w:r w:rsidRPr="009154BA">
        <w:t>4.4 International Considerations: Taxation, Currency and Inflation</w:t>
      </w:r>
      <w:bookmarkEnd w:id="19"/>
    </w:p>
    <w:p w14:paraId="2E5BBC43"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Taxation Effects</w:t>
      </w:r>
    </w:p>
    <w:p w14:paraId="105215E2" w14:textId="3B107F8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Restructuring activities</w:t>
      </w:r>
      <w:r w:rsidR="009154BA">
        <w:rPr>
          <w:rFonts w:ascii="Times New Roman" w:hAnsi="Times New Roman" w:cs="Times New Roman"/>
          <w:sz w:val="24"/>
          <w:szCs w:val="24"/>
        </w:rPr>
        <w:t xml:space="preserve"> </w:t>
      </w:r>
      <w:r w:rsidRPr="009154BA">
        <w:rPr>
          <w:rFonts w:ascii="Times New Roman" w:hAnsi="Times New Roman" w:cs="Times New Roman"/>
          <w:sz w:val="24"/>
          <w:szCs w:val="24"/>
        </w:rPr>
        <w:t>especially divestitures, mergers and asset disposals—have significant tax implications. The company must evaluate:</w:t>
      </w:r>
    </w:p>
    <w:p w14:paraId="381E33C7" w14:textId="77777777" w:rsidR="003A08EE" w:rsidRPr="009154BA" w:rsidRDefault="003A08EE" w:rsidP="009154BA">
      <w:pPr>
        <w:numPr>
          <w:ilvl w:val="0"/>
          <w:numId w:val="11"/>
        </w:numPr>
        <w:jc w:val="both"/>
        <w:rPr>
          <w:rFonts w:ascii="Times New Roman" w:hAnsi="Times New Roman" w:cs="Times New Roman"/>
          <w:sz w:val="24"/>
          <w:szCs w:val="24"/>
        </w:rPr>
      </w:pPr>
      <w:r w:rsidRPr="009154BA">
        <w:rPr>
          <w:rFonts w:ascii="Times New Roman" w:hAnsi="Times New Roman" w:cs="Times New Roman"/>
          <w:sz w:val="24"/>
          <w:szCs w:val="24"/>
        </w:rPr>
        <w:t>Capital gains taxation</w:t>
      </w:r>
    </w:p>
    <w:p w14:paraId="79B5275D" w14:textId="77777777" w:rsidR="003A08EE" w:rsidRPr="009154BA" w:rsidRDefault="003A08EE" w:rsidP="009154BA">
      <w:pPr>
        <w:numPr>
          <w:ilvl w:val="0"/>
          <w:numId w:val="11"/>
        </w:numPr>
        <w:jc w:val="both"/>
        <w:rPr>
          <w:rFonts w:ascii="Times New Roman" w:hAnsi="Times New Roman" w:cs="Times New Roman"/>
          <w:sz w:val="24"/>
          <w:szCs w:val="24"/>
        </w:rPr>
      </w:pPr>
      <w:r w:rsidRPr="009154BA">
        <w:rPr>
          <w:rFonts w:ascii="Times New Roman" w:hAnsi="Times New Roman" w:cs="Times New Roman"/>
          <w:sz w:val="24"/>
          <w:szCs w:val="24"/>
        </w:rPr>
        <w:t>Loss carry-forward rules (useful to offset future profits)</w:t>
      </w:r>
    </w:p>
    <w:p w14:paraId="35B42554" w14:textId="77777777" w:rsidR="003A08EE" w:rsidRPr="009154BA" w:rsidRDefault="003A08EE" w:rsidP="009154BA">
      <w:pPr>
        <w:numPr>
          <w:ilvl w:val="0"/>
          <w:numId w:val="11"/>
        </w:numPr>
        <w:jc w:val="both"/>
        <w:rPr>
          <w:rFonts w:ascii="Times New Roman" w:hAnsi="Times New Roman" w:cs="Times New Roman"/>
          <w:sz w:val="24"/>
          <w:szCs w:val="24"/>
        </w:rPr>
      </w:pPr>
      <w:r w:rsidRPr="009154BA">
        <w:rPr>
          <w:rFonts w:ascii="Times New Roman" w:hAnsi="Times New Roman" w:cs="Times New Roman"/>
          <w:sz w:val="24"/>
          <w:szCs w:val="24"/>
        </w:rPr>
        <w:t>Cross-border tax exposures in multinational markets</w:t>
      </w:r>
    </w:p>
    <w:p w14:paraId="5B08DBCF"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Optimising global tax structures can increase post-restructuring cash flow.</w:t>
      </w:r>
    </w:p>
    <w:p w14:paraId="7DE57B4C"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Currency Risk</w:t>
      </w:r>
    </w:p>
    <w:p w14:paraId="67B81069" w14:textId="52867A15"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As a multinational electronics seller, General Electronics is heavily exposed to exchange-rate fluctuations. Currency depreciation in key markets can reduce revenue in reporting currency terms. To mitigate risk, the firm should adopt hedging instruments, align costs with revenue currencies and use natural hedges through sourcing</w:t>
      </w:r>
      <w:r w:rsidR="006233D7" w:rsidRPr="009154BA">
        <w:rPr>
          <w:rFonts w:ascii="Times New Roman" w:hAnsi="Times New Roman" w:cs="Times New Roman"/>
          <w:sz w:val="24"/>
          <w:szCs w:val="24"/>
        </w:rPr>
        <w:t xml:space="preserve"> (</w:t>
      </w:r>
      <w:proofErr w:type="spellStart"/>
      <w:r w:rsidR="006233D7" w:rsidRPr="009154BA">
        <w:rPr>
          <w:rFonts w:ascii="Times New Roman" w:hAnsi="Times New Roman" w:cs="Times New Roman"/>
          <w:sz w:val="24"/>
          <w:szCs w:val="24"/>
        </w:rPr>
        <w:t>Braunsberger</w:t>
      </w:r>
      <w:proofErr w:type="spellEnd"/>
      <w:r w:rsidR="006233D7" w:rsidRPr="009154BA">
        <w:rPr>
          <w:rFonts w:ascii="Times New Roman" w:hAnsi="Times New Roman" w:cs="Times New Roman"/>
          <w:sz w:val="24"/>
          <w:szCs w:val="24"/>
        </w:rPr>
        <w:t xml:space="preserve"> and Aschauer, 2025)</w:t>
      </w:r>
      <w:r w:rsidRPr="009154BA">
        <w:rPr>
          <w:rFonts w:ascii="Times New Roman" w:hAnsi="Times New Roman" w:cs="Times New Roman"/>
          <w:sz w:val="24"/>
          <w:szCs w:val="24"/>
        </w:rPr>
        <w:t>.</w:t>
      </w:r>
    </w:p>
    <w:p w14:paraId="1B5A8B73"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Inflation</w:t>
      </w:r>
    </w:p>
    <w:p w14:paraId="7BA4858D"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High global inflation raises production costs, wage levels and logistics expenses. Inflation-linked pricing strategies, forward contracts and supply-chain renegotiation are necessary to control margin erosion.</w:t>
      </w:r>
    </w:p>
    <w:p w14:paraId="74658FAB" w14:textId="77777777" w:rsidR="003A08EE" w:rsidRPr="009154BA" w:rsidRDefault="003A08EE" w:rsidP="0049751B">
      <w:pPr>
        <w:pStyle w:val="Heading2"/>
      </w:pPr>
      <w:bookmarkStart w:id="20" w:name="_Toc214355519"/>
      <w:r w:rsidRPr="009154BA">
        <w:t>4.5 Ethical and CSR Considerations</w:t>
      </w:r>
      <w:bookmarkEnd w:id="20"/>
    </w:p>
    <w:p w14:paraId="774594BE"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Restructuring must be aligned with ethical standards and corporate social responsibility. Key considerations include:</w:t>
      </w:r>
    </w:p>
    <w:p w14:paraId="43684684" w14:textId="77777777" w:rsidR="003A08EE" w:rsidRPr="009154BA" w:rsidRDefault="003A08EE" w:rsidP="009154BA">
      <w:pPr>
        <w:numPr>
          <w:ilvl w:val="0"/>
          <w:numId w:val="12"/>
        </w:numPr>
        <w:jc w:val="both"/>
        <w:rPr>
          <w:rFonts w:ascii="Times New Roman" w:hAnsi="Times New Roman" w:cs="Times New Roman"/>
          <w:sz w:val="24"/>
          <w:szCs w:val="24"/>
        </w:rPr>
      </w:pPr>
      <w:r w:rsidRPr="009154BA">
        <w:rPr>
          <w:rFonts w:ascii="Times New Roman" w:hAnsi="Times New Roman" w:cs="Times New Roman"/>
          <w:b/>
          <w:bCs/>
          <w:sz w:val="24"/>
          <w:szCs w:val="24"/>
        </w:rPr>
        <w:lastRenderedPageBreak/>
        <w:t>Responsible workforce management</w:t>
      </w:r>
      <w:r w:rsidRPr="009154BA">
        <w:rPr>
          <w:rFonts w:ascii="Times New Roman" w:hAnsi="Times New Roman" w:cs="Times New Roman"/>
          <w:sz w:val="24"/>
          <w:szCs w:val="24"/>
        </w:rPr>
        <w:t>: Downsizing should be accompanied by retraining, fair severance and transparent communication.</w:t>
      </w:r>
    </w:p>
    <w:p w14:paraId="12661BC9" w14:textId="77777777" w:rsidR="003A08EE" w:rsidRPr="009154BA" w:rsidRDefault="003A08EE" w:rsidP="009154BA">
      <w:pPr>
        <w:numPr>
          <w:ilvl w:val="0"/>
          <w:numId w:val="12"/>
        </w:numPr>
        <w:jc w:val="both"/>
        <w:rPr>
          <w:rFonts w:ascii="Times New Roman" w:hAnsi="Times New Roman" w:cs="Times New Roman"/>
          <w:sz w:val="24"/>
          <w:szCs w:val="24"/>
        </w:rPr>
      </w:pPr>
      <w:r w:rsidRPr="009154BA">
        <w:rPr>
          <w:rFonts w:ascii="Times New Roman" w:hAnsi="Times New Roman" w:cs="Times New Roman"/>
          <w:b/>
          <w:bCs/>
          <w:sz w:val="24"/>
          <w:szCs w:val="24"/>
        </w:rPr>
        <w:t>Supplier fairness</w:t>
      </w:r>
      <w:r w:rsidRPr="009154BA">
        <w:rPr>
          <w:rFonts w:ascii="Times New Roman" w:hAnsi="Times New Roman" w:cs="Times New Roman"/>
          <w:sz w:val="24"/>
          <w:szCs w:val="24"/>
        </w:rPr>
        <w:t>: Payables extensions must not exploit smaller suppliers, consistent with CSR expectations.</w:t>
      </w:r>
    </w:p>
    <w:p w14:paraId="72449BB9" w14:textId="77777777" w:rsidR="003A08EE" w:rsidRPr="009154BA" w:rsidRDefault="003A08EE" w:rsidP="009154BA">
      <w:pPr>
        <w:numPr>
          <w:ilvl w:val="0"/>
          <w:numId w:val="12"/>
        </w:numPr>
        <w:jc w:val="both"/>
        <w:rPr>
          <w:rFonts w:ascii="Times New Roman" w:hAnsi="Times New Roman" w:cs="Times New Roman"/>
          <w:sz w:val="24"/>
          <w:szCs w:val="24"/>
        </w:rPr>
      </w:pPr>
      <w:r w:rsidRPr="009154BA">
        <w:rPr>
          <w:rFonts w:ascii="Times New Roman" w:hAnsi="Times New Roman" w:cs="Times New Roman"/>
          <w:b/>
          <w:bCs/>
          <w:sz w:val="24"/>
          <w:szCs w:val="24"/>
        </w:rPr>
        <w:t>Environmental commitments</w:t>
      </w:r>
      <w:r w:rsidRPr="009154BA">
        <w:rPr>
          <w:rFonts w:ascii="Times New Roman" w:hAnsi="Times New Roman" w:cs="Times New Roman"/>
          <w:sz w:val="24"/>
          <w:szCs w:val="24"/>
        </w:rPr>
        <w:t>: Restructuring should promote sustainable manufacturing practices and reduce waste.</w:t>
      </w:r>
    </w:p>
    <w:p w14:paraId="4D1700C4" w14:textId="77777777" w:rsidR="003A08EE" w:rsidRPr="009154BA" w:rsidRDefault="003A08EE" w:rsidP="009154BA">
      <w:pPr>
        <w:numPr>
          <w:ilvl w:val="0"/>
          <w:numId w:val="12"/>
        </w:numPr>
        <w:jc w:val="both"/>
        <w:rPr>
          <w:rFonts w:ascii="Times New Roman" w:hAnsi="Times New Roman" w:cs="Times New Roman"/>
          <w:sz w:val="24"/>
          <w:szCs w:val="24"/>
        </w:rPr>
      </w:pPr>
      <w:r w:rsidRPr="009154BA">
        <w:rPr>
          <w:rFonts w:ascii="Times New Roman" w:hAnsi="Times New Roman" w:cs="Times New Roman"/>
          <w:b/>
          <w:bCs/>
          <w:sz w:val="24"/>
          <w:szCs w:val="24"/>
        </w:rPr>
        <w:t>Data privacy and ethical technology use</w:t>
      </w:r>
      <w:r w:rsidRPr="009154BA">
        <w:rPr>
          <w:rFonts w:ascii="Times New Roman" w:hAnsi="Times New Roman" w:cs="Times New Roman"/>
          <w:sz w:val="24"/>
          <w:szCs w:val="24"/>
        </w:rPr>
        <w:t>: As the firm enhances digital supply chain systems, ethical standards must guide data usage.</w:t>
      </w:r>
    </w:p>
    <w:p w14:paraId="65069C29" w14:textId="16236149" w:rsidR="003A08EE" w:rsidRPr="009154BA" w:rsidRDefault="003A08EE" w:rsidP="009154BA">
      <w:pPr>
        <w:pStyle w:val="Heading1"/>
      </w:pPr>
      <w:bookmarkStart w:id="21" w:name="_Toc214355520"/>
      <w:r w:rsidRPr="009154BA">
        <w:t>5. Investment Appraisal and Capital Budgeting</w:t>
      </w:r>
      <w:bookmarkEnd w:id="21"/>
    </w:p>
    <w:p w14:paraId="0E8535BE" w14:textId="71BE2DDE" w:rsidR="003A08EE" w:rsidRPr="009154BA" w:rsidRDefault="00090A1B" w:rsidP="009154BA">
      <w:pPr>
        <w:jc w:val="both"/>
        <w:rPr>
          <w:rFonts w:ascii="Times New Roman" w:hAnsi="Times New Roman" w:cs="Times New Roman"/>
          <w:sz w:val="24"/>
          <w:szCs w:val="24"/>
        </w:rPr>
      </w:pPr>
      <w:r w:rsidRPr="00090A1B">
        <w:rPr>
          <w:rFonts w:ascii="Times New Roman" w:hAnsi="Times New Roman" w:cs="Times New Roman"/>
          <w:sz w:val="24"/>
          <w:szCs w:val="24"/>
        </w:rPr>
        <w:t>The process of capital budgeting plays a very large role when it comes to identifying which projects move a firm that is in distress. In the situation of General Electronics, current liquidity constraints, negative profitability and more stringent working capital conditions require that investment decisions be made based on thorough quantitative analysis and in line with organisations turnaround goals. This section hence undertakes a review of three suggested proposed investment opportunities through Payback Period (PBP), Accounting rate of return (ARR), Net Present Value (NPV), Profitability Index (PI), and Internal rate of return (IRR). All the calculations will be made assuming a cost of capital of 10 0. -86 and straight-line depreciation to zero in a period of five years</w:t>
      </w:r>
      <w:r>
        <w:rPr>
          <w:rFonts w:ascii="Times New Roman" w:hAnsi="Times New Roman" w:cs="Times New Roman"/>
          <w:sz w:val="24"/>
          <w:szCs w:val="24"/>
        </w:rPr>
        <w:t xml:space="preserve"> </w:t>
      </w:r>
      <w:r w:rsidR="0030224A" w:rsidRPr="009154BA">
        <w:rPr>
          <w:rFonts w:ascii="Times New Roman" w:hAnsi="Times New Roman" w:cs="Times New Roman"/>
          <w:sz w:val="24"/>
          <w:szCs w:val="24"/>
        </w:rPr>
        <w:t xml:space="preserve">(Ramli, Latan and </w:t>
      </w:r>
      <w:proofErr w:type="spellStart"/>
      <w:r w:rsidR="0030224A" w:rsidRPr="009154BA">
        <w:rPr>
          <w:rFonts w:ascii="Times New Roman" w:hAnsi="Times New Roman" w:cs="Times New Roman"/>
          <w:sz w:val="24"/>
          <w:szCs w:val="24"/>
        </w:rPr>
        <w:t>Solovida</w:t>
      </w:r>
      <w:proofErr w:type="spellEnd"/>
      <w:r w:rsidR="0030224A" w:rsidRPr="009154BA">
        <w:rPr>
          <w:rFonts w:ascii="Times New Roman" w:hAnsi="Times New Roman" w:cs="Times New Roman"/>
          <w:sz w:val="24"/>
          <w:szCs w:val="24"/>
        </w:rPr>
        <w:t>, 2018)</w:t>
      </w:r>
      <w:r w:rsidR="003A08EE" w:rsidRPr="009154BA">
        <w:rPr>
          <w:rFonts w:ascii="Times New Roman" w:hAnsi="Times New Roman" w:cs="Times New Roman"/>
          <w:sz w:val="24"/>
          <w:szCs w:val="24"/>
        </w:rPr>
        <w:t>.</w:t>
      </w:r>
    </w:p>
    <w:p w14:paraId="62FB795F" w14:textId="77777777" w:rsidR="003A08EE" w:rsidRPr="009154BA" w:rsidRDefault="003A08EE" w:rsidP="00704659">
      <w:pPr>
        <w:pStyle w:val="Heading2"/>
      </w:pPr>
      <w:bookmarkStart w:id="22" w:name="_Toc214355521"/>
      <w:r w:rsidRPr="009154BA">
        <w:t>5.1 Project Cash Flow Overview</w:t>
      </w:r>
      <w:bookmarkEnd w:id="22"/>
    </w:p>
    <w:p w14:paraId="646C1C95"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A</w:t>
      </w:r>
    </w:p>
    <w:p w14:paraId="22916FA0" w14:textId="77777777" w:rsidR="003A08EE" w:rsidRPr="009154BA" w:rsidRDefault="003A08EE" w:rsidP="009154BA">
      <w:pPr>
        <w:numPr>
          <w:ilvl w:val="0"/>
          <w:numId w:val="13"/>
        </w:numPr>
        <w:jc w:val="both"/>
        <w:rPr>
          <w:rFonts w:ascii="Times New Roman" w:hAnsi="Times New Roman" w:cs="Times New Roman"/>
          <w:sz w:val="24"/>
          <w:szCs w:val="24"/>
        </w:rPr>
      </w:pPr>
      <w:r w:rsidRPr="009154BA">
        <w:rPr>
          <w:rFonts w:ascii="Times New Roman" w:hAnsi="Times New Roman" w:cs="Times New Roman"/>
          <w:sz w:val="24"/>
          <w:szCs w:val="24"/>
        </w:rPr>
        <w:t>Initial investment: £40m</w:t>
      </w:r>
    </w:p>
    <w:p w14:paraId="40740B64" w14:textId="77777777" w:rsidR="003A08EE" w:rsidRPr="009154BA" w:rsidRDefault="003A08EE" w:rsidP="009154BA">
      <w:pPr>
        <w:numPr>
          <w:ilvl w:val="0"/>
          <w:numId w:val="13"/>
        </w:numPr>
        <w:jc w:val="both"/>
        <w:rPr>
          <w:rFonts w:ascii="Times New Roman" w:hAnsi="Times New Roman" w:cs="Times New Roman"/>
          <w:sz w:val="24"/>
          <w:szCs w:val="24"/>
        </w:rPr>
      </w:pPr>
      <w:r w:rsidRPr="009154BA">
        <w:rPr>
          <w:rFonts w:ascii="Times New Roman" w:hAnsi="Times New Roman" w:cs="Times New Roman"/>
          <w:sz w:val="24"/>
          <w:szCs w:val="24"/>
        </w:rPr>
        <w:t>Cash inflows (Y1–Y5): £10m, £12m, £14m, £10m, £8m</w:t>
      </w:r>
    </w:p>
    <w:p w14:paraId="3EE5D2FF" w14:textId="77777777" w:rsidR="003A08EE" w:rsidRPr="009154BA" w:rsidRDefault="003A08EE" w:rsidP="009154BA">
      <w:pPr>
        <w:numPr>
          <w:ilvl w:val="0"/>
          <w:numId w:val="13"/>
        </w:numPr>
        <w:jc w:val="both"/>
        <w:rPr>
          <w:rFonts w:ascii="Times New Roman" w:hAnsi="Times New Roman" w:cs="Times New Roman"/>
          <w:sz w:val="24"/>
          <w:szCs w:val="24"/>
        </w:rPr>
      </w:pPr>
      <w:r w:rsidRPr="009154BA">
        <w:rPr>
          <w:rFonts w:ascii="Times New Roman" w:hAnsi="Times New Roman" w:cs="Times New Roman"/>
          <w:sz w:val="24"/>
          <w:szCs w:val="24"/>
        </w:rPr>
        <w:t>Total inflows: £54m</w:t>
      </w:r>
    </w:p>
    <w:p w14:paraId="11DC480C"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B</w:t>
      </w:r>
    </w:p>
    <w:p w14:paraId="4AC4ABCE" w14:textId="77777777" w:rsidR="003A08EE" w:rsidRPr="009154BA" w:rsidRDefault="003A08EE" w:rsidP="009154BA">
      <w:pPr>
        <w:numPr>
          <w:ilvl w:val="0"/>
          <w:numId w:val="14"/>
        </w:numPr>
        <w:jc w:val="both"/>
        <w:rPr>
          <w:rFonts w:ascii="Times New Roman" w:hAnsi="Times New Roman" w:cs="Times New Roman"/>
          <w:sz w:val="24"/>
          <w:szCs w:val="24"/>
        </w:rPr>
      </w:pPr>
      <w:r w:rsidRPr="009154BA">
        <w:rPr>
          <w:rFonts w:ascii="Times New Roman" w:hAnsi="Times New Roman" w:cs="Times New Roman"/>
          <w:sz w:val="24"/>
          <w:szCs w:val="24"/>
        </w:rPr>
        <w:t>Initial investment: £30m</w:t>
      </w:r>
    </w:p>
    <w:p w14:paraId="75FFE78F" w14:textId="77777777" w:rsidR="003A08EE" w:rsidRPr="009154BA" w:rsidRDefault="003A08EE" w:rsidP="009154BA">
      <w:pPr>
        <w:numPr>
          <w:ilvl w:val="0"/>
          <w:numId w:val="14"/>
        </w:numPr>
        <w:jc w:val="both"/>
        <w:rPr>
          <w:rFonts w:ascii="Times New Roman" w:hAnsi="Times New Roman" w:cs="Times New Roman"/>
          <w:sz w:val="24"/>
          <w:szCs w:val="24"/>
        </w:rPr>
      </w:pPr>
      <w:r w:rsidRPr="009154BA">
        <w:rPr>
          <w:rFonts w:ascii="Times New Roman" w:hAnsi="Times New Roman" w:cs="Times New Roman"/>
          <w:sz w:val="24"/>
          <w:szCs w:val="24"/>
        </w:rPr>
        <w:t>Cash inflows (Y1–Y5): £6m each year</w:t>
      </w:r>
    </w:p>
    <w:p w14:paraId="75633E19" w14:textId="77777777" w:rsidR="003A08EE" w:rsidRPr="009154BA" w:rsidRDefault="003A08EE" w:rsidP="009154BA">
      <w:pPr>
        <w:numPr>
          <w:ilvl w:val="0"/>
          <w:numId w:val="14"/>
        </w:numPr>
        <w:jc w:val="both"/>
        <w:rPr>
          <w:rFonts w:ascii="Times New Roman" w:hAnsi="Times New Roman" w:cs="Times New Roman"/>
          <w:sz w:val="24"/>
          <w:szCs w:val="24"/>
        </w:rPr>
      </w:pPr>
      <w:r w:rsidRPr="009154BA">
        <w:rPr>
          <w:rFonts w:ascii="Times New Roman" w:hAnsi="Times New Roman" w:cs="Times New Roman"/>
          <w:sz w:val="24"/>
          <w:szCs w:val="24"/>
        </w:rPr>
        <w:t>Total inflows: £30m</w:t>
      </w:r>
    </w:p>
    <w:p w14:paraId="7B524DAC"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C</w:t>
      </w:r>
    </w:p>
    <w:p w14:paraId="1F7AC4C9" w14:textId="77777777" w:rsidR="003A08EE" w:rsidRPr="009154BA" w:rsidRDefault="003A08EE" w:rsidP="009154BA">
      <w:pPr>
        <w:numPr>
          <w:ilvl w:val="0"/>
          <w:numId w:val="15"/>
        </w:numPr>
        <w:jc w:val="both"/>
        <w:rPr>
          <w:rFonts w:ascii="Times New Roman" w:hAnsi="Times New Roman" w:cs="Times New Roman"/>
          <w:sz w:val="24"/>
          <w:szCs w:val="24"/>
        </w:rPr>
      </w:pPr>
      <w:r w:rsidRPr="009154BA">
        <w:rPr>
          <w:rFonts w:ascii="Times New Roman" w:hAnsi="Times New Roman" w:cs="Times New Roman"/>
          <w:sz w:val="24"/>
          <w:szCs w:val="24"/>
        </w:rPr>
        <w:t>Initial investment: £50m</w:t>
      </w:r>
    </w:p>
    <w:p w14:paraId="43DC0BE4" w14:textId="77777777" w:rsidR="003A08EE" w:rsidRPr="009154BA" w:rsidRDefault="003A08EE" w:rsidP="009154BA">
      <w:pPr>
        <w:numPr>
          <w:ilvl w:val="0"/>
          <w:numId w:val="15"/>
        </w:numPr>
        <w:jc w:val="both"/>
        <w:rPr>
          <w:rFonts w:ascii="Times New Roman" w:hAnsi="Times New Roman" w:cs="Times New Roman"/>
          <w:sz w:val="24"/>
          <w:szCs w:val="24"/>
        </w:rPr>
      </w:pPr>
      <w:r w:rsidRPr="009154BA">
        <w:rPr>
          <w:rFonts w:ascii="Times New Roman" w:hAnsi="Times New Roman" w:cs="Times New Roman"/>
          <w:sz w:val="24"/>
          <w:szCs w:val="24"/>
        </w:rPr>
        <w:t>Cash inflows (Y1–Y5): £5m, £10m, £20m, £25m, £15m</w:t>
      </w:r>
    </w:p>
    <w:p w14:paraId="664482A3" w14:textId="67E803DE" w:rsidR="00090A1B" w:rsidRPr="00722D07" w:rsidRDefault="003A08EE" w:rsidP="00090A1B">
      <w:pPr>
        <w:numPr>
          <w:ilvl w:val="0"/>
          <w:numId w:val="15"/>
        </w:numPr>
        <w:jc w:val="both"/>
        <w:rPr>
          <w:rFonts w:ascii="Times New Roman" w:hAnsi="Times New Roman" w:cs="Times New Roman"/>
          <w:sz w:val="24"/>
          <w:szCs w:val="24"/>
        </w:rPr>
      </w:pPr>
      <w:r w:rsidRPr="009154BA">
        <w:rPr>
          <w:rFonts w:ascii="Times New Roman" w:hAnsi="Times New Roman" w:cs="Times New Roman"/>
          <w:sz w:val="24"/>
          <w:szCs w:val="24"/>
        </w:rPr>
        <w:t>Total inflows: £75m</w:t>
      </w:r>
    </w:p>
    <w:p w14:paraId="6D87ADAC" w14:textId="77777777" w:rsidR="003A08EE" w:rsidRPr="009154BA" w:rsidRDefault="003A08EE" w:rsidP="00704659">
      <w:pPr>
        <w:pStyle w:val="Heading2"/>
      </w:pPr>
      <w:bookmarkStart w:id="23" w:name="_Toc214355522"/>
      <w:r w:rsidRPr="009154BA">
        <w:lastRenderedPageBreak/>
        <w:t>5.2 Payback Period (PBP)</w:t>
      </w:r>
      <w:bookmarkEnd w:id="23"/>
    </w:p>
    <w:p w14:paraId="091E9C8B"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The payback period measures the time required to recover the initial investment through project cash inflows.</w:t>
      </w:r>
    </w:p>
    <w:p w14:paraId="76683A1D"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A</w:t>
      </w:r>
    </w:p>
    <w:p w14:paraId="178A5E87"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Cumulative flows:</w:t>
      </w:r>
    </w:p>
    <w:p w14:paraId="32591B6A" w14:textId="77777777" w:rsidR="003A08EE" w:rsidRPr="009154BA" w:rsidRDefault="003A08EE" w:rsidP="009154BA">
      <w:pPr>
        <w:numPr>
          <w:ilvl w:val="0"/>
          <w:numId w:val="16"/>
        </w:numPr>
        <w:jc w:val="both"/>
        <w:rPr>
          <w:rFonts w:ascii="Times New Roman" w:hAnsi="Times New Roman" w:cs="Times New Roman"/>
          <w:sz w:val="24"/>
          <w:szCs w:val="24"/>
        </w:rPr>
      </w:pPr>
      <w:r w:rsidRPr="009154BA">
        <w:rPr>
          <w:rFonts w:ascii="Times New Roman" w:hAnsi="Times New Roman" w:cs="Times New Roman"/>
          <w:sz w:val="24"/>
          <w:szCs w:val="24"/>
        </w:rPr>
        <w:t>Y1: £10m</w:t>
      </w:r>
    </w:p>
    <w:p w14:paraId="1F7D7818" w14:textId="77777777" w:rsidR="003A08EE" w:rsidRPr="009154BA" w:rsidRDefault="003A08EE" w:rsidP="009154BA">
      <w:pPr>
        <w:numPr>
          <w:ilvl w:val="0"/>
          <w:numId w:val="16"/>
        </w:numPr>
        <w:jc w:val="both"/>
        <w:rPr>
          <w:rFonts w:ascii="Times New Roman" w:hAnsi="Times New Roman" w:cs="Times New Roman"/>
          <w:sz w:val="24"/>
          <w:szCs w:val="24"/>
        </w:rPr>
      </w:pPr>
      <w:r w:rsidRPr="009154BA">
        <w:rPr>
          <w:rFonts w:ascii="Times New Roman" w:hAnsi="Times New Roman" w:cs="Times New Roman"/>
          <w:sz w:val="24"/>
          <w:szCs w:val="24"/>
        </w:rPr>
        <w:t>Y2: £22m</w:t>
      </w:r>
    </w:p>
    <w:p w14:paraId="2B74E83E" w14:textId="77777777" w:rsidR="003A08EE" w:rsidRPr="009154BA" w:rsidRDefault="003A08EE" w:rsidP="009154BA">
      <w:pPr>
        <w:numPr>
          <w:ilvl w:val="0"/>
          <w:numId w:val="16"/>
        </w:numPr>
        <w:jc w:val="both"/>
        <w:rPr>
          <w:rFonts w:ascii="Times New Roman" w:hAnsi="Times New Roman" w:cs="Times New Roman"/>
          <w:sz w:val="24"/>
          <w:szCs w:val="24"/>
        </w:rPr>
      </w:pPr>
      <w:r w:rsidRPr="009154BA">
        <w:rPr>
          <w:rFonts w:ascii="Times New Roman" w:hAnsi="Times New Roman" w:cs="Times New Roman"/>
          <w:sz w:val="24"/>
          <w:szCs w:val="24"/>
        </w:rPr>
        <w:t>Y3: £36m</w:t>
      </w:r>
    </w:p>
    <w:p w14:paraId="36D43BA5" w14:textId="77777777" w:rsidR="009154BA" w:rsidRDefault="003A08EE" w:rsidP="009154BA">
      <w:pPr>
        <w:numPr>
          <w:ilvl w:val="0"/>
          <w:numId w:val="16"/>
        </w:numPr>
        <w:jc w:val="both"/>
        <w:rPr>
          <w:rFonts w:ascii="Times New Roman" w:hAnsi="Times New Roman" w:cs="Times New Roman"/>
          <w:sz w:val="24"/>
          <w:szCs w:val="24"/>
        </w:rPr>
      </w:pPr>
      <w:r w:rsidRPr="009154BA">
        <w:rPr>
          <w:rFonts w:ascii="Times New Roman" w:hAnsi="Times New Roman" w:cs="Times New Roman"/>
          <w:sz w:val="24"/>
          <w:szCs w:val="24"/>
        </w:rPr>
        <w:t>Y4: £46m → Payback occurs here</w:t>
      </w:r>
    </w:p>
    <w:p w14:paraId="37E106E5" w14:textId="77777777" w:rsidR="009154BA" w:rsidRDefault="003A08EE" w:rsidP="009154BA">
      <w:pPr>
        <w:ind w:left="720"/>
        <w:jc w:val="both"/>
        <w:rPr>
          <w:rFonts w:ascii="Times New Roman" w:hAnsi="Times New Roman" w:cs="Times New Roman"/>
          <w:sz w:val="24"/>
          <w:szCs w:val="24"/>
        </w:rPr>
      </w:pPr>
      <w:r w:rsidRPr="009154BA">
        <w:rPr>
          <w:rFonts w:ascii="Times New Roman" w:hAnsi="Times New Roman" w:cs="Times New Roman"/>
          <w:sz w:val="24"/>
          <w:szCs w:val="24"/>
        </w:rPr>
        <w:t>Required: £40m – £36m = £4m still needed in Y4</w:t>
      </w:r>
    </w:p>
    <w:p w14:paraId="3EFE5CDA" w14:textId="4ED2489F" w:rsidR="003A08EE" w:rsidRPr="009154BA" w:rsidRDefault="003A08EE" w:rsidP="009154BA">
      <w:pPr>
        <w:ind w:left="720"/>
        <w:jc w:val="both"/>
        <w:rPr>
          <w:rFonts w:ascii="Times New Roman" w:hAnsi="Times New Roman" w:cs="Times New Roman"/>
          <w:sz w:val="24"/>
          <w:szCs w:val="24"/>
        </w:rPr>
      </w:pPr>
      <w:r w:rsidRPr="009154BA">
        <w:rPr>
          <w:rFonts w:ascii="Times New Roman" w:hAnsi="Times New Roman" w:cs="Times New Roman"/>
          <w:sz w:val="24"/>
          <w:szCs w:val="24"/>
        </w:rPr>
        <w:t>Fraction of Y4: £4m / £10m = 0.4</w:t>
      </w:r>
    </w:p>
    <w:p w14:paraId="3F3CF83A"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b/>
          <w:bCs/>
          <w:sz w:val="24"/>
          <w:szCs w:val="24"/>
        </w:rPr>
        <w:t>PBP (A) = 3.4 years</w:t>
      </w:r>
    </w:p>
    <w:p w14:paraId="352C730F"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B</w:t>
      </w:r>
    </w:p>
    <w:p w14:paraId="0546D0EF"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Cumulative flows:</w:t>
      </w:r>
    </w:p>
    <w:p w14:paraId="08CA0312" w14:textId="77777777" w:rsidR="003A08EE" w:rsidRPr="009154BA" w:rsidRDefault="003A08EE" w:rsidP="009154BA">
      <w:pPr>
        <w:numPr>
          <w:ilvl w:val="0"/>
          <w:numId w:val="17"/>
        </w:numPr>
        <w:jc w:val="both"/>
        <w:rPr>
          <w:rFonts w:ascii="Times New Roman" w:hAnsi="Times New Roman" w:cs="Times New Roman"/>
          <w:sz w:val="24"/>
          <w:szCs w:val="24"/>
        </w:rPr>
      </w:pPr>
      <w:r w:rsidRPr="009154BA">
        <w:rPr>
          <w:rFonts w:ascii="Times New Roman" w:hAnsi="Times New Roman" w:cs="Times New Roman"/>
          <w:sz w:val="24"/>
          <w:szCs w:val="24"/>
        </w:rPr>
        <w:t>Y1: £6m</w:t>
      </w:r>
    </w:p>
    <w:p w14:paraId="48E47D64" w14:textId="77777777" w:rsidR="003A08EE" w:rsidRPr="009154BA" w:rsidRDefault="003A08EE" w:rsidP="009154BA">
      <w:pPr>
        <w:numPr>
          <w:ilvl w:val="0"/>
          <w:numId w:val="17"/>
        </w:numPr>
        <w:jc w:val="both"/>
        <w:rPr>
          <w:rFonts w:ascii="Times New Roman" w:hAnsi="Times New Roman" w:cs="Times New Roman"/>
          <w:sz w:val="24"/>
          <w:szCs w:val="24"/>
        </w:rPr>
      </w:pPr>
      <w:r w:rsidRPr="009154BA">
        <w:rPr>
          <w:rFonts w:ascii="Times New Roman" w:hAnsi="Times New Roman" w:cs="Times New Roman"/>
          <w:sz w:val="24"/>
          <w:szCs w:val="24"/>
        </w:rPr>
        <w:t>Y2: £12m</w:t>
      </w:r>
    </w:p>
    <w:p w14:paraId="00AB337C" w14:textId="77777777" w:rsidR="003A08EE" w:rsidRPr="009154BA" w:rsidRDefault="003A08EE" w:rsidP="009154BA">
      <w:pPr>
        <w:numPr>
          <w:ilvl w:val="0"/>
          <w:numId w:val="17"/>
        </w:numPr>
        <w:jc w:val="both"/>
        <w:rPr>
          <w:rFonts w:ascii="Times New Roman" w:hAnsi="Times New Roman" w:cs="Times New Roman"/>
          <w:sz w:val="24"/>
          <w:szCs w:val="24"/>
        </w:rPr>
      </w:pPr>
      <w:r w:rsidRPr="009154BA">
        <w:rPr>
          <w:rFonts w:ascii="Times New Roman" w:hAnsi="Times New Roman" w:cs="Times New Roman"/>
          <w:sz w:val="24"/>
          <w:szCs w:val="24"/>
        </w:rPr>
        <w:t>Y3: £18m</w:t>
      </w:r>
    </w:p>
    <w:p w14:paraId="42E2BA78" w14:textId="77777777" w:rsidR="003A08EE" w:rsidRPr="009154BA" w:rsidRDefault="003A08EE" w:rsidP="009154BA">
      <w:pPr>
        <w:numPr>
          <w:ilvl w:val="0"/>
          <w:numId w:val="17"/>
        </w:numPr>
        <w:jc w:val="both"/>
        <w:rPr>
          <w:rFonts w:ascii="Times New Roman" w:hAnsi="Times New Roman" w:cs="Times New Roman"/>
          <w:sz w:val="24"/>
          <w:szCs w:val="24"/>
        </w:rPr>
      </w:pPr>
      <w:r w:rsidRPr="009154BA">
        <w:rPr>
          <w:rFonts w:ascii="Times New Roman" w:hAnsi="Times New Roman" w:cs="Times New Roman"/>
          <w:sz w:val="24"/>
          <w:szCs w:val="24"/>
        </w:rPr>
        <w:t>Y4: £24m</w:t>
      </w:r>
    </w:p>
    <w:p w14:paraId="0F185DB2" w14:textId="77777777" w:rsidR="003A08EE" w:rsidRPr="009154BA" w:rsidRDefault="003A08EE" w:rsidP="009154BA">
      <w:pPr>
        <w:numPr>
          <w:ilvl w:val="0"/>
          <w:numId w:val="17"/>
        </w:numPr>
        <w:jc w:val="both"/>
        <w:rPr>
          <w:rFonts w:ascii="Times New Roman" w:hAnsi="Times New Roman" w:cs="Times New Roman"/>
          <w:sz w:val="24"/>
          <w:szCs w:val="24"/>
        </w:rPr>
      </w:pPr>
      <w:r w:rsidRPr="009154BA">
        <w:rPr>
          <w:rFonts w:ascii="Times New Roman" w:hAnsi="Times New Roman" w:cs="Times New Roman"/>
          <w:sz w:val="24"/>
          <w:szCs w:val="24"/>
        </w:rPr>
        <w:t>Y5: £30m → payback occurs at end of year 5</w:t>
      </w:r>
    </w:p>
    <w:p w14:paraId="34CF3B46"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b/>
          <w:bCs/>
          <w:sz w:val="24"/>
          <w:szCs w:val="24"/>
        </w:rPr>
        <w:t>PBP (B) = 5.0 years</w:t>
      </w:r>
    </w:p>
    <w:p w14:paraId="229DB8BE"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C</w:t>
      </w:r>
    </w:p>
    <w:p w14:paraId="17C51CC7"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Cumulative flows:</w:t>
      </w:r>
    </w:p>
    <w:p w14:paraId="7FEDCA44" w14:textId="77777777" w:rsidR="003A08EE" w:rsidRPr="009154BA" w:rsidRDefault="003A08EE" w:rsidP="009154BA">
      <w:pPr>
        <w:numPr>
          <w:ilvl w:val="0"/>
          <w:numId w:val="18"/>
        </w:numPr>
        <w:jc w:val="both"/>
        <w:rPr>
          <w:rFonts w:ascii="Times New Roman" w:hAnsi="Times New Roman" w:cs="Times New Roman"/>
          <w:sz w:val="24"/>
          <w:szCs w:val="24"/>
        </w:rPr>
      </w:pPr>
      <w:r w:rsidRPr="009154BA">
        <w:rPr>
          <w:rFonts w:ascii="Times New Roman" w:hAnsi="Times New Roman" w:cs="Times New Roman"/>
          <w:sz w:val="24"/>
          <w:szCs w:val="24"/>
        </w:rPr>
        <w:t>Y1: £5m</w:t>
      </w:r>
    </w:p>
    <w:p w14:paraId="607599F2" w14:textId="77777777" w:rsidR="003A08EE" w:rsidRPr="009154BA" w:rsidRDefault="003A08EE" w:rsidP="009154BA">
      <w:pPr>
        <w:numPr>
          <w:ilvl w:val="0"/>
          <w:numId w:val="18"/>
        </w:numPr>
        <w:jc w:val="both"/>
        <w:rPr>
          <w:rFonts w:ascii="Times New Roman" w:hAnsi="Times New Roman" w:cs="Times New Roman"/>
          <w:sz w:val="24"/>
          <w:szCs w:val="24"/>
        </w:rPr>
      </w:pPr>
      <w:r w:rsidRPr="009154BA">
        <w:rPr>
          <w:rFonts w:ascii="Times New Roman" w:hAnsi="Times New Roman" w:cs="Times New Roman"/>
          <w:sz w:val="24"/>
          <w:szCs w:val="24"/>
        </w:rPr>
        <w:t>Y2: £15m</w:t>
      </w:r>
    </w:p>
    <w:p w14:paraId="1A9FD3E0" w14:textId="77777777" w:rsidR="003A08EE" w:rsidRPr="009154BA" w:rsidRDefault="003A08EE" w:rsidP="009154BA">
      <w:pPr>
        <w:numPr>
          <w:ilvl w:val="0"/>
          <w:numId w:val="18"/>
        </w:numPr>
        <w:jc w:val="both"/>
        <w:rPr>
          <w:rFonts w:ascii="Times New Roman" w:hAnsi="Times New Roman" w:cs="Times New Roman"/>
          <w:sz w:val="24"/>
          <w:szCs w:val="24"/>
        </w:rPr>
      </w:pPr>
      <w:r w:rsidRPr="009154BA">
        <w:rPr>
          <w:rFonts w:ascii="Times New Roman" w:hAnsi="Times New Roman" w:cs="Times New Roman"/>
          <w:sz w:val="24"/>
          <w:szCs w:val="24"/>
        </w:rPr>
        <w:t>Y3: £35m</w:t>
      </w:r>
    </w:p>
    <w:p w14:paraId="4372C61A" w14:textId="77777777" w:rsidR="009154BA" w:rsidRDefault="003A08EE" w:rsidP="009154BA">
      <w:pPr>
        <w:numPr>
          <w:ilvl w:val="0"/>
          <w:numId w:val="18"/>
        </w:numPr>
        <w:jc w:val="both"/>
        <w:rPr>
          <w:rFonts w:ascii="Times New Roman" w:hAnsi="Times New Roman" w:cs="Times New Roman"/>
          <w:sz w:val="24"/>
          <w:szCs w:val="24"/>
        </w:rPr>
      </w:pPr>
      <w:r w:rsidRPr="009154BA">
        <w:rPr>
          <w:rFonts w:ascii="Times New Roman" w:hAnsi="Times New Roman" w:cs="Times New Roman"/>
          <w:sz w:val="24"/>
          <w:szCs w:val="24"/>
        </w:rPr>
        <w:t>Y4: £60m → surpasses £50m here</w:t>
      </w:r>
    </w:p>
    <w:p w14:paraId="47FBD8AE" w14:textId="77777777" w:rsidR="009154BA" w:rsidRDefault="003A08EE" w:rsidP="009154BA">
      <w:pPr>
        <w:ind w:left="720"/>
        <w:jc w:val="both"/>
        <w:rPr>
          <w:rFonts w:ascii="Times New Roman" w:hAnsi="Times New Roman" w:cs="Times New Roman"/>
          <w:sz w:val="24"/>
          <w:szCs w:val="24"/>
        </w:rPr>
      </w:pPr>
      <w:r w:rsidRPr="009154BA">
        <w:rPr>
          <w:rFonts w:ascii="Times New Roman" w:hAnsi="Times New Roman" w:cs="Times New Roman"/>
          <w:sz w:val="24"/>
          <w:szCs w:val="24"/>
        </w:rPr>
        <w:t>Required: £50m – £35m = £15m in Y4</w:t>
      </w:r>
    </w:p>
    <w:p w14:paraId="008FEEA1" w14:textId="23B4789C" w:rsidR="003A08EE" w:rsidRPr="009154BA" w:rsidRDefault="003A08EE" w:rsidP="009154BA">
      <w:pPr>
        <w:ind w:left="720"/>
        <w:jc w:val="both"/>
        <w:rPr>
          <w:rFonts w:ascii="Times New Roman" w:hAnsi="Times New Roman" w:cs="Times New Roman"/>
          <w:sz w:val="24"/>
          <w:szCs w:val="24"/>
        </w:rPr>
      </w:pPr>
      <w:r w:rsidRPr="009154BA">
        <w:rPr>
          <w:rFonts w:ascii="Times New Roman" w:hAnsi="Times New Roman" w:cs="Times New Roman"/>
          <w:sz w:val="24"/>
          <w:szCs w:val="24"/>
        </w:rPr>
        <w:lastRenderedPageBreak/>
        <w:t>Fraction of Y4: £15m / £25m = 0.6</w:t>
      </w:r>
    </w:p>
    <w:p w14:paraId="2CC23715"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b/>
          <w:bCs/>
          <w:sz w:val="24"/>
          <w:szCs w:val="24"/>
        </w:rPr>
        <w:t>PBP (C) = 3.6 years</w:t>
      </w:r>
    </w:p>
    <w:p w14:paraId="5F46EE54"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PBP Interpretation</w:t>
      </w:r>
    </w:p>
    <w:p w14:paraId="3F31F56A" w14:textId="2DCD3593" w:rsidR="003A08EE" w:rsidRPr="009154BA" w:rsidRDefault="00090A1B" w:rsidP="009154BA">
      <w:pPr>
        <w:jc w:val="both"/>
        <w:rPr>
          <w:rFonts w:ascii="Times New Roman" w:hAnsi="Times New Roman" w:cs="Times New Roman"/>
          <w:sz w:val="24"/>
          <w:szCs w:val="24"/>
        </w:rPr>
      </w:pPr>
      <w:r w:rsidRPr="00090A1B">
        <w:rPr>
          <w:rFonts w:ascii="Times New Roman" w:hAnsi="Times New Roman" w:cs="Times New Roman"/>
          <w:sz w:val="24"/>
          <w:szCs w:val="24"/>
        </w:rPr>
        <w:t>Project A has the lowest payback period of 3.4 years, and Project C has a period almost similar of 3.6 years. Project B is the least appealing in terms of payback where the recovery of its investment is realized after a period of five years. Due to the liquidity stress faced by General Electronics, as well as long working-capital cycle, quick payback period is strategically desirable</w:t>
      </w:r>
      <w:r w:rsidR="003A08EE" w:rsidRPr="009154BA">
        <w:rPr>
          <w:rFonts w:ascii="Times New Roman" w:hAnsi="Times New Roman" w:cs="Times New Roman"/>
          <w:sz w:val="24"/>
          <w:szCs w:val="24"/>
        </w:rPr>
        <w:t xml:space="preserve">. </w:t>
      </w:r>
    </w:p>
    <w:p w14:paraId="2B6641DA" w14:textId="77777777" w:rsidR="003A08EE" w:rsidRPr="009154BA" w:rsidRDefault="003A08EE" w:rsidP="0049751B">
      <w:pPr>
        <w:pStyle w:val="Heading2"/>
      </w:pPr>
      <w:bookmarkStart w:id="24" w:name="_Toc214355523"/>
      <w:r w:rsidRPr="009154BA">
        <w:t>5.3 Accounting Rate of Return (ARR)</w:t>
      </w:r>
      <w:bookmarkEnd w:id="24"/>
    </w:p>
    <w:p w14:paraId="0CF90EC8"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ARR = Average annual profit / Initial investment</w:t>
      </w:r>
    </w:p>
    <w:p w14:paraId="49B8C62E"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Depreciation (straight-line to zero):</w:t>
      </w:r>
    </w:p>
    <w:p w14:paraId="50979D0A" w14:textId="77777777" w:rsidR="003A08EE" w:rsidRPr="009154BA" w:rsidRDefault="003A08EE" w:rsidP="009154BA">
      <w:pPr>
        <w:numPr>
          <w:ilvl w:val="0"/>
          <w:numId w:val="19"/>
        </w:numPr>
        <w:jc w:val="both"/>
        <w:rPr>
          <w:rFonts w:ascii="Times New Roman" w:hAnsi="Times New Roman" w:cs="Times New Roman"/>
          <w:sz w:val="24"/>
          <w:szCs w:val="24"/>
        </w:rPr>
      </w:pPr>
      <w:r w:rsidRPr="009154BA">
        <w:rPr>
          <w:rFonts w:ascii="Times New Roman" w:hAnsi="Times New Roman" w:cs="Times New Roman"/>
          <w:sz w:val="24"/>
          <w:szCs w:val="24"/>
        </w:rPr>
        <w:t>A: £40m / 5 = £8m per year</w:t>
      </w:r>
    </w:p>
    <w:p w14:paraId="637069AA" w14:textId="77777777" w:rsidR="003A08EE" w:rsidRPr="009154BA" w:rsidRDefault="003A08EE" w:rsidP="009154BA">
      <w:pPr>
        <w:numPr>
          <w:ilvl w:val="0"/>
          <w:numId w:val="19"/>
        </w:numPr>
        <w:jc w:val="both"/>
        <w:rPr>
          <w:rFonts w:ascii="Times New Roman" w:hAnsi="Times New Roman" w:cs="Times New Roman"/>
          <w:sz w:val="24"/>
          <w:szCs w:val="24"/>
        </w:rPr>
      </w:pPr>
      <w:r w:rsidRPr="009154BA">
        <w:rPr>
          <w:rFonts w:ascii="Times New Roman" w:hAnsi="Times New Roman" w:cs="Times New Roman"/>
          <w:sz w:val="24"/>
          <w:szCs w:val="24"/>
        </w:rPr>
        <w:t>B: £30m / 5 = £6m per year</w:t>
      </w:r>
    </w:p>
    <w:p w14:paraId="6A928136" w14:textId="77777777" w:rsidR="003A08EE" w:rsidRPr="009154BA" w:rsidRDefault="003A08EE" w:rsidP="009154BA">
      <w:pPr>
        <w:numPr>
          <w:ilvl w:val="0"/>
          <w:numId w:val="19"/>
        </w:numPr>
        <w:jc w:val="both"/>
        <w:rPr>
          <w:rFonts w:ascii="Times New Roman" w:hAnsi="Times New Roman" w:cs="Times New Roman"/>
          <w:sz w:val="24"/>
          <w:szCs w:val="24"/>
        </w:rPr>
      </w:pPr>
      <w:r w:rsidRPr="009154BA">
        <w:rPr>
          <w:rFonts w:ascii="Times New Roman" w:hAnsi="Times New Roman" w:cs="Times New Roman"/>
          <w:sz w:val="24"/>
          <w:szCs w:val="24"/>
        </w:rPr>
        <w:t>C: £50m / 5 = £10m per year</w:t>
      </w:r>
    </w:p>
    <w:p w14:paraId="1173E862"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A</w:t>
      </w:r>
    </w:p>
    <w:p w14:paraId="208F728C"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Net cash inflow average = £54m / 5 = £10.8m</w:t>
      </w:r>
    </w:p>
    <w:p w14:paraId="31AB449F"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Average profit = £10.8m – £8m = £2.8m</w:t>
      </w:r>
    </w:p>
    <w:p w14:paraId="26A6C36E" w14:textId="12745EE8"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b/>
          <w:bCs/>
          <w:sz w:val="24"/>
          <w:szCs w:val="24"/>
        </w:rPr>
        <w:t>ARR (A) = 2.8 / 40 = 7%</w:t>
      </w:r>
    </w:p>
    <w:p w14:paraId="66A425E8"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B</w:t>
      </w:r>
    </w:p>
    <w:p w14:paraId="2694AABA"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Net cash inflow average = £30m / 5 = £6m</w:t>
      </w:r>
    </w:p>
    <w:p w14:paraId="630FC58D"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Average profit = £6m – £6m = £0</w:t>
      </w:r>
    </w:p>
    <w:p w14:paraId="424F120B" w14:textId="6F1AABC1"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b/>
          <w:bCs/>
          <w:sz w:val="24"/>
          <w:szCs w:val="24"/>
        </w:rPr>
        <w:t>ARR (B) = 0%</w:t>
      </w:r>
    </w:p>
    <w:p w14:paraId="6E7404E3"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C</w:t>
      </w:r>
    </w:p>
    <w:p w14:paraId="315D4D43"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Net cash inflow average = £75m / 5 = £15m</w:t>
      </w:r>
    </w:p>
    <w:p w14:paraId="0D36A757"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Average profit = £15m – £10m = £5m</w:t>
      </w:r>
    </w:p>
    <w:p w14:paraId="73EC70F2" w14:textId="04BE5ECB"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b/>
          <w:bCs/>
          <w:sz w:val="24"/>
          <w:szCs w:val="24"/>
        </w:rPr>
        <w:t>ARR (C) = 5 / 50 = 10%</w:t>
      </w:r>
    </w:p>
    <w:p w14:paraId="50B5F71D"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ARR Interpretation</w:t>
      </w:r>
    </w:p>
    <w:p w14:paraId="6ADF6916" w14:textId="0B74271E" w:rsidR="009154BA"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lastRenderedPageBreak/>
        <w:t>Project C performs best on ARR (10%), reflecting higher average profitability, followed by Project A (7%). Project B generates no accounting profit, making it unattractive from a profitability standpoint.</w:t>
      </w:r>
    </w:p>
    <w:p w14:paraId="4CD2E37A" w14:textId="77777777" w:rsidR="003A08EE" w:rsidRPr="009154BA" w:rsidRDefault="003A08EE" w:rsidP="0049751B">
      <w:pPr>
        <w:pStyle w:val="Heading2"/>
      </w:pPr>
      <w:bookmarkStart w:id="25" w:name="_Toc214355524"/>
      <w:r w:rsidRPr="009154BA">
        <w:t>5.4 Net Present Value (NPV)</w:t>
      </w:r>
      <w:bookmarkEnd w:id="25"/>
    </w:p>
    <w:p w14:paraId="07D82F4C"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Discount rate = 10%</w:t>
      </w:r>
    </w:p>
    <w:p w14:paraId="516DA958" w14:textId="0B9B2F69"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Present value factors:</w:t>
      </w:r>
    </w:p>
    <w:p w14:paraId="77066FA1" w14:textId="77777777" w:rsidR="003A08EE" w:rsidRPr="009154BA" w:rsidRDefault="003A08EE" w:rsidP="009154BA">
      <w:pPr>
        <w:numPr>
          <w:ilvl w:val="0"/>
          <w:numId w:val="20"/>
        </w:numPr>
        <w:jc w:val="both"/>
        <w:rPr>
          <w:rFonts w:ascii="Times New Roman" w:hAnsi="Times New Roman" w:cs="Times New Roman"/>
          <w:sz w:val="24"/>
          <w:szCs w:val="24"/>
        </w:rPr>
      </w:pPr>
      <w:r w:rsidRPr="009154BA">
        <w:rPr>
          <w:rFonts w:ascii="Times New Roman" w:hAnsi="Times New Roman" w:cs="Times New Roman"/>
          <w:sz w:val="24"/>
          <w:szCs w:val="24"/>
        </w:rPr>
        <w:t>Y1: 0.909</w:t>
      </w:r>
    </w:p>
    <w:p w14:paraId="4CF56B73" w14:textId="77777777" w:rsidR="003A08EE" w:rsidRPr="009154BA" w:rsidRDefault="003A08EE" w:rsidP="009154BA">
      <w:pPr>
        <w:numPr>
          <w:ilvl w:val="0"/>
          <w:numId w:val="20"/>
        </w:numPr>
        <w:jc w:val="both"/>
        <w:rPr>
          <w:rFonts w:ascii="Times New Roman" w:hAnsi="Times New Roman" w:cs="Times New Roman"/>
          <w:sz w:val="24"/>
          <w:szCs w:val="24"/>
        </w:rPr>
      </w:pPr>
      <w:r w:rsidRPr="009154BA">
        <w:rPr>
          <w:rFonts w:ascii="Times New Roman" w:hAnsi="Times New Roman" w:cs="Times New Roman"/>
          <w:sz w:val="24"/>
          <w:szCs w:val="24"/>
        </w:rPr>
        <w:t>Y2: 0.826</w:t>
      </w:r>
    </w:p>
    <w:p w14:paraId="7E27ED45" w14:textId="77777777" w:rsidR="003A08EE" w:rsidRPr="009154BA" w:rsidRDefault="003A08EE" w:rsidP="009154BA">
      <w:pPr>
        <w:numPr>
          <w:ilvl w:val="0"/>
          <w:numId w:val="20"/>
        </w:numPr>
        <w:jc w:val="both"/>
        <w:rPr>
          <w:rFonts w:ascii="Times New Roman" w:hAnsi="Times New Roman" w:cs="Times New Roman"/>
          <w:sz w:val="24"/>
          <w:szCs w:val="24"/>
        </w:rPr>
      </w:pPr>
      <w:r w:rsidRPr="009154BA">
        <w:rPr>
          <w:rFonts w:ascii="Times New Roman" w:hAnsi="Times New Roman" w:cs="Times New Roman"/>
          <w:sz w:val="24"/>
          <w:szCs w:val="24"/>
        </w:rPr>
        <w:t>Y3: 0.751</w:t>
      </w:r>
    </w:p>
    <w:p w14:paraId="5CC66FBE" w14:textId="77777777" w:rsidR="003A08EE" w:rsidRPr="009154BA" w:rsidRDefault="003A08EE" w:rsidP="009154BA">
      <w:pPr>
        <w:numPr>
          <w:ilvl w:val="0"/>
          <w:numId w:val="20"/>
        </w:numPr>
        <w:jc w:val="both"/>
        <w:rPr>
          <w:rFonts w:ascii="Times New Roman" w:hAnsi="Times New Roman" w:cs="Times New Roman"/>
          <w:sz w:val="24"/>
          <w:szCs w:val="24"/>
        </w:rPr>
      </w:pPr>
      <w:r w:rsidRPr="009154BA">
        <w:rPr>
          <w:rFonts w:ascii="Times New Roman" w:hAnsi="Times New Roman" w:cs="Times New Roman"/>
          <w:sz w:val="24"/>
          <w:szCs w:val="24"/>
        </w:rPr>
        <w:t>Y4: 0.683</w:t>
      </w:r>
    </w:p>
    <w:p w14:paraId="43B9B9A5" w14:textId="77777777" w:rsidR="003A08EE" w:rsidRPr="009154BA" w:rsidRDefault="003A08EE" w:rsidP="009154BA">
      <w:pPr>
        <w:numPr>
          <w:ilvl w:val="0"/>
          <w:numId w:val="20"/>
        </w:numPr>
        <w:jc w:val="both"/>
        <w:rPr>
          <w:rFonts w:ascii="Times New Roman" w:hAnsi="Times New Roman" w:cs="Times New Roman"/>
          <w:sz w:val="24"/>
          <w:szCs w:val="24"/>
        </w:rPr>
      </w:pPr>
      <w:r w:rsidRPr="009154BA">
        <w:rPr>
          <w:rFonts w:ascii="Times New Roman" w:hAnsi="Times New Roman" w:cs="Times New Roman"/>
          <w:sz w:val="24"/>
          <w:szCs w:val="24"/>
        </w:rPr>
        <w:t>Y5: 0.621</w:t>
      </w:r>
    </w:p>
    <w:p w14:paraId="4713BED1"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A</w:t>
      </w:r>
    </w:p>
    <w:p w14:paraId="5B8C2387"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PV of inflows:</w:t>
      </w:r>
    </w:p>
    <w:p w14:paraId="2A3BD673" w14:textId="77777777" w:rsidR="003A08EE" w:rsidRPr="009154BA" w:rsidRDefault="003A08EE" w:rsidP="009154BA">
      <w:pPr>
        <w:numPr>
          <w:ilvl w:val="0"/>
          <w:numId w:val="21"/>
        </w:numPr>
        <w:jc w:val="both"/>
        <w:rPr>
          <w:rFonts w:ascii="Times New Roman" w:hAnsi="Times New Roman" w:cs="Times New Roman"/>
          <w:sz w:val="24"/>
          <w:szCs w:val="24"/>
        </w:rPr>
      </w:pPr>
      <w:r w:rsidRPr="009154BA">
        <w:rPr>
          <w:rFonts w:ascii="Times New Roman" w:hAnsi="Times New Roman" w:cs="Times New Roman"/>
          <w:sz w:val="24"/>
          <w:szCs w:val="24"/>
        </w:rPr>
        <w:t>10 × 0.909 = 9.09</w:t>
      </w:r>
    </w:p>
    <w:p w14:paraId="549EBC8A" w14:textId="77777777" w:rsidR="003A08EE" w:rsidRPr="009154BA" w:rsidRDefault="003A08EE" w:rsidP="009154BA">
      <w:pPr>
        <w:numPr>
          <w:ilvl w:val="0"/>
          <w:numId w:val="21"/>
        </w:numPr>
        <w:jc w:val="both"/>
        <w:rPr>
          <w:rFonts w:ascii="Times New Roman" w:hAnsi="Times New Roman" w:cs="Times New Roman"/>
          <w:sz w:val="24"/>
          <w:szCs w:val="24"/>
        </w:rPr>
      </w:pPr>
      <w:r w:rsidRPr="009154BA">
        <w:rPr>
          <w:rFonts w:ascii="Times New Roman" w:hAnsi="Times New Roman" w:cs="Times New Roman"/>
          <w:sz w:val="24"/>
          <w:szCs w:val="24"/>
        </w:rPr>
        <w:t>12 × 0.826 = 9.91</w:t>
      </w:r>
    </w:p>
    <w:p w14:paraId="68B3CDE7" w14:textId="77777777" w:rsidR="003A08EE" w:rsidRPr="009154BA" w:rsidRDefault="003A08EE" w:rsidP="009154BA">
      <w:pPr>
        <w:numPr>
          <w:ilvl w:val="0"/>
          <w:numId w:val="21"/>
        </w:numPr>
        <w:jc w:val="both"/>
        <w:rPr>
          <w:rFonts w:ascii="Times New Roman" w:hAnsi="Times New Roman" w:cs="Times New Roman"/>
          <w:sz w:val="24"/>
          <w:szCs w:val="24"/>
        </w:rPr>
      </w:pPr>
      <w:r w:rsidRPr="009154BA">
        <w:rPr>
          <w:rFonts w:ascii="Times New Roman" w:hAnsi="Times New Roman" w:cs="Times New Roman"/>
          <w:sz w:val="24"/>
          <w:szCs w:val="24"/>
        </w:rPr>
        <w:t>14 × 0.751 = 10.51</w:t>
      </w:r>
    </w:p>
    <w:p w14:paraId="54EEF39A" w14:textId="77777777" w:rsidR="003A08EE" w:rsidRPr="009154BA" w:rsidRDefault="003A08EE" w:rsidP="009154BA">
      <w:pPr>
        <w:numPr>
          <w:ilvl w:val="0"/>
          <w:numId w:val="21"/>
        </w:numPr>
        <w:jc w:val="both"/>
        <w:rPr>
          <w:rFonts w:ascii="Times New Roman" w:hAnsi="Times New Roman" w:cs="Times New Roman"/>
          <w:sz w:val="24"/>
          <w:szCs w:val="24"/>
        </w:rPr>
      </w:pPr>
      <w:r w:rsidRPr="009154BA">
        <w:rPr>
          <w:rFonts w:ascii="Times New Roman" w:hAnsi="Times New Roman" w:cs="Times New Roman"/>
          <w:sz w:val="24"/>
          <w:szCs w:val="24"/>
        </w:rPr>
        <w:t>10 × 0.683 = 6.83</w:t>
      </w:r>
    </w:p>
    <w:p w14:paraId="6AAC3462" w14:textId="77777777" w:rsidR="009154BA" w:rsidRDefault="003A08EE" w:rsidP="009154BA">
      <w:pPr>
        <w:numPr>
          <w:ilvl w:val="0"/>
          <w:numId w:val="21"/>
        </w:numPr>
        <w:jc w:val="both"/>
        <w:rPr>
          <w:rFonts w:ascii="Times New Roman" w:hAnsi="Times New Roman" w:cs="Times New Roman"/>
          <w:sz w:val="24"/>
          <w:szCs w:val="24"/>
        </w:rPr>
      </w:pPr>
      <w:r w:rsidRPr="009154BA">
        <w:rPr>
          <w:rFonts w:ascii="Times New Roman" w:hAnsi="Times New Roman" w:cs="Times New Roman"/>
          <w:sz w:val="24"/>
          <w:szCs w:val="24"/>
        </w:rPr>
        <w:t>8 × 0.621 = 4.97</w:t>
      </w:r>
    </w:p>
    <w:p w14:paraId="543AA1E1" w14:textId="77777777" w:rsidR="009154BA" w:rsidRPr="009154BA" w:rsidRDefault="003A08EE" w:rsidP="009154BA">
      <w:pPr>
        <w:ind w:left="720"/>
        <w:jc w:val="both"/>
        <w:rPr>
          <w:rFonts w:ascii="Times New Roman" w:hAnsi="Times New Roman" w:cs="Times New Roman"/>
          <w:sz w:val="24"/>
          <w:szCs w:val="24"/>
        </w:rPr>
      </w:pPr>
      <w:r w:rsidRPr="009154BA">
        <w:rPr>
          <w:rFonts w:ascii="Times New Roman" w:hAnsi="Times New Roman" w:cs="Times New Roman"/>
          <w:sz w:val="24"/>
          <w:szCs w:val="24"/>
        </w:rPr>
        <w:t>Total PV = 41.31m</w:t>
      </w:r>
    </w:p>
    <w:p w14:paraId="3660870A" w14:textId="555C8234" w:rsidR="003A08EE" w:rsidRPr="009154BA" w:rsidRDefault="003A08EE" w:rsidP="0049751B">
      <w:pPr>
        <w:ind w:left="720"/>
        <w:jc w:val="both"/>
        <w:rPr>
          <w:rFonts w:ascii="Times New Roman" w:hAnsi="Times New Roman" w:cs="Times New Roman"/>
          <w:sz w:val="24"/>
          <w:szCs w:val="24"/>
        </w:rPr>
      </w:pPr>
      <w:r w:rsidRPr="009154BA">
        <w:rPr>
          <w:rFonts w:ascii="Times New Roman" w:hAnsi="Times New Roman" w:cs="Times New Roman"/>
          <w:sz w:val="24"/>
          <w:szCs w:val="24"/>
        </w:rPr>
        <w:t>NPV (A) = 41.31 – 40 = £1.31m</w:t>
      </w:r>
    </w:p>
    <w:p w14:paraId="3029672C"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B</w:t>
      </w:r>
    </w:p>
    <w:p w14:paraId="3A252850" w14:textId="77777777" w:rsid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PV of inflows:</w:t>
      </w:r>
    </w:p>
    <w:p w14:paraId="0AAFA8F2" w14:textId="020D5AAE"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6 × (0.909 + 0.826 + 0.751 + 0.683 + 0.621) = 6 × 3.79 = 22.74</w:t>
      </w:r>
      <w:r w:rsidRPr="009154BA">
        <w:rPr>
          <w:rFonts w:ascii="Times New Roman" w:hAnsi="Times New Roman" w:cs="Times New Roman"/>
          <w:sz w:val="24"/>
          <w:szCs w:val="24"/>
        </w:rPr>
        <w:br/>
        <w:t>NPV (B) = 22.74 – 30 = –£7.26m</w:t>
      </w:r>
    </w:p>
    <w:p w14:paraId="0FF10144"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C</w:t>
      </w:r>
    </w:p>
    <w:p w14:paraId="2BCA4DC5"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PV of inflows:</w:t>
      </w:r>
    </w:p>
    <w:p w14:paraId="0B163DA9" w14:textId="77777777" w:rsidR="003A08EE" w:rsidRPr="009154BA" w:rsidRDefault="003A08EE" w:rsidP="009154BA">
      <w:pPr>
        <w:numPr>
          <w:ilvl w:val="0"/>
          <w:numId w:val="22"/>
        </w:numPr>
        <w:jc w:val="both"/>
        <w:rPr>
          <w:rFonts w:ascii="Times New Roman" w:hAnsi="Times New Roman" w:cs="Times New Roman"/>
          <w:sz w:val="24"/>
          <w:szCs w:val="24"/>
        </w:rPr>
      </w:pPr>
      <w:r w:rsidRPr="009154BA">
        <w:rPr>
          <w:rFonts w:ascii="Times New Roman" w:hAnsi="Times New Roman" w:cs="Times New Roman"/>
          <w:sz w:val="24"/>
          <w:szCs w:val="24"/>
        </w:rPr>
        <w:t>5 × 0.909 = 4.55</w:t>
      </w:r>
    </w:p>
    <w:p w14:paraId="6F482D9F" w14:textId="77777777" w:rsidR="003A08EE" w:rsidRPr="009154BA" w:rsidRDefault="003A08EE" w:rsidP="009154BA">
      <w:pPr>
        <w:numPr>
          <w:ilvl w:val="0"/>
          <w:numId w:val="22"/>
        </w:numPr>
        <w:jc w:val="both"/>
        <w:rPr>
          <w:rFonts w:ascii="Times New Roman" w:hAnsi="Times New Roman" w:cs="Times New Roman"/>
          <w:sz w:val="24"/>
          <w:szCs w:val="24"/>
        </w:rPr>
      </w:pPr>
      <w:r w:rsidRPr="009154BA">
        <w:rPr>
          <w:rFonts w:ascii="Times New Roman" w:hAnsi="Times New Roman" w:cs="Times New Roman"/>
          <w:sz w:val="24"/>
          <w:szCs w:val="24"/>
        </w:rPr>
        <w:t>10 × 0.826 = 8.26</w:t>
      </w:r>
    </w:p>
    <w:p w14:paraId="3F0B1390" w14:textId="77777777" w:rsidR="003A08EE" w:rsidRPr="009154BA" w:rsidRDefault="003A08EE" w:rsidP="009154BA">
      <w:pPr>
        <w:numPr>
          <w:ilvl w:val="0"/>
          <w:numId w:val="22"/>
        </w:numPr>
        <w:jc w:val="both"/>
        <w:rPr>
          <w:rFonts w:ascii="Times New Roman" w:hAnsi="Times New Roman" w:cs="Times New Roman"/>
          <w:sz w:val="24"/>
          <w:szCs w:val="24"/>
        </w:rPr>
      </w:pPr>
      <w:r w:rsidRPr="009154BA">
        <w:rPr>
          <w:rFonts w:ascii="Times New Roman" w:hAnsi="Times New Roman" w:cs="Times New Roman"/>
          <w:sz w:val="24"/>
          <w:szCs w:val="24"/>
        </w:rPr>
        <w:lastRenderedPageBreak/>
        <w:t>20 × 0.751 = 15.02</w:t>
      </w:r>
    </w:p>
    <w:p w14:paraId="26FA5D3F" w14:textId="77777777" w:rsidR="003A08EE" w:rsidRPr="009154BA" w:rsidRDefault="003A08EE" w:rsidP="009154BA">
      <w:pPr>
        <w:numPr>
          <w:ilvl w:val="0"/>
          <w:numId w:val="22"/>
        </w:numPr>
        <w:jc w:val="both"/>
        <w:rPr>
          <w:rFonts w:ascii="Times New Roman" w:hAnsi="Times New Roman" w:cs="Times New Roman"/>
          <w:sz w:val="24"/>
          <w:szCs w:val="24"/>
        </w:rPr>
      </w:pPr>
      <w:r w:rsidRPr="009154BA">
        <w:rPr>
          <w:rFonts w:ascii="Times New Roman" w:hAnsi="Times New Roman" w:cs="Times New Roman"/>
          <w:sz w:val="24"/>
          <w:szCs w:val="24"/>
        </w:rPr>
        <w:t>25 × 0.683 = 17.08</w:t>
      </w:r>
    </w:p>
    <w:p w14:paraId="3D4EF85E" w14:textId="77777777" w:rsidR="009154BA" w:rsidRDefault="003A08EE" w:rsidP="009154BA">
      <w:pPr>
        <w:numPr>
          <w:ilvl w:val="0"/>
          <w:numId w:val="22"/>
        </w:numPr>
        <w:jc w:val="both"/>
        <w:rPr>
          <w:rFonts w:ascii="Times New Roman" w:hAnsi="Times New Roman" w:cs="Times New Roman"/>
          <w:sz w:val="24"/>
          <w:szCs w:val="24"/>
        </w:rPr>
      </w:pPr>
      <w:r w:rsidRPr="009154BA">
        <w:rPr>
          <w:rFonts w:ascii="Times New Roman" w:hAnsi="Times New Roman" w:cs="Times New Roman"/>
          <w:sz w:val="24"/>
          <w:szCs w:val="24"/>
        </w:rPr>
        <w:t>15 × 0.621 = 9.32</w:t>
      </w:r>
    </w:p>
    <w:p w14:paraId="1F601817" w14:textId="77777777" w:rsidR="009154BA" w:rsidRPr="009154BA" w:rsidRDefault="003A08EE" w:rsidP="009154BA">
      <w:pPr>
        <w:ind w:left="720"/>
        <w:jc w:val="both"/>
        <w:rPr>
          <w:rFonts w:ascii="Times New Roman" w:hAnsi="Times New Roman" w:cs="Times New Roman"/>
          <w:sz w:val="24"/>
          <w:szCs w:val="24"/>
        </w:rPr>
      </w:pPr>
      <w:r w:rsidRPr="009154BA">
        <w:rPr>
          <w:rFonts w:ascii="Times New Roman" w:hAnsi="Times New Roman" w:cs="Times New Roman"/>
          <w:sz w:val="24"/>
          <w:szCs w:val="24"/>
        </w:rPr>
        <w:t>Total PV = 54.23m</w:t>
      </w:r>
    </w:p>
    <w:p w14:paraId="120CDFB1" w14:textId="58FBD930" w:rsidR="003A08EE" w:rsidRPr="009154BA" w:rsidRDefault="003A08EE" w:rsidP="0049751B">
      <w:pPr>
        <w:ind w:left="720"/>
        <w:jc w:val="both"/>
        <w:rPr>
          <w:rFonts w:ascii="Times New Roman" w:hAnsi="Times New Roman" w:cs="Times New Roman"/>
          <w:sz w:val="24"/>
          <w:szCs w:val="24"/>
        </w:rPr>
      </w:pPr>
      <w:r w:rsidRPr="009154BA">
        <w:rPr>
          <w:rFonts w:ascii="Times New Roman" w:hAnsi="Times New Roman" w:cs="Times New Roman"/>
          <w:sz w:val="24"/>
          <w:szCs w:val="24"/>
        </w:rPr>
        <w:t>NPV (C) = 54.23 – 50 = £4.23m</w:t>
      </w:r>
    </w:p>
    <w:p w14:paraId="12EE3357"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NPV Interpretation</w:t>
      </w:r>
    </w:p>
    <w:p w14:paraId="57344042"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NPV ranks the projects as:</w:t>
      </w:r>
    </w:p>
    <w:p w14:paraId="0A9211E6" w14:textId="77777777" w:rsidR="003A08EE" w:rsidRPr="009154BA" w:rsidRDefault="003A08EE" w:rsidP="009154BA">
      <w:pPr>
        <w:numPr>
          <w:ilvl w:val="0"/>
          <w:numId w:val="23"/>
        </w:numPr>
        <w:jc w:val="both"/>
        <w:rPr>
          <w:rFonts w:ascii="Times New Roman" w:hAnsi="Times New Roman" w:cs="Times New Roman"/>
          <w:sz w:val="24"/>
          <w:szCs w:val="24"/>
        </w:rPr>
      </w:pPr>
      <w:r w:rsidRPr="009154BA">
        <w:rPr>
          <w:rFonts w:ascii="Times New Roman" w:hAnsi="Times New Roman" w:cs="Times New Roman"/>
          <w:sz w:val="24"/>
          <w:szCs w:val="24"/>
        </w:rPr>
        <w:t>Project C: +£4.23m</w:t>
      </w:r>
    </w:p>
    <w:p w14:paraId="20C569F1" w14:textId="77777777" w:rsidR="003A08EE" w:rsidRPr="009154BA" w:rsidRDefault="003A08EE" w:rsidP="009154BA">
      <w:pPr>
        <w:numPr>
          <w:ilvl w:val="0"/>
          <w:numId w:val="23"/>
        </w:numPr>
        <w:jc w:val="both"/>
        <w:rPr>
          <w:rFonts w:ascii="Times New Roman" w:hAnsi="Times New Roman" w:cs="Times New Roman"/>
          <w:sz w:val="24"/>
          <w:szCs w:val="24"/>
        </w:rPr>
      </w:pPr>
      <w:r w:rsidRPr="009154BA">
        <w:rPr>
          <w:rFonts w:ascii="Times New Roman" w:hAnsi="Times New Roman" w:cs="Times New Roman"/>
          <w:sz w:val="24"/>
          <w:szCs w:val="24"/>
        </w:rPr>
        <w:t>Project A: +£1.31m</w:t>
      </w:r>
    </w:p>
    <w:p w14:paraId="507DFDAB" w14:textId="77777777" w:rsidR="003A08EE" w:rsidRPr="009154BA" w:rsidRDefault="003A08EE" w:rsidP="009154BA">
      <w:pPr>
        <w:numPr>
          <w:ilvl w:val="0"/>
          <w:numId w:val="23"/>
        </w:numPr>
        <w:jc w:val="both"/>
        <w:rPr>
          <w:rFonts w:ascii="Times New Roman" w:hAnsi="Times New Roman" w:cs="Times New Roman"/>
          <w:sz w:val="24"/>
          <w:szCs w:val="24"/>
        </w:rPr>
      </w:pPr>
      <w:r w:rsidRPr="009154BA">
        <w:rPr>
          <w:rFonts w:ascii="Times New Roman" w:hAnsi="Times New Roman" w:cs="Times New Roman"/>
          <w:sz w:val="24"/>
          <w:szCs w:val="24"/>
        </w:rPr>
        <w:t>Project B: –£7.26m</w:t>
      </w:r>
    </w:p>
    <w:p w14:paraId="0C796F07" w14:textId="22C1F346"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Projects A and C create shareholder value; Project C generates the highest value, consistent with finance theory that NPV is the most reliable investment metric (</w:t>
      </w:r>
      <w:r w:rsidR="008A0433" w:rsidRPr="009154BA">
        <w:rPr>
          <w:rFonts w:ascii="Times New Roman" w:hAnsi="Times New Roman" w:cs="Times New Roman"/>
          <w:sz w:val="24"/>
          <w:szCs w:val="24"/>
        </w:rPr>
        <w:t>Osborne, 2010</w:t>
      </w:r>
      <w:r w:rsidRPr="009154BA">
        <w:rPr>
          <w:rFonts w:ascii="Times New Roman" w:hAnsi="Times New Roman" w:cs="Times New Roman"/>
          <w:sz w:val="24"/>
          <w:szCs w:val="24"/>
        </w:rPr>
        <w:t>).</w:t>
      </w:r>
    </w:p>
    <w:p w14:paraId="29A51438" w14:textId="69F77630" w:rsidR="003A08EE" w:rsidRPr="009154BA" w:rsidRDefault="003A08EE" w:rsidP="009154BA">
      <w:pPr>
        <w:jc w:val="both"/>
        <w:rPr>
          <w:rFonts w:ascii="Times New Roman" w:hAnsi="Times New Roman" w:cs="Times New Roman"/>
          <w:sz w:val="24"/>
          <w:szCs w:val="24"/>
        </w:rPr>
      </w:pPr>
    </w:p>
    <w:p w14:paraId="3D05766B" w14:textId="77777777" w:rsidR="003A08EE" w:rsidRPr="009154BA" w:rsidRDefault="003A08EE" w:rsidP="0049751B">
      <w:pPr>
        <w:pStyle w:val="Heading2"/>
      </w:pPr>
      <w:bookmarkStart w:id="26" w:name="_Toc214355525"/>
      <w:r w:rsidRPr="009154BA">
        <w:t>5.5 Internal Rate of Return (IRR)</w:t>
      </w:r>
      <w:bookmarkEnd w:id="26"/>
    </w:p>
    <w:p w14:paraId="159CCB0E"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IRR estimates (using interpolation):</w:t>
      </w:r>
    </w:p>
    <w:p w14:paraId="3B2685F1"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A</w:t>
      </w:r>
    </w:p>
    <w:p w14:paraId="5DA4A3F6" w14:textId="77777777" w:rsidR="009154BA" w:rsidRDefault="003A08EE" w:rsidP="009154BA">
      <w:pPr>
        <w:rPr>
          <w:rFonts w:ascii="Times New Roman" w:hAnsi="Times New Roman" w:cs="Times New Roman"/>
          <w:sz w:val="24"/>
          <w:szCs w:val="24"/>
        </w:rPr>
      </w:pPr>
      <w:r w:rsidRPr="009154BA">
        <w:rPr>
          <w:rFonts w:ascii="Times New Roman" w:hAnsi="Times New Roman" w:cs="Times New Roman"/>
          <w:sz w:val="24"/>
          <w:szCs w:val="24"/>
        </w:rPr>
        <w:t>NPV at 10% = +1.31</w:t>
      </w:r>
    </w:p>
    <w:p w14:paraId="5DF06B23" w14:textId="5D7A8196" w:rsidR="003A08EE" w:rsidRPr="009154BA" w:rsidRDefault="003A08EE" w:rsidP="0049751B">
      <w:pPr>
        <w:rPr>
          <w:rFonts w:ascii="Times New Roman" w:hAnsi="Times New Roman" w:cs="Times New Roman"/>
          <w:sz w:val="24"/>
          <w:szCs w:val="24"/>
        </w:rPr>
      </w:pPr>
      <w:r w:rsidRPr="009154BA">
        <w:rPr>
          <w:rFonts w:ascii="Times New Roman" w:hAnsi="Times New Roman" w:cs="Times New Roman"/>
          <w:sz w:val="24"/>
          <w:szCs w:val="24"/>
        </w:rPr>
        <w:t>Trial at 15% gives NPV ≈ –4.2</w:t>
      </w:r>
      <w:r w:rsidRPr="009154BA">
        <w:rPr>
          <w:rFonts w:ascii="Times New Roman" w:hAnsi="Times New Roman" w:cs="Times New Roman"/>
          <w:sz w:val="24"/>
          <w:szCs w:val="24"/>
        </w:rPr>
        <w:br/>
        <w:t>IRR ≈ 10% + (1.31 / (1.31 + 4.2)) × 5%</w:t>
      </w:r>
      <w:r w:rsidRPr="009154BA">
        <w:rPr>
          <w:rFonts w:ascii="Times New Roman" w:hAnsi="Times New Roman" w:cs="Times New Roman"/>
          <w:sz w:val="24"/>
          <w:szCs w:val="24"/>
        </w:rPr>
        <w:br/>
        <w:t xml:space="preserve">IRR ≈ </w:t>
      </w:r>
      <w:r w:rsidRPr="009154BA">
        <w:rPr>
          <w:rFonts w:ascii="Times New Roman" w:hAnsi="Times New Roman" w:cs="Times New Roman"/>
          <w:b/>
          <w:bCs/>
          <w:sz w:val="24"/>
          <w:szCs w:val="24"/>
        </w:rPr>
        <w:t>1</w:t>
      </w:r>
      <w:r w:rsidR="004F4863">
        <w:rPr>
          <w:rFonts w:ascii="Times New Roman" w:hAnsi="Times New Roman" w:cs="Times New Roman"/>
          <w:b/>
          <w:bCs/>
          <w:sz w:val="24"/>
          <w:szCs w:val="24"/>
        </w:rPr>
        <w:t>1.3</w:t>
      </w:r>
      <w:r w:rsidRPr="009154BA">
        <w:rPr>
          <w:rFonts w:ascii="Times New Roman" w:hAnsi="Times New Roman" w:cs="Times New Roman"/>
          <w:b/>
          <w:bCs/>
          <w:sz w:val="24"/>
          <w:szCs w:val="24"/>
        </w:rPr>
        <w:t>%</w:t>
      </w:r>
    </w:p>
    <w:p w14:paraId="6B4AF634"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B</w:t>
      </w:r>
    </w:p>
    <w:p w14:paraId="24734F56" w14:textId="21ACD8A0" w:rsidR="003A08EE" w:rsidRPr="009154BA" w:rsidRDefault="003A08EE" w:rsidP="0049751B">
      <w:pPr>
        <w:rPr>
          <w:rFonts w:ascii="Times New Roman" w:hAnsi="Times New Roman" w:cs="Times New Roman"/>
          <w:sz w:val="24"/>
          <w:szCs w:val="24"/>
        </w:rPr>
      </w:pPr>
      <w:r w:rsidRPr="009154BA">
        <w:rPr>
          <w:rFonts w:ascii="Times New Roman" w:hAnsi="Times New Roman" w:cs="Times New Roman"/>
          <w:sz w:val="24"/>
          <w:szCs w:val="24"/>
        </w:rPr>
        <w:t>Constant cash flows yield IRR &lt; 10% (negative NPV).</w:t>
      </w:r>
      <w:r w:rsidRPr="009154BA">
        <w:rPr>
          <w:rFonts w:ascii="Times New Roman" w:hAnsi="Times New Roman" w:cs="Times New Roman"/>
          <w:sz w:val="24"/>
          <w:szCs w:val="24"/>
        </w:rPr>
        <w:br/>
        <w:t xml:space="preserve">IRR ≈ </w:t>
      </w:r>
      <w:r w:rsidR="007D07DB">
        <w:rPr>
          <w:rFonts w:ascii="Times New Roman" w:hAnsi="Times New Roman" w:cs="Times New Roman"/>
          <w:b/>
          <w:bCs/>
          <w:sz w:val="24"/>
          <w:szCs w:val="24"/>
        </w:rPr>
        <w:t>0</w:t>
      </w:r>
      <w:r w:rsidRPr="009154BA">
        <w:rPr>
          <w:rFonts w:ascii="Times New Roman" w:hAnsi="Times New Roman" w:cs="Times New Roman"/>
          <w:b/>
          <w:bCs/>
          <w:sz w:val="24"/>
          <w:szCs w:val="24"/>
        </w:rPr>
        <w:t>%</w:t>
      </w:r>
    </w:p>
    <w:p w14:paraId="76B75DB9"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Project C</w:t>
      </w:r>
    </w:p>
    <w:p w14:paraId="739366FC" w14:textId="67BD15D6" w:rsidR="003A08EE" w:rsidRPr="009154BA" w:rsidRDefault="003A08EE" w:rsidP="009154BA">
      <w:pPr>
        <w:rPr>
          <w:rFonts w:ascii="Times New Roman" w:hAnsi="Times New Roman" w:cs="Times New Roman"/>
          <w:sz w:val="24"/>
          <w:szCs w:val="24"/>
        </w:rPr>
      </w:pPr>
      <w:r w:rsidRPr="009154BA">
        <w:rPr>
          <w:rFonts w:ascii="Times New Roman" w:hAnsi="Times New Roman" w:cs="Times New Roman"/>
          <w:sz w:val="24"/>
          <w:szCs w:val="24"/>
        </w:rPr>
        <w:t>NPV at 10% = +4.23</w:t>
      </w:r>
      <w:r w:rsidRPr="009154BA">
        <w:rPr>
          <w:rFonts w:ascii="Times New Roman" w:hAnsi="Times New Roman" w:cs="Times New Roman"/>
          <w:sz w:val="24"/>
          <w:szCs w:val="24"/>
        </w:rPr>
        <w:br/>
        <w:t>Trial at 15% gives NPV ≈ –3.5</w:t>
      </w:r>
      <w:r w:rsidRPr="009154BA">
        <w:rPr>
          <w:rFonts w:ascii="Times New Roman" w:hAnsi="Times New Roman" w:cs="Times New Roman"/>
          <w:sz w:val="24"/>
          <w:szCs w:val="24"/>
        </w:rPr>
        <w:br/>
        <w:t>IRR ≈ 10% + (4.23 / (4.23 + 3.5)) × 5%</w:t>
      </w:r>
      <w:r w:rsidRPr="009154BA">
        <w:rPr>
          <w:rFonts w:ascii="Times New Roman" w:hAnsi="Times New Roman" w:cs="Times New Roman"/>
          <w:sz w:val="24"/>
          <w:szCs w:val="24"/>
        </w:rPr>
        <w:br/>
        <w:t xml:space="preserve">IRR ≈ </w:t>
      </w:r>
      <w:r w:rsidRPr="009154BA">
        <w:rPr>
          <w:rFonts w:ascii="Times New Roman" w:hAnsi="Times New Roman" w:cs="Times New Roman"/>
          <w:b/>
          <w:bCs/>
          <w:sz w:val="24"/>
          <w:szCs w:val="24"/>
        </w:rPr>
        <w:t>1</w:t>
      </w:r>
      <w:r w:rsidR="00E15D61">
        <w:rPr>
          <w:rFonts w:ascii="Times New Roman" w:hAnsi="Times New Roman" w:cs="Times New Roman"/>
          <w:b/>
          <w:bCs/>
          <w:sz w:val="24"/>
          <w:szCs w:val="24"/>
        </w:rPr>
        <w:t>2.72</w:t>
      </w:r>
      <w:r w:rsidRPr="009154BA">
        <w:rPr>
          <w:rFonts w:ascii="Times New Roman" w:hAnsi="Times New Roman" w:cs="Times New Roman"/>
          <w:b/>
          <w:bCs/>
          <w:sz w:val="24"/>
          <w:szCs w:val="24"/>
        </w:rPr>
        <w:t>%</w:t>
      </w:r>
    </w:p>
    <w:p w14:paraId="78E2B739" w14:textId="3201B093" w:rsidR="003A08EE" w:rsidRDefault="003A08EE" w:rsidP="009154BA">
      <w:pPr>
        <w:jc w:val="both"/>
        <w:rPr>
          <w:rFonts w:ascii="Times New Roman" w:hAnsi="Times New Roman" w:cs="Times New Roman"/>
          <w:sz w:val="24"/>
          <w:szCs w:val="24"/>
        </w:rPr>
      </w:pPr>
    </w:p>
    <w:p w14:paraId="704E273A" w14:textId="77777777" w:rsidR="00722D07" w:rsidRPr="009154BA" w:rsidRDefault="00722D07" w:rsidP="009154BA">
      <w:pPr>
        <w:jc w:val="both"/>
        <w:rPr>
          <w:rFonts w:ascii="Times New Roman" w:hAnsi="Times New Roman" w:cs="Times New Roman"/>
          <w:sz w:val="24"/>
          <w:szCs w:val="24"/>
        </w:rPr>
      </w:pPr>
    </w:p>
    <w:p w14:paraId="2C9BF248"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lastRenderedPageBreak/>
        <w:t>IRR Interpretation</w:t>
      </w:r>
    </w:p>
    <w:p w14:paraId="75AA6F46"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Ranking by IRR:</w:t>
      </w:r>
    </w:p>
    <w:p w14:paraId="267BB656" w14:textId="3C830D65" w:rsidR="003A08EE" w:rsidRPr="009154BA" w:rsidRDefault="003A08EE" w:rsidP="009154BA">
      <w:pPr>
        <w:numPr>
          <w:ilvl w:val="0"/>
          <w:numId w:val="24"/>
        </w:numPr>
        <w:jc w:val="both"/>
        <w:rPr>
          <w:rFonts w:ascii="Times New Roman" w:hAnsi="Times New Roman" w:cs="Times New Roman"/>
          <w:sz w:val="24"/>
          <w:szCs w:val="24"/>
        </w:rPr>
      </w:pPr>
      <w:r w:rsidRPr="009154BA">
        <w:rPr>
          <w:rFonts w:ascii="Times New Roman" w:hAnsi="Times New Roman" w:cs="Times New Roman"/>
          <w:b/>
          <w:bCs/>
          <w:sz w:val="24"/>
          <w:szCs w:val="24"/>
        </w:rPr>
        <w:t>Project C (1</w:t>
      </w:r>
      <w:r w:rsidR="008C464D">
        <w:rPr>
          <w:rFonts w:ascii="Times New Roman" w:hAnsi="Times New Roman" w:cs="Times New Roman"/>
          <w:b/>
          <w:bCs/>
          <w:sz w:val="24"/>
          <w:szCs w:val="24"/>
        </w:rPr>
        <w:t>2.72</w:t>
      </w:r>
      <w:r w:rsidRPr="009154BA">
        <w:rPr>
          <w:rFonts w:ascii="Times New Roman" w:hAnsi="Times New Roman" w:cs="Times New Roman"/>
          <w:b/>
          <w:bCs/>
          <w:sz w:val="24"/>
          <w:szCs w:val="24"/>
        </w:rPr>
        <w:t>%)</w:t>
      </w:r>
    </w:p>
    <w:p w14:paraId="730EB5EA" w14:textId="5993B3A0" w:rsidR="003A08EE" w:rsidRPr="009154BA" w:rsidRDefault="003A08EE" w:rsidP="009154BA">
      <w:pPr>
        <w:numPr>
          <w:ilvl w:val="0"/>
          <w:numId w:val="24"/>
        </w:numPr>
        <w:jc w:val="both"/>
        <w:rPr>
          <w:rFonts w:ascii="Times New Roman" w:hAnsi="Times New Roman" w:cs="Times New Roman"/>
          <w:sz w:val="24"/>
          <w:szCs w:val="24"/>
        </w:rPr>
      </w:pPr>
      <w:r w:rsidRPr="009154BA">
        <w:rPr>
          <w:rFonts w:ascii="Times New Roman" w:hAnsi="Times New Roman" w:cs="Times New Roman"/>
          <w:b/>
          <w:bCs/>
          <w:sz w:val="24"/>
          <w:szCs w:val="24"/>
        </w:rPr>
        <w:t>Project A (1</w:t>
      </w:r>
      <w:r w:rsidR="00BA7996">
        <w:rPr>
          <w:rFonts w:ascii="Times New Roman" w:hAnsi="Times New Roman" w:cs="Times New Roman"/>
          <w:b/>
          <w:bCs/>
          <w:sz w:val="24"/>
          <w:szCs w:val="24"/>
        </w:rPr>
        <w:t>1</w:t>
      </w:r>
      <w:r w:rsidRPr="009154BA">
        <w:rPr>
          <w:rFonts w:ascii="Times New Roman" w:hAnsi="Times New Roman" w:cs="Times New Roman"/>
          <w:b/>
          <w:bCs/>
          <w:sz w:val="24"/>
          <w:szCs w:val="24"/>
        </w:rPr>
        <w:t>.3</w:t>
      </w:r>
      <w:r w:rsidR="008C464D">
        <w:rPr>
          <w:rFonts w:ascii="Times New Roman" w:hAnsi="Times New Roman" w:cs="Times New Roman"/>
          <w:b/>
          <w:bCs/>
          <w:sz w:val="24"/>
          <w:szCs w:val="24"/>
        </w:rPr>
        <w:t>0</w:t>
      </w:r>
      <w:r w:rsidRPr="009154BA">
        <w:rPr>
          <w:rFonts w:ascii="Times New Roman" w:hAnsi="Times New Roman" w:cs="Times New Roman"/>
          <w:b/>
          <w:bCs/>
          <w:sz w:val="24"/>
          <w:szCs w:val="24"/>
        </w:rPr>
        <w:t>%)</w:t>
      </w:r>
    </w:p>
    <w:p w14:paraId="1665C673" w14:textId="0911E654" w:rsidR="003A08EE" w:rsidRPr="009154BA" w:rsidRDefault="003A08EE" w:rsidP="009154BA">
      <w:pPr>
        <w:numPr>
          <w:ilvl w:val="0"/>
          <w:numId w:val="24"/>
        </w:numPr>
        <w:jc w:val="both"/>
        <w:rPr>
          <w:rFonts w:ascii="Times New Roman" w:hAnsi="Times New Roman" w:cs="Times New Roman"/>
          <w:sz w:val="24"/>
          <w:szCs w:val="24"/>
        </w:rPr>
      </w:pPr>
      <w:r w:rsidRPr="009154BA">
        <w:rPr>
          <w:rFonts w:ascii="Times New Roman" w:hAnsi="Times New Roman" w:cs="Times New Roman"/>
          <w:b/>
          <w:bCs/>
          <w:sz w:val="24"/>
          <w:szCs w:val="24"/>
        </w:rPr>
        <w:t>Project B (</w:t>
      </w:r>
      <w:r w:rsidR="007D07DB">
        <w:rPr>
          <w:rFonts w:ascii="Times New Roman" w:hAnsi="Times New Roman" w:cs="Times New Roman"/>
          <w:b/>
          <w:bCs/>
          <w:sz w:val="24"/>
          <w:szCs w:val="24"/>
        </w:rPr>
        <w:t>0</w:t>
      </w:r>
      <w:r w:rsidRPr="009154BA">
        <w:rPr>
          <w:rFonts w:ascii="Times New Roman" w:hAnsi="Times New Roman" w:cs="Times New Roman"/>
          <w:b/>
          <w:bCs/>
          <w:sz w:val="24"/>
          <w:szCs w:val="24"/>
        </w:rPr>
        <w:t>%)</w:t>
      </w:r>
    </w:p>
    <w:p w14:paraId="5B19462E" w14:textId="2D464529"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C provides the greatest return relative to cost of capital.</w:t>
      </w:r>
    </w:p>
    <w:p w14:paraId="73A62A99" w14:textId="77777777" w:rsidR="003A08EE" w:rsidRPr="009154BA" w:rsidRDefault="003A08EE" w:rsidP="0049751B">
      <w:pPr>
        <w:pStyle w:val="Heading2"/>
      </w:pPr>
      <w:bookmarkStart w:id="27" w:name="_Toc214355526"/>
      <w:r w:rsidRPr="009154BA">
        <w:t>5.6 Profitability Index (PI)</w:t>
      </w:r>
      <w:bookmarkEnd w:id="27"/>
    </w:p>
    <w:p w14:paraId="48BD3242"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PI = Total PV of inflows / Initial investment</w:t>
      </w:r>
    </w:p>
    <w:p w14:paraId="1D3DDF6D" w14:textId="5383877A" w:rsidR="003A08EE" w:rsidRPr="009154BA" w:rsidRDefault="003A08EE" w:rsidP="009154BA">
      <w:pPr>
        <w:numPr>
          <w:ilvl w:val="0"/>
          <w:numId w:val="25"/>
        </w:numPr>
        <w:jc w:val="both"/>
        <w:rPr>
          <w:rFonts w:ascii="Times New Roman" w:hAnsi="Times New Roman" w:cs="Times New Roman"/>
          <w:sz w:val="24"/>
          <w:szCs w:val="24"/>
        </w:rPr>
      </w:pPr>
      <w:r w:rsidRPr="009154BA">
        <w:rPr>
          <w:rFonts w:ascii="Times New Roman" w:hAnsi="Times New Roman" w:cs="Times New Roman"/>
          <w:b/>
          <w:bCs/>
          <w:sz w:val="24"/>
          <w:szCs w:val="24"/>
        </w:rPr>
        <w:t xml:space="preserve">PI (A) = 41.31 / 40 = </w:t>
      </w:r>
      <w:r w:rsidR="00E25EDF" w:rsidRPr="00E25EDF">
        <w:rPr>
          <w:rFonts w:ascii="Times New Roman" w:hAnsi="Times New Roman" w:cs="Times New Roman"/>
          <w:b/>
          <w:bCs/>
          <w:sz w:val="24"/>
          <w:szCs w:val="24"/>
        </w:rPr>
        <w:t>1.033104442</w:t>
      </w:r>
    </w:p>
    <w:p w14:paraId="69B11D14" w14:textId="2AACE45F" w:rsidR="003A08EE" w:rsidRPr="00E25EDF" w:rsidRDefault="003A08EE" w:rsidP="00E25EDF">
      <w:pPr>
        <w:pStyle w:val="ListParagraph"/>
        <w:numPr>
          <w:ilvl w:val="0"/>
          <w:numId w:val="25"/>
        </w:numPr>
        <w:jc w:val="both"/>
        <w:rPr>
          <w:rFonts w:ascii="Aptos Narrow" w:eastAsia="Times New Roman" w:hAnsi="Aptos Narrow" w:cs="Times New Roman"/>
          <w:color w:val="000000"/>
          <w:kern w:val="0"/>
          <w:lang w:eastAsia="en-IN"/>
          <w14:ligatures w14:val="none"/>
        </w:rPr>
      </w:pPr>
      <w:r w:rsidRPr="00E25EDF">
        <w:rPr>
          <w:rFonts w:ascii="Times New Roman" w:hAnsi="Times New Roman" w:cs="Times New Roman"/>
          <w:b/>
          <w:bCs/>
          <w:sz w:val="24"/>
          <w:szCs w:val="24"/>
        </w:rPr>
        <w:t xml:space="preserve">PI (B) = 22.74 / 30 = </w:t>
      </w:r>
      <w:r w:rsidR="00E25EDF" w:rsidRPr="00E25EDF">
        <w:rPr>
          <w:rFonts w:ascii="Times New Roman" w:hAnsi="Times New Roman" w:cs="Times New Roman"/>
          <w:b/>
          <w:bCs/>
          <w:sz w:val="24"/>
          <w:szCs w:val="24"/>
        </w:rPr>
        <w:t>0.758157354</w:t>
      </w:r>
    </w:p>
    <w:p w14:paraId="0C781D76" w14:textId="77777777" w:rsidR="00E25EDF" w:rsidRPr="00E25EDF" w:rsidRDefault="00E25EDF" w:rsidP="00E25EDF">
      <w:pPr>
        <w:pStyle w:val="ListParagraph"/>
        <w:jc w:val="both"/>
        <w:rPr>
          <w:rFonts w:ascii="Aptos Narrow" w:eastAsia="Times New Roman" w:hAnsi="Aptos Narrow" w:cs="Times New Roman"/>
          <w:color w:val="000000"/>
          <w:kern w:val="0"/>
          <w:lang w:eastAsia="en-IN"/>
          <w14:ligatures w14:val="none"/>
        </w:rPr>
      </w:pPr>
    </w:p>
    <w:p w14:paraId="4AB58938" w14:textId="30D4518C" w:rsidR="003A08EE" w:rsidRPr="00E25EDF" w:rsidRDefault="003A08EE" w:rsidP="00E25EDF">
      <w:pPr>
        <w:pStyle w:val="ListParagraph"/>
        <w:numPr>
          <w:ilvl w:val="0"/>
          <w:numId w:val="25"/>
        </w:numPr>
        <w:jc w:val="both"/>
        <w:rPr>
          <w:rFonts w:ascii="Aptos Narrow" w:eastAsia="Times New Roman" w:hAnsi="Aptos Narrow" w:cs="Times New Roman"/>
          <w:color w:val="000000"/>
          <w:kern w:val="0"/>
          <w:lang w:eastAsia="en-IN"/>
          <w14:ligatures w14:val="none"/>
        </w:rPr>
      </w:pPr>
      <w:r w:rsidRPr="00E25EDF">
        <w:rPr>
          <w:rFonts w:ascii="Times New Roman" w:hAnsi="Times New Roman" w:cs="Times New Roman"/>
          <w:b/>
          <w:bCs/>
          <w:sz w:val="24"/>
          <w:szCs w:val="24"/>
        </w:rPr>
        <w:t xml:space="preserve">PI (C) = 54.23 / 50 = </w:t>
      </w:r>
      <w:r w:rsidR="00E25EDF" w:rsidRPr="00E25EDF">
        <w:rPr>
          <w:rFonts w:ascii="Times New Roman" w:hAnsi="Times New Roman" w:cs="Times New Roman"/>
          <w:b/>
          <w:bCs/>
          <w:sz w:val="24"/>
          <w:szCs w:val="24"/>
        </w:rPr>
        <w:t>1.084507392</w:t>
      </w:r>
    </w:p>
    <w:p w14:paraId="7C656DFF" w14:textId="0FD1970F"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PI again ranks Project C highest, followed by A.</w:t>
      </w:r>
    </w:p>
    <w:p w14:paraId="5A39C7F8" w14:textId="77777777" w:rsidR="003A08EE" w:rsidRPr="009154BA" w:rsidRDefault="003A08EE" w:rsidP="0049751B">
      <w:pPr>
        <w:pStyle w:val="Heading2"/>
      </w:pPr>
      <w:bookmarkStart w:id="28" w:name="_Toc214355527"/>
      <w:r w:rsidRPr="009154BA">
        <w:t>5.7 Capital Rationing Decision (Budget = £60m)</w:t>
      </w:r>
      <w:bookmarkEnd w:id="28"/>
    </w:p>
    <w:p w14:paraId="75B96A81"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Possible combinations:</w:t>
      </w:r>
    </w:p>
    <w:p w14:paraId="6537C8E7" w14:textId="7E16B498" w:rsidR="003A08EE" w:rsidRPr="009154BA" w:rsidRDefault="003A08EE" w:rsidP="009154BA">
      <w:pPr>
        <w:numPr>
          <w:ilvl w:val="0"/>
          <w:numId w:val="26"/>
        </w:numPr>
        <w:jc w:val="both"/>
        <w:rPr>
          <w:rFonts w:ascii="Times New Roman" w:hAnsi="Times New Roman" w:cs="Times New Roman"/>
          <w:sz w:val="24"/>
          <w:szCs w:val="24"/>
        </w:rPr>
      </w:pPr>
      <w:r w:rsidRPr="009154BA">
        <w:rPr>
          <w:rFonts w:ascii="Times New Roman" w:hAnsi="Times New Roman" w:cs="Times New Roman"/>
          <w:sz w:val="24"/>
          <w:szCs w:val="24"/>
        </w:rPr>
        <w:t>A + B = £40m + £30m = £70</w:t>
      </w:r>
      <w:r w:rsidR="009154BA" w:rsidRPr="009154BA">
        <w:rPr>
          <w:rFonts w:ascii="Times New Roman" w:hAnsi="Times New Roman" w:cs="Times New Roman"/>
          <w:sz w:val="24"/>
          <w:szCs w:val="24"/>
        </w:rPr>
        <w:t>m Not</w:t>
      </w:r>
      <w:r w:rsidRPr="009154BA">
        <w:rPr>
          <w:rFonts w:ascii="Times New Roman" w:hAnsi="Times New Roman" w:cs="Times New Roman"/>
          <w:sz w:val="24"/>
          <w:szCs w:val="24"/>
        </w:rPr>
        <w:t xml:space="preserve"> allowed</w:t>
      </w:r>
    </w:p>
    <w:p w14:paraId="28233171" w14:textId="5A692DEA" w:rsidR="003A08EE" w:rsidRPr="009154BA" w:rsidRDefault="003A08EE" w:rsidP="009154BA">
      <w:pPr>
        <w:numPr>
          <w:ilvl w:val="0"/>
          <w:numId w:val="26"/>
        </w:numPr>
        <w:jc w:val="both"/>
        <w:rPr>
          <w:rFonts w:ascii="Times New Roman" w:hAnsi="Times New Roman" w:cs="Times New Roman"/>
          <w:sz w:val="24"/>
          <w:szCs w:val="24"/>
        </w:rPr>
      </w:pPr>
      <w:r w:rsidRPr="009154BA">
        <w:rPr>
          <w:rFonts w:ascii="Times New Roman" w:hAnsi="Times New Roman" w:cs="Times New Roman"/>
          <w:sz w:val="24"/>
          <w:szCs w:val="24"/>
        </w:rPr>
        <w:t>B + C = £30m + £50m = £80</w:t>
      </w:r>
      <w:r w:rsidR="009154BA" w:rsidRPr="009154BA">
        <w:rPr>
          <w:rFonts w:ascii="Times New Roman" w:hAnsi="Times New Roman" w:cs="Times New Roman"/>
          <w:sz w:val="24"/>
          <w:szCs w:val="24"/>
        </w:rPr>
        <w:t>m Not</w:t>
      </w:r>
      <w:r w:rsidRPr="009154BA">
        <w:rPr>
          <w:rFonts w:ascii="Times New Roman" w:hAnsi="Times New Roman" w:cs="Times New Roman"/>
          <w:sz w:val="24"/>
          <w:szCs w:val="24"/>
        </w:rPr>
        <w:t xml:space="preserve"> allowed</w:t>
      </w:r>
    </w:p>
    <w:p w14:paraId="692C88A0" w14:textId="5205951D" w:rsidR="003A08EE" w:rsidRPr="009154BA" w:rsidRDefault="003A08EE" w:rsidP="009154BA">
      <w:pPr>
        <w:numPr>
          <w:ilvl w:val="0"/>
          <w:numId w:val="26"/>
        </w:numPr>
        <w:jc w:val="both"/>
        <w:rPr>
          <w:rFonts w:ascii="Times New Roman" w:hAnsi="Times New Roman" w:cs="Times New Roman"/>
          <w:sz w:val="24"/>
          <w:szCs w:val="24"/>
        </w:rPr>
      </w:pPr>
      <w:r w:rsidRPr="009154BA">
        <w:rPr>
          <w:rFonts w:ascii="Times New Roman" w:hAnsi="Times New Roman" w:cs="Times New Roman"/>
          <w:sz w:val="24"/>
          <w:szCs w:val="24"/>
        </w:rPr>
        <w:t>A + C = £40m + £50m = £90</w:t>
      </w:r>
      <w:r w:rsidR="009154BA" w:rsidRPr="009154BA">
        <w:rPr>
          <w:rFonts w:ascii="Times New Roman" w:hAnsi="Times New Roman" w:cs="Times New Roman"/>
          <w:sz w:val="24"/>
          <w:szCs w:val="24"/>
        </w:rPr>
        <w:t>m Not</w:t>
      </w:r>
      <w:r w:rsidRPr="009154BA">
        <w:rPr>
          <w:rFonts w:ascii="Times New Roman" w:hAnsi="Times New Roman" w:cs="Times New Roman"/>
          <w:sz w:val="24"/>
          <w:szCs w:val="24"/>
        </w:rPr>
        <w:t xml:space="preserve"> allowed</w:t>
      </w:r>
    </w:p>
    <w:p w14:paraId="36008C87" w14:textId="42790A5F" w:rsidR="009154BA" w:rsidRPr="0049751B" w:rsidRDefault="003A08EE" w:rsidP="009154BA">
      <w:pPr>
        <w:numPr>
          <w:ilvl w:val="0"/>
          <w:numId w:val="26"/>
        </w:numPr>
        <w:jc w:val="both"/>
        <w:rPr>
          <w:rFonts w:ascii="Times New Roman" w:hAnsi="Times New Roman" w:cs="Times New Roman"/>
          <w:sz w:val="24"/>
          <w:szCs w:val="24"/>
        </w:rPr>
      </w:pPr>
      <w:r w:rsidRPr="009154BA">
        <w:rPr>
          <w:rFonts w:ascii="Times New Roman" w:hAnsi="Times New Roman" w:cs="Times New Roman"/>
          <w:sz w:val="24"/>
          <w:szCs w:val="24"/>
        </w:rPr>
        <w:t>Only one project can be selected under strict £60m limit.</w:t>
      </w:r>
    </w:p>
    <w:p w14:paraId="62269D69" w14:textId="3425A610" w:rsidR="003A08EE" w:rsidRPr="009154BA" w:rsidRDefault="008C0CD7" w:rsidP="009154BA">
      <w:pPr>
        <w:jc w:val="both"/>
        <w:rPr>
          <w:rFonts w:ascii="Times New Roman" w:hAnsi="Times New Roman" w:cs="Times New Roman"/>
          <w:sz w:val="24"/>
          <w:szCs w:val="24"/>
        </w:rPr>
      </w:pPr>
      <w:r>
        <w:rPr>
          <w:rFonts w:ascii="Times New Roman" w:hAnsi="Times New Roman" w:cs="Times New Roman"/>
          <w:sz w:val="24"/>
          <w:szCs w:val="24"/>
        </w:rPr>
        <w:t xml:space="preserve">Table 1. </w:t>
      </w:r>
      <w:r w:rsidR="003A08EE" w:rsidRPr="009154BA">
        <w:rPr>
          <w:rFonts w:ascii="Times New Roman" w:hAnsi="Times New Roman" w:cs="Times New Roman"/>
          <w:sz w:val="24"/>
          <w:szCs w:val="24"/>
        </w:rPr>
        <w:t>Ranking summary</w:t>
      </w:r>
    </w:p>
    <w:tbl>
      <w:tblPr>
        <w:tblStyle w:val="GridTable2-Accent5"/>
        <w:tblW w:w="3135" w:type="dxa"/>
        <w:tblLook w:val="04A0" w:firstRow="1" w:lastRow="0" w:firstColumn="1" w:lastColumn="0" w:noHBand="0" w:noVBand="1"/>
      </w:tblPr>
      <w:tblGrid>
        <w:gridCol w:w="1204"/>
        <w:gridCol w:w="1931"/>
      </w:tblGrid>
      <w:tr w:rsidR="003A08EE" w:rsidRPr="009154BA" w14:paraId="647FCF68" w14:textId="77777777" w:rsidTr="009154BA">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1BCFC7D8" w14:textId="77777777" w:rsidR="003A08EE" w:rsidRPr="009154BA" w:rsidRDefault="003A08EE" w:rsidP="009154BA">
            <w:pPr>
              <w:jc w:val="both"/>
              <w:rPr>
                <w:rFonts w:ascii="Times New Roman" w:hAnsi="Times New Roman" w:cs="Times New Roman"/>
                <w:b w:val="0"/>
                <w:bCs w:val="0"/>
                <w:sz w:val="24"/>
                <w:szCs w:val="24"/>
              </w:rPr>
            </w:pPr>
            <w:r w:rsidRPr="009154BA">
              <w:rPr>
                <w:rFonts w:ascii="Times New Roman" w:hAnsi="Times New Roman" w:cs="Times New Roman"/>
                <w:sz w:val="24"/>
                <w:szCs w:val="24"/>
              </w:rPr>
              <w:t>Metric</w:t>
            </w:r>
          </w:p>
        </w:tc>
        <w:tc>
          <w:tcPr>
            <w:tcW w:w="0" w:type="auto"/>
            <w:hideMark/>
          </w:tcPr>
          <w:p w14:paraId="0D327A05" w14:textId="77777777" w:rsidR="003A08EE" w:rsidRPr="009154BA" w:rsidRDefault="003A08EE" w:rsidP="009154BA">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154BA">
              <w:rPr>
                <w:rFonts w:ascii="Times New Roman" w:hAnsi="Times New Roman" w:cs="Times New Roman"/>
                <w:sz w:val="24"/>
                <w:szCs w:val="24"/>
              </w:rPr>
              <w:t>Best Project</w:t>
            </w:r>
          </w:p>
        </w:tc>
      </w:tr>
      <w:tr w:rsidR="003A08EE" w:rsidRPr="009154BA" w14:paraId="7CDDF96F" w14:textId="77777777" w:rsidTr="009154BA">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0" w:type="auto"/>
            <w:hideMark/>
          </w:tcPr>
          <w:p w14:paraId="1644AE76"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PBP</w:t>
            </w:r>
          </w:p>
        </w:tc>
        <w:tc>
          <w:tcPr>
            <w:tcW w:w="0" w:type="auto"/>
            <w:hideMark/>
          </w:tcPr>
          <w:p w14:paraId="63E5AB00" w14:textId="77777777" w:rsidR="003A08EE" w:rsidRPr="009154BA" w:rsidRDefault="003A08EE" w:rsidP="009154BA">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54BA">
              <w:rPr>
                <w:rFonts w:ascii="Times New Roman" w:hAnsi="Times New Roman" w:cs="Times New Roman"/>
                <w:sz w:val="24"/>
                <w:szCs w:val="24"/>
              </w:rPr>
              <w:t>A</w:t>
            </w:r>
          </w:p>
        </w:tc>
      </w:tr>
      <w:tr w:rsidR="003A08EE" w:rsidRPr="009154BA" w14:paraId="78885129" w14:textId="77777777" w:rsidTr="009154BA">
        <w:trPr>
          <w:trHeight w:val="438"/>
        </w:trPr>
        <w:tc>
          <w:tcPr>
            <w:cnfStyle w:val="001000000000" w:firstRow="0" w:lastRow="0" w:firstColumn="1" w:lastColumn="0" w:oddVBand="0" w:evenVBand="0" w:oddHBand="0" w:evenHBand="0" w:firstRowFirstColumn="0" w:firstRowLastColumn="0" w:lastRowFirstColumn="0" w:lastRowLastColumn="0"/>
            <w:tcW w:w="0" w:type="auto"/>
            <w:hideMark/>
          </w:tcPr>
          <w:p w14:paraId="6AB720BE"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ARR</w:t>
            </w:r>
          </w:p>
        </w:tc>
        <w:tc>
          <w:tcPr>
            <w:tcW w:w="0" w:type="auto"/>
            <w:hideMark/>
          </w:tcPr>
          <w:p w14:paraId="0E6FF7F6" w14:textId="77777777" w:rsidR="003A08EE" w:rsidRPr="009154BA" w:rsidRDefault="003A08EE" w:rsidP="009154BA">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154BA">
              <w:rPr>
                <w:rFonts w:ascii="Times New Roman" w:hAnsi="Times New Roman" w:cs="Times New Roman"/>
                <w:sz w:val="24"/>
                <w:szCs w:val="24"/>
              </w:rPr>
              <w:t>C</w:t>
            </w:r>
          </w:p>
        </w:tc>
      </w:tr>
      <w:tr w:rsidR="003A08EE" w:rsidRPr="009154BA" w14:paraId="394C9516" w14:textId="77777777" w:rsidTr="009154BA">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0" w:type="auto"/>
            <w:hideMark/>
          </w:tcPr>
          <w:p w14:paraId="209E85F6"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NPV</w:t>
            </w:r>
          </w:p>
        </w:tc>
        <w:tc>
          <w:tcPr>
            <w:tcW w:w="0" w:type="auto"/>
            <w:hideMark/>
          </w:tcPr>
          <w:p w14:paraId="7C85EFC7" w14:textId="77777777" w:rsidR="003A08EE" w:rsidRPr="009154BA" w:rsidRDefault="003A08EE" w:rsidP="009154BA">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54BA">
              <w:rPr>
                <w:rFonts w:ascii="Times New Roman" w:hAnsi="Times New Roman" w:cs="Times New Roman"/>
                <w:sz w:val="24"/>
                <w:szCs w:val="24"/>
              </w:rPr>
              <w:t>C</w:t>
            </w:r>
          </w:p>
        </w:tc>
      </w:tr>
      <w:tr w:rsidR="003A08EE" w:rsidRPr="009154BA" w14:paraId="5F5C12AC" w14:textId="77777777" w:rsidTr="009154BA">
        <w:trPr>
          <w:trHeight w:val="438"/>
        </w:trPr>
        <w:tc>
          <w:tcPr>
            <w:cnfStyle w:val="001000000000" w:firstRow="0" w:lastRow="0" w:firstColumn="1" w:lastColumn="0" w:oddVBand="0" w:evenVBand="0" w:oddHBand="0" w:evenHBand="0" w:firstRowFirstColumn="0" w:firstRowLastColumn="0" w:lastRowFirstColumn="0" w:lastRowLastColumn="0"/>
            <w:tcW w:w="0" w:type="auto"/>
            <w:hideMark/>
          </w:tcPr>
          <w:p w14:paraId="4A004721"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IRR</w:t>
            </w:r>
          </w:p>
        </w:tc>
        <w:tc>
          <w:tcPr>
            <w:tcW w:w="0" w:type="auto"/>
            <w:hideMark/>
          </w:tcPr>
          <w:p w14:paraId="07B5AA8A" w14:textId="77777777" w:rsidR="003A08EE" w:rsidRPr="009154BA" w:rsidRDefault="003A08EE" w:rsidP="009154BA">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154BA">
              <w:rPr>
                <w:rFonts w:ascii="Times New Roman" w:hAnsi="Times New Roman" w:cs="Times New Roman"/>
                <w:sz w:val="24"/>
                <w:szCs w:val="24"/>
              </w:rPr>
              <w:t>C</w:t>
            </w:r>
          </w:p>
        </w:tc>
      </w:tr>
      <w:tr w:rsidR="003A08EE" w:rsidRPr="009154BA" w14:paraId="6F00FFD2" w14:textId="77777777" w:rsidTr="009154BA">
        <w:trPr>
          <w:cnfStyle w:val="000000100000" w:firstRow="0" w:lastRow="0" w:firstColumn="0" w:lastColumn="0" w:oddVBand="0" w:evenVBand="0" w:oddHBand="1"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0" w:type="auto"/>
            <w:hideMark/>
          </w:tcPr>
          <w:p w14:paraId="6A454692"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PI</w:t>
            </w:r>
          </w:p>
        </w:tc>
        <w:tc>
          <w:tcPr>
            <w:tcW w:w="0" w:type="auto"/>
            <w:hideMark/>
          </w:tcPr>
          <w:p w14:paraId="7EB13311" w14:textId="77777777" w:rsidR="003A08EE" w:rsidRPr="009154BA" w:rsidRDefault="003A08EE" w:rsidP="009154BA">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154BA">
              <w:rPr>
                <w:rFonts w:ascii="Times New Roman" w:hAnsi="Times New Roman" w:cs="Times New Roman"/>
                <w:sz w:val="24"/>
                <w:szCs w:val="24"/>
              </w:rPr>
              <w:t>C</w:t>
            </w:r>
          </w:p>
        </w:tc>
      </w:tr>
    </w:tbl>
    <w:p w14:paraId="201CB6CE"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Capital Rationing Outcome</w:t>
      </w:r>
    </w:p>
    <w:p w14:paraId="089DCE23"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Under financial constraints, the optimal choice is:</w:t>
      </w:r>
    </w:p>
    <w:p w14:paraId="28F9CB44" w14:textId="77777777" w:rsidR="003A08EE" w:rsidRPr="009154BA" w:rsidRDefault="003A08EE" w:rsidP="009154BA">
      <w:pPr>
        <w:jc w:val="both"/>
        <w:rPr>
          <w:rFonts w:ascii="Times New Roman" w:hAnsi="Times New Roman" w:cs="Times New Roman"/>
          <w:b/>
          <w:bCs/>
          <w:sz w:val="24"/>
          <w:szCs w:val="24"/>
        </w:rPr>
      </w:pPr>
      <w:r w:rsidRPr="009154BA">
        <w:rPr>
          <w:rFonts w:ascii="Segoe UI Symbol" w:hAnsi="Segoe UI Symbol" w:cs="Segoe UI Symbol"/>
          <w:b/>
          <w:bCs/>
          <w:sz w:val="24"/>
          <w:szCs w:val="24"/>
        </w:rPr>
        <w:t>✔</w:t>
      </w:r>
      <w:r w:rsidRPr="009154BA">
        <w:rPr>
          <w:rFonts w:ascii="Times New Roman" w:hAnsi="Times New Roman" w:cs="Times New Roman"/>
          <w:b/>
          <w:bCs/>
          <w:sz w:val="24"/>
          <w:szCs w:val="24"/>
        </w:rPr>
        <w:t xml:space="preserve"> Project C</w:t>
      </w:r>
    </w:p>
    <w:p w14:paraId="11F7AC2C" w14:textId="044C9EF6" w:rsidR="003A08EE"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lastRenderedPageBreak/>
        <w:t xml:space="preserve">It creates the highest NPV and IRR, highest PI, and strong ARR, and although </w:t>
      </w:r>
      <w:proofErr w:type="spellStart"/>
      <w:r w:rsidRPr="009154BA">
        <w:rPr>
          <w:rFonts w:ascii="Times New Roman" w:hAnsi="Times New Roman" w:cs="Times New Roman"/>
          <w:sz w:val="24"/>
          <w:szCs w:val="24"/>
        </w:rPr>
        <w:t>its</w:t>
      </w:r>
      <w:proofErr w:type="spellEnd"/>
      <w:r w:rsidRPr="009154BA">
        <w:rPr>
          <w:rFonts w:ascii="Times New Roman" w:hAnsi="Times New Roman" w:cs="Times New Roman"/>
          <w:sz w:val="24"/>
          <w:szCs w:val="24"/>
        </w:rPr>
        <w:t xml:space="preserve"> payback is slightly slower than Project A, it remains competitive (3.6 years). More importantly, Project C delivers significantly stronger long-term value</w:t>
      </w:r>
      <w:r w:rsidR="009154BA">
        <w:rPr>
          <w:rFonts w:ascii="Times New Roman" w:hAnsi="Times New Roman" w:cs="Times New Roman"/>
          <w:sz w:val="24"/>
          <w:szCs w:val="24"/>
        </w:rPr>
        <w:t xml:space="preserve"> </w:t>
      </w:r>
      <w:r w:rsidRPr="009154BA">
        <w:rPr>
          <w:rFonts w:ascii="Times New Roman" w:hAnsi="Times New Roman" w:cs="Times New Roman"/>
          <w:sz w:val="24"/>
          <w:szCs w:val="24"/>
        </w:rPr>
        <w:t>critical for a company recovering from distress.</w:t>
      </w:r>
    </w:p>
    <w:p w14:paraId="77428ECC" w14:textId="77777777" w:rsidR="008C0CD7" w:rsidRPr="009154BA" w:rsidRDefault="008C0CD7" w:rsidP="009154BA">
      <w:pPr>
        <w:jc w:val="both"/>
        <w:rPr>
          <w:rFonts w:ascii="Times New Roman" w:hAnsi="Times New Roman" w:cs="Times New Roman"/>
          <w:sz w:val="24"/>
          <w:szCs w:val="24"/>
        </w:rPr>
      </w:pPr>
    </w:p>
    <w:p w14:paraId="783B2B09" w14:textId="22B09B0D" w:rsidR="00AA73D4" w:rsidRPr="009154BA" w:rsidRDefault="00AA73D4" w:rsidP="009154BA">
      <w:pPr>
        <w:jc w:val="both"/>
        <w:rPr>
          <w:rFonts w:ascii="Times New Roman" w:hAnsi="Times New Roman" w:cs="Times New Roman"/>
          <w:sz w:val="24"/>
          <w:szCs w:val="24"/>
        </w:rPr>
      </w:pPr>
      <w:r w:rsidRPr="009154BA">
        <w:rPr>
          <w:rFonts w:ascii="Times New Roman" w:hAnsi="Times New Roman" w:cs="Times New Roman"/>
          <w:sz w:val="24"/>
          <w:szCs w:val="24"/>
        </w:rPr>
        <w:t>Table</w:t>
      </w:r>
      <w:r w:rsidR="008C0CD7">
        <w:rPr>
          <w:rFonts w:ascii="Times New Roman" w:hAnsi="Times New Roman" w:cs="Times New Roman"/>
          <w:sz w:val="24"/>
          <w:szCs w:val="24"/>
        </w:rPr>
        <w:t>2</w:t>
      </w:r>
      <w:r w:rsidR="00722D07">
        <w:rPr>
          <w:rFonts w:ascii="Times New Roman" w:hAnsi="Times New Roman" w:cs="Times New Roman"/>
          <w:sz w:val="24"/>
          <w:szCs w:val="24"/>
        </w:rPr>
        <w:t>.</w:t>
      </w:r>
      <w:r w:rsidRPr="009154BA">
        <w:rPr>
          <w:rFonts w:ascii="Times New Roman" w:hAnsi="Times New Roman" w:cs="Times New Roman"/>
          <w:sz w:val="24"/>
          <w:szCs w:val="24"/>
        </w:rPr>
        <w:t xml:space="preserve"> Summary comparison of investment appraisal outcomes for Projects A, B and C.</w:t>
      </w:r>
    </w:p>
    <w:tbl>
      <w:tblPr>
        <w:tblStyle w:val="GridTable2-Accent3"/>
        <w:tblW w:w="0" w:type="auto"/>
        <w:tblLook w:val="04A0" w:firstRow="1" w:lastRow="0" w:firstColumn="1" w:lastColumn="0" w:noHBand="0" w:noVBand="1"/>
      </w:tblPr>
      <w:tblGrid>
        <w:gridCol w:w="2603"/>
        <w:gridCol w:w="1261"/>
        <w:gridCol w:w="1371"/>
        <w:gridCol w:w="1852"/>
      </w:tblGrid>
      <w:tr w:rsidR="00AA73D4" w:rsidRPr="00AA73D4" w14:paraId="1D6FB7FC" w14:textId="77777777" w:rsidTr="009154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D22F99"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Metric</w:t>
            </w:r>
          </w:p>
        </w:tc>
        <w:tc>
          <w:tcPr>
            <w:tcW w:w="0" w:type="auto"/>
            <w:hideMark/>
          </w:tcPr>
          <w:p w14:paraId="6178EB81" w14:textId="77777777" w:rsidR="00AA73D4" w:rsidRPr="00AA73D4" w:rsidRDefault="00AA73D4" w:rsidP="009154BA">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Project A</w:t>
            </w:r>
          </w:p>
        </w:tc>
        <w:tc>
          <w:tcPr>
            <w:tcW w:w="0" w:type="auto"/>
            <w:hideMark/>
          </w:tcPr>
          <w:p w14:paraId="76EF957E" w14:textId="77777777" w:rsidR="00AA73D4" w:rsidRPr="00AA73D4" w:rsidRDefault="00AA73D4" w:rsidP="009154BA">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Project B</w:t>
            </w:r>
          </w:p>
        </w:tc>
        <w:tc>
          <w:tcPr>
            <w:tcW w:w="0" w:type="auto"/>
            <w:hideMark/>
          </w:tcPr>
          <w:p w14:paraId="6046F69C" w14:textId="77777777" w:rsidR="00AA73D4" w:rsidRPr="00AA73D4" w:rsidRDefault="00AA73D4" w:rsidP="009154BA">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Project C</w:t>
            </w:r>
          </w:p>
        </w:tc>
      </w:tr>
      <w:tr w:rsidR="00AA73D4" w:rsidRPr="00AA73D4" w14:paraId="457C1EFD" w14:textId="77777777" w:rsidTr="009154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F1F4F1"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Initial Investment</w:t>
            </w:r>
          </w:p>
        </w:tc>
        <w:tc>
          <w:tcPr>
            <w:tcW w:w="0" w:type="auto"/>
            <w:hideMark/>
          </w:tcPr>
          <w:p w14:paraId="1A4EBCCF"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£40m</w:t>
            </w:r>
          </w:p>
        </w:tc>
        <w:tc>
          <w:tcPr>
            <w:tcW w:w="0" w:type="auto"/>
            <w:hideMark/>
          </w:tcPr>
          <w:p w14:paraId="59AE2352"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£30m</w:t>
            </w:r>
          </w:p>
        </w:tc>
        <w:tc>
          <w:tcPr>
            <w:tcW w:w="0" w:type="auto"/>
            <w:hideMark/>
          </w:tcPr>
          <w:p w14:paraId="088DDDA1"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£50m</w:t>
            </w:r>
          </w:p>
        </w:tc>
      </w:tr>
      <w:tr w:rsidR="00AA73D4" w:rsidRPr="00AA73D4" w14:paraId="6033384B" w14:textId="77777777" w:rsidTr="009154BA">
        <w:tc>
          <w:tcPr>
            <w:cnfStyle w:val="001000000000" w:firstRow="0" w:lastRow="0" w:firstColumn="1" w:lastColumn="0" w:oddVBand="0" w:evenVBand="0" w:oddHBand="0" w:evenHBand="0" w:firstRowFirstColumn="0" w:firstRowLastColumn="0" w:lastRowFirstColumn="0" w:lastRowLastColumn="0"/>
            <w:tcW w:w="0" w:type="auto"/>
            <w:hideMark/>
          </w:tcPr>
          <w:p w14:paraId="45BD9DE9" w14:textId="4304B956"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Payback Period</w:t>
            </w:r>
            <w:r w:rsidR="0027783F">
              <w:rPr>
                <w:rFonts w:ascii="Times New Roman" w:hAnsi="Times New Roman" w:cs="Times New Roman"/>
                <w:sz w:val="24"/>
                <w:szCs w:val="24"/>
              </w:rPr>
              <w:t xml:space="preserve"> (years)</w:t>
            </w:r>
          </w:p>
        </w:tc>
        <w:tc>
          <w:tcPr>
            <w:tcW w:w="0" w:type="auto"/>
            <w:hideMark/>
          </w:tcPr>
          <w:p w14:paraId="165FD0DC" w14:textId="6E5EC748"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 xml:space="preserve">3.4 </w:t>
            </w:r>
          </w:p>
        </w:tc>
        <w:tc>
          <w:tcPr>
            <w:tcW w:w="0" w:type="auto"/>
            <w:hideMark/>
          </w:tcPr>
          <w:p w14:paraId="74DC39E5" w14:textId="103F8D79"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 xml:space="preserve">5.0 </w:t>
            </w:r>
          </w:p>
        </w:tc>
        <w:tc>
          <w:tcPr>
            <w:tcW w:w="0" w:type="auto"/>
            <w:hideMark/>
          </w:tcPr>
          <w:p w14:paraId="3FA60C50" w14:textId="5E7A35E9"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3.6</w:t>
            </w:r>
          </w:p>
        </w:tc>
      </w:tr>
      <w:tr w:rsidR="00AA73D4" w:rsidRPr="00AA73D4" w14:paraId="22E88A33" w14:textId="77777777" w:rsidTr="009154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039048"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ARR</w:t>
            </w:r>
          </w:p>
        </w:tc>
        <w:tc>
          <w:tcPr>
            <w:tcW w:w="0" w:type="auto"/>
            <w:hideMark/>
          </w:tcPr>
          <w:p w14:paraId="2BC2D760"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7%</w:t>
            </w:r>
          </w:p>
        </w:tc>
        <w:tc>
          <w:tcPr>
            <w:tcW w:w="0" w:type="auto"/>
            <w:hideMark/>
          </w:tcPr>
          <w:p w14:paraId="6CCD40B5"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0%</w:t>
            </w:r>
          </w:p>
        </w:tc>
        <w:tc>
          <w:tcPr>
            <w:tcW w:w="0" w:type="auto"/>
            <w:hideMark/>
          </w:tcPr>
          <w:p w14:paraId="193860DC"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10%</w:t>
            </w:r>
          </w:p>
        </w:tc>
      </w:tr>
      <w:tr w:rsidR="00AA73D4" w:rsidRPr="00AA73D4" w14:paraId="13F3BBEF" w14:textId="77777777" w:rsidTr="009154BA">
        <w:tc>
          <w:tcPr>
            <w:cnfStyle w:val="001000000000" w:firstRow="0" w:lastRow="0" w:firstColumn="1" w:lastColumn="0" w:oddVBand="0" w:evenVBand="0" w:oddHBand="0" w:evenHBand="0" w:firstRowFirstColumn="0" w:firstRowLastColumn="0" w:lastRowFirstColumn="0" w:lastRowLastColumn="0"/>
            <w:tcW w:w="0" w:type="auto"/>
            <w:hideMark/>
          </w:tcPr>
          <w:p w14:paraId="4E0A9BCC"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NPV (10%)</w:t>
            </w:r>
          </w:p>
        </w:tc>
        <w:tc>
          <w:tcPr>
            <w:tcW w:w="0" w:type="auto"/>
            <w:hideMark/>
          </w:tcPr>
          <w:p w14:paraId="0807AFB7" w14:textId="77BAA5E2"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£1.3</w:t>
            </w:r>
            <w:r w:rsidR="0027783F">
              <w:rPr>
                <w:rFonts w:ascii="Times New Roman" w:hAnsi="Times New Roman" w:cs="Times New Roman"/>
                <w:sz w:val="24"/>
                <w:szCs w:val="24"/>
              </w:rPr>
              <w:t>2</w:t>
            </w:r>
            <w:r w:rsidRPr="00AA73D4">
              <w:rPr>
                <w:rFonts w:ascii="Times New Roman" w:hAnsi="Times New Roman" w:cs="Times New Roman"/>
                <w:sz w:val="24"/>
                <w:szCs w:val="24"/>
              </w:rPr>
              <w:t>m</w:t>
            </w:r>
          </w:p>
        </w:tc>
        <w:tc>
          <w:tcPr>
            <w:tcW w:w="0" w:type="auto"/>
            <w:hideMark/>
          </w:tcPr>
          <w:p w14:paraId="29ECA15A" w14:textId="77777777"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–£7.26m</w:t>
            </w:r>
          </w:p>
        </w:tc>
        <w:tc>
          <w:tcPr>
            <w:tcW w:w="0" w:type="auto"/>
            <w:hideMark/>
          </w:tcPr>
          <w:p w14:paraId="75F6B110" w14:textId="77777777" w:rsidR="00AA73D4" w:rsidRPr="00AA73D4"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£4.23m</w:t>
            </w:r>
          </w:p>
        </w:tc>
      </w:tr>
      <w:tr w:rsidR="00AA73D4" w:rsidRPr="00AA73D4" w14:paraId="32F26850" w14:textId="77777777" w:rsidTr="009154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7D82E4"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IRR</w:t>
            </w:r>
          </w:p>
        </w:tc>
        <w:tc>
          <w:tcPr>
            <w:tcW w:w="0" w:type="auto"/>
            <w:hideMark/>
          </w:tcPr>
          <w:p w14:paraId="521307BE" w14:textId="564AADB5"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1</w:t>
            </w:r>
            <w:r w:rsidR="0027783F">
              <w:rPr>
                <w:rFonts w:ascii="Times New Roman" w:hAnsi="Times New Roman" w:cs="Times New Roman"/>
                <w:sz w:val="24"/>
                <w:szCs w:val="24"/>
              </w:rPr>
              <w:t>1</w:t>
            </w:r>
            <w:r w:rsidRPr="00AA73D4">
              <w:rPr>
                <w:rFonts w:ascii="Times New Roman" w:hAnsi="Times New Roman" w:cs="Times New Roman"/>
                <w:sz w:val="24"/>
                <w:szCs w:val="24"/>
              </w:rPr>
              <w:t>.3%</w:t>
            </w:r>
          </w:p>
        </w:tc>
        <w:tc>
          <w:tcPr>
            <w:tcW w:w="0" w:type="auto"/>
            <w:hideMark/>
          </w:tcPr>
          <w:p w14:paraId="3F1CF697" w14:textId="5FE26165" w:rsidR="00AA73D4" w:rsidRPr="00AA73D4" w:rsidRDefault="0027783F"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w:t>
            </w:r>
            <w:r w:rsidR="00AA73D4" w:rsidRPr="00AA73D4">
              <w:rPr>
                <w:rFonts w:ascii="Times New Roman" w:hAnsi="Times New Roman" w:cs="Times New Roman"/>
                <w:sz w:val="24"/>
                <w:szCs w:val="24"/>
              </w:rPr>
              <w:t>%</w:t>
            </w:r>
          </w:p>
        </w:tc>
        <w:tc>
          <w:tcPr>
            <w:tcW w:w="0" w:type="auto"/>
            <w:hideMark/>
          </w:tcPr>
          <w:p w14:paraId="552CCE47" w14:textId="17FEBF84" w:rsidR="00AA73D4" w:rsidRPr="00AA73D4" w:rsidRDefault="0027783F"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12.72</w:t>
            </w:r>
            <w:r w:rsidR="00AA73D4" w:rsidRPr="00AA73D4">
              <w:rPr>
                <w:rFonts w:ascii="Times New Roman" w:hAnsi="Times New Roman" w:cs="Times New Roman"/>
                <w:sz w:val="24"/>
                <w:szCs w:val="24"/>
              </w:rPr>
              <w:t>%</w:t>
            </w:r>
          </w:p>
        </w:tc>
      </w:tr>
      <w:tr w:rsidR="00AA73D4" w:rsidRPr="00AA73D4" w14:paraId="057A7C2A" w14:textId="77777777" w:rsidTr="009154BA">
        <w:tc>
          <w:tcPr>
            <w:cnfStyle w:val="001000000000" w:firstRow="0" w:lastRow="0" w:firstColumn="1" w:lastColumn="0" w:oddVBand="0" w:evenVBand="0" w:oddHBand="0" w:evenHBand="0" w:firstRowFirstColumn="0" w:firstRowLastColumn="0" w:lastRowFirstColumn="0" w:lastRowLastColumn="0"/>
            <w:tcW w:w="0" w:type="auto"/>
            <w:hideMark/>
          </w:tcPr>
          <w:p w14:paraId="18989BD5"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Profitability Index</w:t>
            </w:r>
          </w:p>
        </w:tc>
        <w:tc>
          <w:tcPr>
            <w:tcW w:w="0" w:type="auto"/>
            <w:hideMark/>
          </w:tcPr>
          <w:p w14:paraId="4081B7A3" w14:textId="77777777" w:rsidR="0027783F" w:rsidRPr="0027783F" w:rsidRDefault="0027783F" w:rsidP="0027783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rPr>
            </w:pPr>
            <w:r w:rsidRPr="0027783F">
              <w:rPr>
                <w:rFonts w:ascii="Times New Roman" w:hAnsi="Times New Roman" w:cs="Times New Roman"/>
                <w:color w:val="000000"/>
              </w:rPr>
              <w:t>1.03310442</w:t>
            </w:r>
          </w:p>
          <w:p w14:paraId="319EFAE5" w14:textId="7C0F41DD" w:rsidR="00AA73D4" w:rsidRPr="0027783F"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3B0BE5BA" w14:textId="18C9FD45" w:rsidR="00AA73D4" w:rsidRPr="0027783F" w:rsidRDefault="0027783F" w:rsidP="0027783F">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rPr>
            </w:pPr>
            <w:r w:rsidRPr="0027783F">
              <w:rPr>
                <w:rFonts w:ascii="Times New Roman" w:hAnsi="Times New Roman" w:cs="Times New Roman"/>
                <w:color w:val="000000"/>
              </w:rPr>
              <w:t>0.758157354</w:t>
            </w:r>
          </w:p>
        </w:tc>
        <w:tc>
          <w:tcPr>
            <w:tcW w:w="0" w:type="auto"/>
            <w:hideMark/>
          </w:tcPr>
          <w:tbl>
            <w:tblPr>
              <w:tblW w:w="1636" w:type="dxa"/>
              <w:tblCellSpacing w:w="15" w:type="dxa"/>
              <w:tblCellMar>
                <w:top w:w="15" w:type="dxa"/>
                <w:left w:w="15" w:type="dxa"/>
                <w:bottom w:w="15" w:type="dxa"/>
                <w:right w:w="15" w:type="dxa"/>
              </w:tblCellMar>
              <w:tblLook w:val="04A0" w:firstRow="1" w:lastRow="0" w:firstColumn="1" w:lastColumn="0" w:noHBand="0" w:noVBand="1"/>
            </w:tblPr>
            <w:tblGrid>
              <w:gridCol w:w="96"/>
              <w:gridCol w:w="1540"/>
            </w:tblGrid>
            <w:tr w:rsidR="0027783F" w:rsidRPr="0027783F" w14:paraId="58B0220C" w14:textId="65C88181" w:rsidTr="0027783F">
              <w:trPr>
                <w:tblCellSpacing w:w="15" w:type="dxa"/>
              </w:trPr>
              <w:tc>
                <w:tcPr>
                  <w:tcW w:w="0" w:type="auto"/>
                  <w:vAlign w:val="center"/>
                  <w:hideMark/>
                </w:tcPr>
                <w:p w14:paraId="500B32FE" w14:textId="77777777" w:rsidR="0027783F" w:rsidRPr="0027783F" w:rsidRDefault="0027783F" w:rsidP="0027783F">
                  <w:pPr>
                    <w:jc w:val="both"/>
                    <w:rPr>
                      <w:rFonts w:ascii="Times New Roman" w:hAnsi="Times New Roman" w:cs="Times New Roman"/>
                      <w:color w:val="000000"/>
                    </w:rPr>
                  </w:pPr>
                </w:p>
              </w:tc>
              <w:tc>
                <w:tcPr>
                  <w:tcW w:w="1495" w:type="dxa"/>
                  <w:vAlign w:val="bottom"/>
                </w:tcPr>
                <w:p w14:paraId="581D1D9C" w14:textId="7005CB27" w:rsidR="0027783F" w:rsidRPr="0027783F" w:rsidRDefault="0027783F" w:rsidP="0027783F">
                  <w:pPr>
                    <w:rPr>
                      <w:rFonts w:ascii="Times New Roman" w:hAnsi="Times New Roman" w:cs="Times New Roman"/>
                      <w:color w:val="000000"/>
                    </w:rPr>
                  </w:pPr>
                  <w:r w:rsidRPr="0027783F">
                    <w:rPr>
                      <w:rFonts w:ascii="Times New Roman" w:hAnsi="Times New Roman" w:cs="Times New Roman"/>
                      <w:color w:val="000000"/>
                    </w:rPr>
                    <w:t>1.084507392</w:t>
                  </w:r>
                </w:p>
              </w:tc>
            </w:tr>
          </w:tbl>
          <w:p w14:paraId="5278F5CC" w14:textId="4AA36F6F" w:rsidR="00AA73D4" w:rsidRPr="0027783F" w:rsidRDefault="00AA73D4" w:rsidP="009154BA">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rPr>
            </w:pPr>
          </w:p>
        </w:tc>
      </w:tr>
      <w:tr w:rsidR="00AA73D4" w:rsidRPr="00AA73D4" w14:paraId="00F933DA" w14:textId="77777777" w:rsidTr="009154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F9FDB2" w14:textId="77777777" w:rsidR="00AA73D4" w:rsidRPr="00AA73D4" w:rsidRDefault="00AA73D4" w:rsidP="009154BA">
            <w:pPr>
              <w:spacing w:after="200" w:line="276" w:lineRule="auto"/>
              <w:jc w:val="both"/>
              <w:rPr>
                <w:rFonts w:ascii="Times New Roman" w:hAnsi="Times New Roman" w:cs="Times New Roman"/>
                <w:sz w:val="24"/>
                <w:szCs w:val="24"/>
              </w:rPr>
            </w:pPr>
            <w:r w:rsidRPr="00AA73D4">
              <w:rPr>
                <w:rFonts w:ascii="Times New Roman" w:hAnsi="Times New Roman" w:cs="Times New Roman"/>
                <w:sz w:val="24"/>
                <w:szCs w:val="24"/>
              </w:rPr>
              <w:t>Value Creation</w:t>
            </w:r>
          </w:p>
        </w:tc>
        <w:tc>
          <w:tcPr>
            <w:tcW w:w="0" w:type="auto"/>
            <w:hideMark/>
          </w:tcPr>
          <w:p w14:paraId="7F867678"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Moderate</w:t>
            </w:r>
          </w:p>
        </w:tc>
        <w:tc>
          <w:tcPr>
            <w:tcW w:w="0" w:type="auto"/>
            <w:hideMark/>
          </w:tcPr>
          <w:p w14:paraId="647BCD82"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Negative</w:t>
            </w:r>
          </w:p>
        </w:tc>
        <w:tc>
          <w:tcPr>
            <w:tcW w:w="0" w:type="auto"/>
            <w:hideMark/>
          </w:tcPr>
          <w:p w14:paraId="7C87CE10" w14:textId="77777777" w:rsidR="00AA73D4" w:rsidRPr="00AA73D4" w:rsidRDefault="00AA73D4" w:rsidP="009154BA">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A73D4">
              <w:rPr>
                <w:rFonts w:ascii="Times New Roman" w:hAnsi="Times New Roman" w:cs="Times New Roman"/>
                <w:sz w:val="24"/>
                <w:szCs w:val="24"/>
              </w:rPr>
              <w:t>Strongest</w:t>
            </w:r>
          </w:p>
        </w:tc>
      </w:tr>
    </w:tbl>
    <w:p w14:paraId="6594DDDD" w14:textId="04C51732" w:rsidR="003A08EE" w:rsidRPr="009154BA" w:rsidRDefault="003A08EE" w:rsidP="009154BA">
      <w:pPr>
        <w:jc w:val="both"/>
        <w:rPr>
          <w:rFonts w:ascii="Times New Roman" w:hAnsi="Times New Roman" w:cs="Times New Roman"/>
          <w:sz w:val="24"/>
          <w:szCs w:val="24"/>
        </w:rPr>
      </w:pPr>
    </w:p>
    <w:p w14:paraId="1B1044E0" w14:textId="77777777" w:rsidR="003A08EE" w:rsidRPr="009154BA" w:rsidRDefault="003A08EE" w:rsidP="0049751B">
      <w:pPr>
        <w:pStyle w:val="Heading2"/>
      </w:pPr>
      <w:bookmarkStart w:id="29" w:name="_Toc214355528"/>
      <w:r w:rsidRPr="009154BA">
        <w:t>5.8 Strategic Justification Linked to Firm Performance and Risk</w:t>
      </w:r>
      <w:bookmarkEnd w:id="29"/>
    </w:p>
    <w:p w14:paraId="5A2EF3D4" w14:textId="00ABEAF6"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General Electronics is experiencing severe liquidity pressure, long CCC cycles, negative operating margins in recent years, and rising leverage. Selecting an investment project must therefore balance short-term cash needs with long-term value creation</w:t>
      </w:r>
      <w:r w:rsidR="0030224A" w:rsidRPr="009154BA">
        <w:rPr>
          <w:rFonts w:ascii="Times New Roman" w:hAnsi="Times New Roman" w:cs="Times New Roman"/>
          <w:sz w:val="24"/>
          <w:szCs w:val="24"/>
        </w:rPr>
        <w:t xml:space="preserve"> (Naveed </w:t>
      </w:r>
      <w:r w:rsidR="0030224A" w:rsidRPr="009154BA">
        <w:rPr>
          <w:rFonts w:ascii="Times New Roman" w:hAnsi="Times New Roman" w:cs="Times New Roman"/>
          <w:i/>
          <w:iCs/>
          <w:sz w:val="24"/>
          <w:szCs w:val="24"/>
        </w:rPr>
        <w:t>et al.</w:t>
      </w:r>
      <w:r w:rsidR="0030224A" w:rsidRPr="009154BA">
        <w:rPr>
          <w:rFonts w:ascii="Times New Roman" w:hAnsi="Times New Roman" w:cs="Times New Roman"/>
          <w:sz w:val="24"/>
          <w:szCs w:val="24"/>
        </w:rPr>
        <w:t>, 2024)</w:t>
      </w:r>
      <w:r w:rsidRPr="009154BA">
        <w:rPr>
          <w:rFonts w:ascii="Times New Roman" w:hAnsi="Times New Roman" w:cs="Times New Roman"/>
          <w:sz w:val="24"/>
          <w:szCs w:val="24"/>
        </w:rPr>
        <w:t>.</w:t>
      </w:r>
    </w:p>
    <w:p w14:paraId="564CFD88"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Liquidity Considerations</w:t>
      </w:r>
    </w:p>
    <w:p w14:paraId="62A72B5D" w14:textId="718C2EF6"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Project A provides the fastest payback, offering quicker liquidity relief. However, its overall financial contribution is modest (NPV £1.31m). Liquidity alone should not override long-term recovery potential, especially when the firm is attempting to rebuild profitability (</w:t>
      </w:r>
      <w:r w:rsidR="00E472C6" w:rsidRPr="009154BA">
        <w:rPr>
          <w:rFonts w:ascii="Times New Roman" w:hAnsi="Times New Roman" w:cs="Times New Roman"/>
          <w:sz w:val="24"/>
          <w:szCs w:val="24"/>
        </w:rPr>
        <w:t>Basu and Guariglia, 2002</w:t>
      </w:r>
      <w:r w:rsidRPr="009154BA">
        <w:rPr>
          <w:rFonts w:ascii="Times New Roman" w:hAnsi="Times New Roman" w:cs="Times New Roman"/>
          <w:sz w:val="24"/>
          <w:szCs w:val="24"/>
        </w:rPr>
        <w:t>).</w:t>
      </w:r>
    </w:p>
    <w:p w14:paraId="42376A46"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Value Creation</w:t>
      </w:r>
    </w:p>
    <w:p w14:paraId="62F4D0F3" w14:textId="6C330709"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Project C delivers the strongest financial performance across most metrics. Higher NPV and IRR align with finance best practices for maximising shareholder wealth (</w:t>
      </w:r>
      <w:proofErr w:type="spellStart"/>
      <w:r w:rsidR="00E472C6" w:rsidRPr="009154BA">
        <w:rPr>
          <w:rFonts w:ascii="Times New Roman" w:hAnsi="Times New Roman" w:cs="Times New Roman"/>
          <w:sz w:val="24"/>
          <w:szCs w:val="24"/>
        </w:rPr>
        <w:t>Aggelopoulos</w:t>
      </w:r>
      <w:proofErr w:type="spellEnd"/>
      <w:r w:rsidR="00E472C6" w:rsidRPr="009154BA">
        <w:rPr>
          <w:rFonts w:ascii="Times New Roman" w:hAnsi="Times New Roman" w:cs="Times New Roman"/>
          <w:sz w:val="24"/>
          <w:szCs w:val="24"/>
        </w:rPr>
        <w:t xml:space="preserve"> and </w:t>
      </w:r>
      <w:proofErr w:type="spellStart"/>
      <w:r w:rsidR="00E472C6" w:rsidRPr="009154BA">
        <w:rPr>
          <w:rFonts w:ascii="Times New Roman" w:hAnsi="Times New Roman" w:cs="Times New Roman"/>
          <w:sz w:val="24"/>
          <w:szCs w:val="24"/>
        </w:rPr>
        <w:t>Grypeos</w:t>
      </w:r>
      <w:proofErr w:type="spellEnd"/>
      <w:r w:rsidR="00E472C6" w:rsidRPr="009154BA">
        <w:rPr>
          <w:rFonts w:ascii="Times New Roman" w:hAnsi="Times New Roman" w:cs="Times New Roman"/>
          <w:sz w:val="24"/>
          <w:szCs w:val="24"/>
        </w:rPr>
        <w:t>, 2016</w:t>
      </w:r>
      <w:r w:rsidRPr="009154BA">
        <w:rPr>
          <w:rFonts w:ascii="Times New Roman" w:hAnsi="Times New Roman" w:cs="Times New Roman"/>
          <w:sz w:val="24"/>
          <w:szCs w:val="24"/>
        </w:rPr>
        <w:t xml:space="preserve">; </w:t>
      </w:r>
      <w:r w:rsidR="008A0433" w:rsidRPr="009154BA">
        <w:rPr>
          <w:rFonts w:ascii="Times New Roman" w:hAnsi="Times New Roman" w:cs="Times New Roman"/>
          <w:sz w:val="24"/>
          <w:szCs w:val="24"/>
        </w:rPr>
        <w:t>Osborne, 2010</w:t>
      </w:r>
      <w:r w:rsidRPr="009154BA">
        <w:rPr>
          <w:rFonts w:ascii="Times New Roman" w:hAnsi="Times New Roman" w:cs="Times New Roman"/>
          <w:sz w:val="24"/>
          <w:szCs w:val="24"/>
        </w:rPr>
        <w:t>).</w:t>
      </w:r>
    </w:p>
    <w:p w14:paraId="6500EC17" w14:textId="77777777" w:rsidR="003A08EE" w:rsidRPr="009154BA" w:rsidRDefault="003A08EE"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Risk Profile</w:t>
      </w:r>
    </w:p>
    <w:p w14:paraId="6F6E2B2F"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Project C has more uneven early cash flows (low in years 1–2, high in years 3–4). However, such volatility is tolerable because:</w:t>
      </w:r>
    </w:p>
    <w:p w14:paraId="707B9B70" w14:textId="77777777" w:rsidR="003A08EE" w:rsidRPr="009154BA" w:rsidRDefault="003A08EE" w:rsidP="009154BA">
      <w:pPr>
        <w:numPr>
          <w:ilvl w:val="0"/>
          <w:numId w:val="27"/>
        </w:numPr>
        <w:jc w:val="both"/>
        <w:rPr>
          <w:rFonts w:ascii="Times New Roman" w:hAnsi="Times New Roman" w:cs="Times New Roman"/>
          <w:sz w:val="24"/>
          <w:szCs w:val="24"/>
        </w:rPr>
      </w:pPr>
      <w:r w:rsidRPr="009154BA">
        <w:rPr>
          <w:rFonts w:ascii="Times New Roman" w:hAnsi="Times New Roman" w:cs="Times New Roman"/>
          <w:sz w:val="24"/>
          <w:szCs w:val="24"/>
        </w:rPr>
        <w:lastRenderedPageBreak/>
        <w:t>Z-Score analysis shows the firm is not in immediate insolvency.</w:t>
      </w:r>
    </w:p>
    <w:p w14:paraId="51071125" w14:textId="77777777" w:rsidR="003A08EE" w:rsidRPr="009154BA" w:rsidRDefault="003A08EE" w:rsidP="009154BA">
      <w:pPr>
        <w:numPr>
          <w:ilvl w:val="0"/>
          <w:numId w:val="27"/>
        </w:numPr>
        <w:jc w:val="both"/>
        <w:rPr>
          <w:rFonts w:ascii="Times New Roman" w:hAnsi="Times New Roman" w:cs="Times New Roman"/>
          <w:sz w:val="24"/>
          <w:szCs w:val="24"/>
        </w:rPr>
      </w:pPr>
      <w:r w:rsidRPr="009154BA">
        <w:rPr>
          <w:rFonts w:ascii="Times New Roman" w:hAnsi="Times New Roman" w:cs="Times New Roman"/>
          <w:sz w:val="24"/>
          <w:szCs w:val="24"/>
        </w:rPr>
        <w:t>Divestiture and restructuring recommended earlier will stabilise liquidity.</w:t>
      </w:r>
    </w:p>
    <w:p w14:paraId="1729A338" w14:textId="77777777" w:rsidR="003A08EE" w:rsidRPr="009154BA" w:rsidRDefault="003A08EE" w:rsidP="009154BA">
      <w:pPr>
        <w:numPr>
          <w:ilvl w:val="0"/>
          <w:numId w:val="27"/>
        </w:numPr>
        <w:jc w:val="both"/>
        <w:rPr>
          <w:rFonts w:ascii="Times New Roman" w:hAnsi="Times New Roman" w:cs="Times New Roman"/>
          <w:sz w:val="24"/>
          <w:szCs w:val="24"/>
        </w:rPr>
      </w:pPr>
      <w:r w:rsidRPr="009154BA">
        <w:rPr>
          <w:rFonts w:ascii="Times New Roman" w:hAnsi="Times New Roman" w:cs="Times New Roman"/>
          <w:sz w:val="24"/>
          <w:szCs w:val="24"/>
        </w:rPr>
        <w:t>Project C’s high returns provide greater buffer against ongoing financial uncertainty.</w:t>
      </w:r>
    </w:p>
    <w:p w14:paraId="3367489A" w14:textId="77777777" w:rsidR="003A08EE" w:rsidRPr="009154BA" w:rsidRDefault="003A08EE" w:rsidP="009154BA">
      <w:pPr>
        <w:jc w:val="both"/>
        <w:rPr>
          <w:rFonts w:ascii="Times New Roman" w:hAnsi="Times New Roman" w:cs="Times New Roman"/>
          <w:sz w:val="24"/>
          <w:szCs w:val="24"/>
        </w:rPr>
      </w:pPr>
      <w:r w:rsidRPr="009154BA">
        <w:rPr>
          <w:rFonts w:ascii="Times New Roman" w:hAnsi="Times New Roman" w:cs="Times New Roman"/>
          <w:sz w:val="24"/>
          <w:szCs w:val="24"/>
        </w:rPr>
        <w:t>Project B is rejected due to negative NPV, long payback, and zero accounting return.</w:t>
      </w:r>
    </w:p>
    <w:p w14:paraId="249605FA" w14:textId="7927CAB3" w:rsidR="00795B57" w:rsidRPr="009154BA" w:rsidRDefault="00795B57" w:rsidP="0049751B">
      <w:pPr>
        <w:pStyle w:val="Heading2"/>
      </w:pPr>
      <w:bookmarkStart w:id="30" w:name="_Toc214355529"/>
      <w:r w:rsidRPr="009154BA">
        <w:t>5.9 Final Investment Recommendation</w:t>
      </w:r>
      <w:bookmarkEnd w:id="30"/>
    </w:p>
    <w:p w14:paraId="6DB2F099" w14:textId="41BB8049" w:rsidR="001F1D28" w:rsidRPr="009154BA" w:rsidRDefault="00795B57" w:rsidP="009154BA">
      <w:pPr>
        <w:jc w:val="both"/>
        <w:rPr>
          <w:rFonts w:ascii="Times New Roman" w:hAnsi="Times New Roman" w:cs="Times New Roman"/>
          <w:sz w:val="24"/>
          <w:szCs w:val="24"/>
        </w:rPr>
      </w:pPr>
      <w:r w:rsidRPr="009154BA">
        <w:rPr>
          <w:rFonts w:ascii="Times New Roman" w:hAnsi="Times New Roman" w:cs="Times New Roman"/>
          <w:sz w:val="24"/>
          <w:szCs w:val="24"/>
        </w:rPr>
        <w:t xml:space="preserve">Based on the full investment appraisal and capital-rationing constraint of £60 million, Project C is recommended as the optimal choice. It delivers the highest NPV (£4.23m), IRR (13%), and PI (1.08), indicating superior long-term value creation. Although </w:t>
      </w:r>
      <w:proofErr w:type="spellStart"/>
      <w:r w:rsidRPr="009154BA">
        <w:rPr>
          <w:rFonts w:ascii="Times New Roman" w:hAnsi="Times New Roman" w:cs="Times New Roman"/>
          <w:sz w:val="24"/>
          <w:szCs w:val="24"/>
        </w:rPr>
        <w:t>its</w:t>
      </w:r>
      <w:proofErr w:type="spellEnd"/>
      <w:r w:rsidRPr="009154BA">
        <w:rPr>
          <w:rFonts w:ascii="Times New Roman" w:hAnsi="Times New Roman" w:cs="Times New Roman"/>
          <w:sz w:val="24"/>
          <w:szCs w:val="24"/>
        </w:rPr>
        <w:t xml:space="preserve"> payback period (3.6 years) is slightly slower than Project A, the difference is minimal and outweighed by significantly stronger profitability and discounted returns. Project C also provides better support for the firm’s long-term recovery strategy following declining margins and liquidity pressures. Conversely, Project B destroys value, and Project A offers only modest gains. Therefore, Project C maximises shareholder value</w:t>
      </w:r>
      <w:r w:rsidR="0030224A" w:rsidRPr="009154BA">
        <w:rPr>
          <w:rFonts w:ascii="Times New Roman" w:hAnsi="Times New Roman" w:cs="Times New Roman"/>
          <w:sz w:val="24"/>
          <w:szCs w:val="24"/>
        </w:rPr>
        <w:t xml:space="preserve"> (Kaur, Chattopadhyay and Rakshit, 2020).</w:t>
      </w:r>
    </w:p>
    <w:p w14:paraId="04B57C8F" w14:textId="64FEA0DB" w:rsidR="003A08EE" w:rsidRPr="009154BA" w:rsidRDefault="001F1D28" w:rsidP="009154BA">
      <w:pPr>
        <w:pStyle w:val="Heading1"/>
      </w:pPr>
      <w:bookmarkStart w:id="31" w:name="_Toc214355530"/>
      <w:r w:rsidRPr="009154BA">
        <w:t>6. Overall Conclusion and Forward-Looking Recommendations</w:t>
      </w:r>
      <w:bookmarkEnd w:id="31"/>
    </w:p>
    <w:p w14:paraId="26ED6CFA" w14:textId="35E8FBC6" w:rsidR="003A08EE" w:rsidRPr="009154BA" w:rsidRDefault="00D97283" w:rsidP="009154BA">
      <w:pPr>
        <w:jc w:val="both"/>
        <w:rPr>
          <w:rFonts w:ascii="Times New Roman" w:hAnsi="Times New Roman" w:cs="Times New Roman"/>
          <w:sz w:val="24"/>
          <w:szCs w:val="24"/>
        </w:rPr>
      </w:pPr>
      <w:r w:rsidRPr="00D97283">
        <w:rPr>
          <w:rFonts w:ascii="Times New Roman" w:hAnsi="Times New Roman" w:cs="Times New Roman"/>
          <w:sz w:val="24"/>
          <w:szCs w:val="24"/>
        </w:rPr>
        <w:t>This report evaluated the financial status of General Electronics and found out that it is a company that is in a huge operational and financial crunch. The deteriorating profitability, the decreasing liquidity, the long cash conversion cycles and increasing leverage are all signs of the necessity of taking immediate corrective measures. The financial health check revealed that even though the gross margins are somewhat stable, operating and net margins have significantly worsened, and cash flow volatility is restricting the strategic flexibility. The working capital analysis also revealed that there were shortcomings in the working capital in terms of inventory management, receivables collection and payables timing, this limits the liquidity and causes the company to rely on short-term financing</w:t>
      </w:r>
      <w:r w:rsidR="003A08EE" w:rsidRPr="009154BA">
        <w:rPr>
          <w:rFonts w:ascii="Times New Roman" w:hAnsi="Times New Roman" w:cs="Times New Roman"/>
          <w:sz w:val="24"/>
          <w:szCs w:val="24"/>
        </w:rPr>
        <w:t>.</w:t>
      </w:r>
    </w:p>
    <w:p w14:paraId="5E3CE60D" w14:textId="3CEA6254" w:rsidR="003A08EE" w:rsidRDefault="00D97283" w:rsidP="009154BA">
      <w:pPr>
        <w:jc w:val="both"/>
        <w:rPr>
          <w:rFonts w:ascii="Times New Roman" w:hAnsi="Times New Roman" w:cs="Times New Roman"/>
          <w:sz w:val="24"/>
          <w:szCs w:val="24"/>
        </w:rPr>
      </w:pPr>
      <w:r w:rsidRPr="00D97283">
        <w:rPr>
          <w:rFonts w:ascii="Times New Roman" w:hAnsi="Times New Roman" w:cs="Times New Roman"/>
          <w:sz w:val="24"/>
          <w:szCs w:val="24"/>
        </w:rPr>
        <w:t>To solve these shortcomings, a detailed restructuring strategy was offered to include non-core segments divestiture, injection of equity, restructuring of debts and ethically controlled operation optimisation. These are meant to stabilise the balance sheet, cut financing risk and develop a leaner global operation. Project C has been shown by the investment appraisal to be the best option in the situation of capital-rationing constraints, which provides the greatest NPV, IRR, PI, and accounting returns. The adoption of this project, in addition to the suggested reforms, will ensure greater financial sustainability in the long-term and improve shareholder value along with the strategic turnaround of the company</w:t>
      </w:r>
      <w:r w:rsidR="003A08EE" w:rsidRPr="009154BA">
        <w:rPr>
          <w:rFonts w:ascii="Times New Roman" w:hAnsi="Times New Roman" w:cs="Times New Roman"/>
          <w:sz w:val="24"/>
          <w:szCs w:val="24"/>
        </w:rPr>
        <w:t>.</w:t>
      </w:r>
    </w:p>
    <w:p w14:paraId="05C5ADD6" w14:textId="77777777" w:rsidR="003322E6" w:rsidRDefault="003322E6" w:rsidP="009154BA">
      <w:pPr>
        <w:jc w:val="both"/>
        <w:rPr>
          <w:rFonts w:ascii="Times New Roman" w:hAnsi="Times New Roman" w:cs="Times New Roman"/>
          <w:sz w:val="24"/>
          <w:szCs w:val="24"/>
        </w:rPr>
      </w:pPr>
    </w:p>
    <w:p w14:paraId="2D508753" w14:textId="77777777" w:rsidR="003322E6" w:rsidRDefault="003322E6" w:rsidP="009154BA">
      <w:pPr>
        <w:jc w:val="both"/>
        <w:rPr>
          <w:rFonts w:ascii="Times New Roman" w:hAnsi="Times New Roman" w:cs="Times New Roman"/>
          <w:sz w:val="24"/>
          <w:szCs w:val="24"/>
        </w:rPr>
      </w:pPr>
    </w:p>
    <w:p w14:paraId="73F83322" w14:textId="77777777" w:rsidR="003322E6" w:rsidRDefault="003322E6" w:rsidP="009154BA">
      <w:pPr>
        <w:jc w:val="both"/>
        <w:rPr>
          <w:rFonts w:ascii="Times New Roman" w:hAnsi="Times New Roman" w:cs="Times New Roman"/>
          <w:sz w:val="24"/>
          <w:szCs w:val="24"/>
        </w:rPr>
      </w:pPr>
    </w:p>
    <w:p w14:paraId="5BF8BBE4" w14:textId="77777777" w:rsidR="003322E6" w:rsidRDefault="003322E6" w:rsidP="009154BA">
      <w:pPr>
        <w:jc w:val="both"/>
        <w:rPr>
          <w:rFonts w:ascii="Times New Roman" w:hAnsi="Times New Roman" w:cs="Times New Roman"/>
          <w:sz w:val="24"/>
          <w:szCs w:val="24"/>
        </w:rPr>
      </w:pPr>
    </w:p>
    <w:p w14:paraId="52FBDAFE" w14:textId="0FA713BC" w:rsidR="003322E6" w:rsidRPr="009154BA" w:rsidRDefault="003322E6" w:rsidP="003322E6">
      <w:pPr>
        <w:pStyle w:val="Heading1"/>
      </w:pPr>
      <w:bookmarkStart w:id="32" w:name="_Toc214355531"/>
      <w:r>
        <w:lastRenderedPageBreak/>
        <w:t>7. References</w:t>
      </w:r>
      <w:bookmarkEnd w:id="32"/>
    </w:p>
    <w:p w14:paraId="5366E100" w14:textId="4FBA75EE"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Aggelopoulos</w:t>
      </w:r>
      <w:proofErr w:type="spellEnd"/>
      <w:r w:rsidRPr="003322E6">
        <w:rPr>
          <w:rFonts w:ascii="Times New Roman" w:hAnsi="Times New Roman" w:cs="Times New Roman"/>
          <w:sz w:val="24"/>
          <w:szCs w:val="24"/>
        </w:rPr>
        <w:t xml:space="preserve">, E. and </w:t>
      </w:r>
      <w:proofErr w:type="spellStart"/>
      <w:r w:rsidRPr="003322E6">
        <w:rPr>
          <w:rFonts w:ascii="Times New Roman" w:hAnsi="Times New Roman" w:cs="Times New Roman"/>
          <w:sz w:val="24"/>
          <w:szCs w:val="24"/>
        </w:rPr>
        <w:t>Grypeos</w:t>
      </w:r>
      <w:proofErr w:type="spellEnd"/>
      <w:r w:rsidRPr="003322E6">
        <w:rPr>
          <w:rFonts w:ascii="Times New Roman" w:hAnsi="Times New Roman" w:cs="Times New Roman"/>
          <w:sz w:val="24"/>
          <w:szCs w:val="24"/>
        </w:rPr>
        <w:t xml:space="preserve">, D. (2016) ‘A new approach for measuring shareholder value creation’, Journal of Modern Accounting and Auditing, 12(7). Available at: </w:t>
      </w:r>
      <w:hyperlink r:id="rId10" w:history="1">
        <w:r w:rsidRPr="00E37973">
          <w:rPr>
            <w:rStyle w:val="Hyperlink"/>
            <w:rFonts w:ascii="Times New Roman" w:hAnsi="Times New Roman" w:cs="Times New Roman"/>
            <w:sz w:val="24"/>
            <w:szCs w:val="24"/>
          </w:rPr>
          <w:t>https://doi.org/10.17265/1548-6583/2016.07.004</w:t>
        </w:r>
      </w:hyperlink>
    </w:p>
    <w:p w14:paraId="16738820" w14:textId="38BD9A3D"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Alanis, E., Chava, S. and Shah, A. (2022) ‘Benchmarking machine learning models to predict corporate bankruptcy’, </w:t>
      </w:r>
      <w:proofErr w:type="spellStart"/>
      <w:r w:rsidRPr="003322E6">
        <w:rPr>
          <w:rFonts w:ascii="Times New Roman" w:hAnsi="Times New Roman" w:cs="Times New Roman"/>
          <w:sz w:val="24"/>
          <w:szCs w:val="24"/>
        </w:rPr>
        <w:t>arXiv</w:t>
      </w:r>
      <w:proofErr w:type="spellEnd"/>
      <w:r w:rsidRPr="003322E6">
        <w:rPr>
          <w:rFonts w:ascii="Times New Roman" w:hAnsi="Times New Roman" w:cs="Times New Roman"/>
          <w:sz w:val="24"/>
          <w:szCs w:val="24"/>
        </w:rPr>
        <w:t xml:space="preserve"> [Preprint]. Available at: </w:t>
      </w:r>
      <w:hyperlink r:id="rId11" w:history="1">
        <w:r w:rsidRPr="00E37973">
          <w:rPr>
            <w:rStyle w:val="Hyperlink"/>
            <w:rFonts w:ascii="Times New Roman" w:hAnsi="Times New Roman" w:cs="Times New Roman"/>
            <w:sz w:val="24"/>
            <w:szCs w:val="24"/>
          </w:rPr>
          <w:t>https://doi.org/10.48550/arxiv.2212.12051</w:t>
        </w:r>
      </w:hyperlink>
    </w:p>
    <w:p w14:paraId="18312C70" w14:textId="4F37B0D3"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Alawiyah</w:t>
      </w:r>
      <w:proofErr w:type="spellEnd"/>
      <w:r w:rsidRPr="003322E6">
        <w:rPr>
          <w:rFonts w:ascii="Times New Roman" w:hAnsi="Times New Roman" w:cs="Times New Roman"/>
          <w:sz w:val="24"/>
          <w:szCs w:val="24"/>
        </w:rPr>
        <w:t xml:space="preserve">, U.T., </w:t>
      </w:r>
      <w:proofErr w:type="spellStart"/>
      <w:r w:rsidRPr="003322E6">
        <w:rPr>
          <w:rFonts w:ascii="Times New Roman" w:hAnsi="Times New Roman" w:cs="Times New Roman"/>
          <w:sz w:val="24"/>
          <w:szCs w:val="24"/>
        </w:rPr>
        <w:t>Senewe</w:t>
      </w:r>
      <w:proofErr w:type="spellEnd"/>
      <w:r w:rsidRPr="003322E6">
        <w:rPr>
          <w:rFonts w:ascii="Times New Roman" w:hAnsi="Times New Roman" w:cs="Times New Roman"/>
          <w:sz w:val="24"/>
          <w:szCs w:val="24"/>
        </w:rPr>
        <w:t xml:space="preserve">, S.P.D. and Paulina, E. (2023) ‘The effect of liquidity, profitability and leverage on firm value’, in Advances in Economics, Business and Management Research, pp. 473–486. Available at: </w:t>
      </w:r>
      <w:hyperlink r:id="rId12" w:history="1">
        <w:r w:rsidRPr="00E37973">
          <w:rPr>
            <w:rStyle w:val="Hyperlink"/>
            <w:rFonts w:ascii="Times New Roman" w:hAnsi="Times New Roman" w:cs="Times New Roman"/>
            <w:sz w:val="24"/>
            <w:szCs w:val="24"/>
          </w:rPr>
          <w:t>https://doi.org/10.2991/978-94-6463-226-2_38</w:t>
        </w:r>
      </w:hyperlink>
    </w:p>
    <w:p w14:paraId="59D2B94A" w14:textId="790D2B2D"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Altman, E.I. (2018) ‘Applications of Distress Prediction Models: What Have We Learned After 50 Years from the Z-Score Models?’, International Journal of Financial Studies, 6(3), p. 70. Available at: </w:t>
      </w:r>
      <w:hyperlink r:id="rId13" w:history="1">
        <w:r w:rsidRPr="00E37973">
          <w:rPr>
            <w:rStyle w:val="Hyperlink"/>
            <w:rFonts w:ascii="Times New Roman" w:hAnsi="Times New Roman" w:cs="Times New Roman"/>
            <w:sz w:val="24"/>
            <w:szCs w:val="24"/>
          </w:rPr>
          <w:t>https://doi.org/10.3390/ijfs6030070</w:t>
        </w:r>
      </w:hyperlink>
    </w:p>
    <w:p w14:paraId="402E242A" w14:textId="2E0A1869"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Anton, S. and </w:t>
      </w:r>
      <w:proofErr w:type="spellStart"/>
      <w:r w:rsidRPr="003322E6">
        <w:rPr>
          <w:rFonts w:ascii="Times New Roman" w:hAnsi="Times New Roman" w:cs="Times New Roman"/>
          <w:sz w:val="24"/>
          <w:szCs w:val="24"/>
        </w:rPr>
        <w:t>Nucu</w:t>
      </w:r>
      <w:proofErr w:type="spellEnd"/>
      <w:r w:rsidRPr="003322E6">
        <w:rPr>
          <w:rFonts w:ascii="Times New Roman" w:hAnsi="Times New Roman" w:cs="Times New Roman"/>
          <w:sz w:val="24"/>
          <w:szCs w:val="24"/>
        </w:rPr>
        <w:t xml:space="preserve">, A.A. (2020) ‘The Impact of Working Capital Management on Firm Profitability: Empirical Evidence from the Polish Listed Firms’, Journal of Risk and Financial Management, 14(1), p. 9. Available at: </w:t>
      </w:r>
      <w:hyperlink r:id="rId14" w:history="1">
        <w:r w:rsidRPr="00E37973">
          <w:rPr>
            <w:rStyle w:val="Hyperlink"/>
            <w:rFonts w:ascii="Times New Roman" w:hAnsi="Times New Roman" w:cs="Times New Roman"/>
            <w:sz w:val="24"/>
            <w:szCs w:val="24"/>
          </w:rPr>
          <w:t>https://doi.org/10.3390/jrfm14010009</w:t>
        </w:r>
      </w:hyperlink>
    </w:p>
    <w:p w14:paraId="0141E59E" w14:textId="3F146098"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Basu, P. and Guariglia, A. (2002) ‘Liquidity constraints and firms’ investment return behaviour’, Economica, 69(276), pp. 563–581. Available at: </w:t>
      </w:r>
      <w:hyperlink r:id="rId15" w:history="1">
        <w:r w:rsidRPr="00E37973">
          <w:rPr>
            <w:rStyle w:val="Hyperlink"/>
            <w:rFonts w:ascii="Times New Roman" w:hAnsi="Times New Roman" w:cs="Times New Roman"/>
            <w:sz w:val="24"/>
            <w:szCs w:val="24"/>
          </w:rPr>
          <w:t>https://doi.org/10.1111/1468-0335.00301</w:t>
        </w:r>
      </w:hyperlink>
    </w:p>
    <w:p w14:paraId="543DAFB8" w14:textId="0BCA7BF7"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Braunsberger</w:t>
      </w:r>
      <w:proofErr w:type="spellEnd"/>
      <w:r w:rsidRPr="003322E6">
        <w:rPr>
          <w:rFonts w:ascii="Times New Roman" w:hAnsi="Times New Roman" w:cs="Times New Roman"/>
          <w:sz w:val="24"/>
          <w:szCs w:val="24"/>
        </w:rPr>
        <w:t xml:space="preserve">, C. and Aschauer, E. (2025) ‘Corporate Failure Prediction: A literature review of Altman Z-Score and machine learning models within a technology adoption framework’, Journal of Risk and Financial Management, 18(8), p. 465. Available at: </w:t>
      </w:r>
      <w:hyperlink r:id="rId16" w:history="1">
        <w:r w:rsidRPr="00E37973">
          <w:rPr>
            <w:rStyle w:val="Hyperlink"/>
            <w:rFonts w:ascii="Times New Roman" w:hAnsi="Times New Roman" w:cs="Times New Roman"/>
            <w:sz w:val="24"/>
            <w:szCs w:val="24"/>
          </w:rPr>
          <w:t>https://doi.org/10.3390/jrfm18080465</w:t>
        </w:r>
      </w:hyperlink>
    </w:p>
    <w:p w14:paraId="4873416F" w14:textId="65196C7C"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Chen, S.N. (2016) ‘Capital budgeting and uncertain inflation’, Journal of Economics and Business, 36(3), pp. 335–344. Available at: </w:t>
      </w:r>
      <w:hyperlink r:id="rId17" w:history="1">
        <w:r w:rsidRPr="00E37973">
          <w:rPr>
            <w:rStyle w:val="Hyperlink"/>
            <w:rFonts w:ascii="Times New Roman" w:hAnsi="Times New Roman" w:cs="Times New Roman"/>
            <w:sz w:val="24"/>
            <w:szCs w:val="24"/>
          </w:rPr>
          <w:t>https://doi.org/10.1016/0148-6195(84)90004-3</w:t>
        </w:r>
      </w:hyperlink>
    </w:p>
    <w:p w14:paraId="1D23F996" w14:textId="59718FCB"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Dasilas</w:t>
      </w:r>
      <w:proofErr w:type="spellEnd"/>
      <w:r w:rsidRPr="003322E6">
        <w:rPr>
          <w:rFonts w:ascii="Times New Roman" w:hAnsi="Times New Roman" w:cs="Times New Roman"/>
          <w:sz w:val="24"/>
          <w:szCs w:val="24"/>
        </w:rPr>
        <w:t xml:space="preserve">, A. and </w:t>
      </w:r>
      <w:proofErr w:type="spellStart"/>
      <w:r w:rsidRPr="003322E6">
        <w:rPr>
          <w:rFonts w:ascii="Times New Roman" w:hAnsi="Times New Roman" w:cs="Times New Roman"/>
          <w:sz w:val="24"/>
          <w:szCs w:val="24"/>
        </w:rPr>
        <w:t>Rigani</w:t>
      </w:r>
      <w:proofErr w:type="spellEnd"/>
      <w:r w:rsidRPr="003322E6">
        <w:rPr>
          <w:rFonts w:ascii="Times New Roman" w:hAnsi="Times New Roman" w:cs="Times New Roman"/>
          <w:sz w:val="24"/>
          <w:szCs w:val="24"/>
        </w:rPr>
        <w:t xml:space="preserve">, A. (2024) ‘Machine learning techniques in bankruptcy prediction: A systematic literature review’, Expert Systems with Applications, 255, p. 124761. Available at: </w:t>
      </w:r>
      <w:hyperlink r:id="rId18" w:history="1">
        <w:r w:rsidRPr="00E37973">
          <w:rPr>
            <w:rStyle w:val="Hyperlink"/>
            <w:rFonts w:ascii="Times New Roman" w:hAnsi="Times New Roman" w:cs="Times New Roman"/>
            <w:sz w:val="24"/>
            <w:szCs w:val="24"/>
          </w:rPr>
          <w:t>https://doi.org/10.1016/j.eswa.2024.124761</w:t>
        </w:r>
      </w:hyperlink>
    </w:p>
    <w:p w14:paraId="1877903B" w14:textId="76E8A158"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Gholampoor</w:t>
      </w:r>
      <w:proofErr w:type="spellEnd"/>
      <w:r w:rsidRPr="003322E6">
        <w:rPr>
          <w:rFonts w:ascii="Times New Roman" w:hAnsi="Times New Roman" w:cs="Times New Roman"/>
          <w:sz w:val="24"/>
          <w:szCs w:val="24"/>
        </w:rPr>
        <w:t xml:space="preserve">, H. and Asadi, M. (2024) ‘Risk Analysis of bankruptcy in the U.S. healthcare industries based on Financial Ratios: A machine learning analysis’, Journal of Theoretical and Applied Electronic Commerce Research, 19(2), pp. 1303–1320. Available at: </w:t>
      </w:r>
      <w:hyperlink r:id="rId19" w:history="1">
        <w:r w:rsidRPr="00E37973">
          <w:rPr>
            <w:rStyle w:val="Hyperlink"/>
            <w:rFonts w:ascii="Times New Roman" w:hAnsi="Times New Roman" w:cs="Times New Roman"/>
            <w:sz w:val="24"/>
            <w:szCs w:val="24"/>
          </w:rPr>
          <w:t>https://doi.org/10.3390/jtaer19020066</w:t>
        </w:r>
      </w:hyperlink>
    </w:p>
    <w:p w14:paraId="15BF96E5" w14:textId="443134D4"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Kaur, R., Chattopadhyay, A.K. and Rakshit, D. (2020) ‘Determinants of Capital Structure with Reference to Select Indian Companies: A Panel Data Regression Analysis’, Asia-Pacific Journal of Management Research and Innovation, 16(2), pp. 79–92. Available at: </w:t>
      </w:r>
      <w:hyperlink r:id="rId20" w:history="1">
        <w:r w:rsidRPr="00E37973">
          <w:rPr>
            <w:rStyle w:val="Hyperlink"/>
            <w:rFonts w:ascii="Times New Roman" w:hAnsi="Times New Roman" w:cs="Times New Roman"/>
            <w:sz w:val="24"/>
            <w:szCs w:val="24"/>
          </w:rPr>
          <w:t>https://doi.org/10.1177/2319510X20913454</w:t>
        </w:r>
      </w:hyperlink>
    </w:p>
    <w:p w14:paraId="4EC4C37D" w14:textId="3D34A5B8"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lastRenderedPageBreak/>
        <w:t>Kiymaz</w:t>
      </w:r>
      <w:proofErr w:type="spellEnd"/>
      <w:r w:rsidRPr="003322E6">
        <w:rPr>
          <w:rFonts w:ascii="Times New Roman" w:hAnsi="Times New Roman" w:cs="Times New Roman"/>
          <w:sz w:val="24"/>
          <w:szCs w:val="24"/>
        </w:rPr>
        <w:t xml:space="preserve">, H., Haque, S. and Choudhury, A.A. (2024) ‘Working capital management and firm performance: A comparative analysis of developed and emerging economies’, Borsa Istanbul Review, 24(3), pp. 634–642. Available at: </w:t>
      </w:r>
      <w:hyperlink r:id="rId21" w:history="1">
        <w:r w:rsidRPr="00E37973">
          <w:rPr>
            <w:rStyle w:val="Hyperlink"/>
            <w:rFonts w:ascii="Times New Roman" w:hAnsi="Times New Roman" w:cs="Times New Roman"/>
            <w:sz w:val="24"/>
            <w:szCs w:val="24"/>
          </w:rPr>
          <w:t>https://doi.org/10.1016/j.bir.2024.03.004</w:t>
        </w:r>
      </w:hyperlink>
    </w:p>
    <w:p w14:paraId="76C8FADF" w14:textId="34F8A926"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Mancisidor</w:t>
      </w:r>
      <w:proofErr w:type="spellEnd"/>
      <w:r w:rsidRPr="003322E6">
        <w:rPr>
          <w:rFonts w:ascii="Times New Roman" w:hAnsi="Times New Roman" w:cs="Times New Roman"/>
          <w:sz w:val="24"/>
          <w:szCs w:val="24"/>
        </w:rPr>
        <w:t xml:space="preserve">, R.A. (2022) ‘Multimodal Generative Models for bankruptcy prediction using textual data’, </w:t>
      </w:r>
      <w:proofErr w:type="spellStart"/>
      <w:r w:rsidRPr="003322E6">
        <w:rPr>
          <w:rFonts w:ascii="Times New Roman" w:hAnsi="Times New Roman" w:cs="Times New Roman"/>
          <w:sz w:val="24"/>
          <w:szCs w:val="24"/>
        </w:rPr>
        <w:t>arXiv</w:t>
      </w:r>
      <w:proofErr w:type="spellEnd"/>
      <w:r w:rsidRPr="003322E6">
        <w:rPr>
          <w:rFonts w:ascii="Times New Roman" w:hAnsi="Times New Roman" w:cs="Times New Roman"/>
          <w:sz w:val="24"/>
          <w:szCs w:val="24"/>
        </w:rPr>
        <w:t xml:space="preserve"> [Preprint]. Available at: </w:t>
      </w:r>
      <w:hyperlink r:id="rId22" w:history="1">
        <w:r w:rsidRPr="00E37973">
          <w:rPr>
            <w:rStyle w:val="Hyperlink"/>
            <w:rFonts w:ascii="Times New Roman" w:hAnsi="Times New Roman" w:cs="Times New Roman"/>
            <w:sz w:val="24"/>
            <w:szCs w:val="24"/>
          </w:rPr>
          <w:t>https://doi.org/10.48550/arxiv.2211.08405</w:t>
        </w:r>
      </w:hyperlink>
    </w:p>
    <w:p w14:paraId="4AFBB933" w14:textId="36935F9A"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Naveed, H.M. et al. (2024) ‘Assessing the nexus between currency exchange rate returns, currency risk hedging and international investments: Intelligent network-based analysis’, Technological Forecasting and Social Change, 206, p. 123504. Available at: </w:t>
      </w:r>
      <w:hyperlink r:id="rId23" w:history="1">
        <w:r w:rsidRPr="00E37973">
          <w:rPr>
            <w:rStyle w:val="Hyperlink"/>
            <w:rFonts w:ascii="Times New Roman" w:hAnsi="Times New Roman" w:cs="Times New Roman"/>
            <w:sz w:val="24"/>
            <w:szCs w:val="24"/>
          </w:rPr>
          <w:t>https://doi.org/10.1016/j.techfore.2024.123504</w:t>
        </w:r>
      </w:hyperlink>
    </w:p>
    <w:p w14:paraId="238F3059" w14:textId="255EEEC6"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Osborne, M.J. (2010) ‘A resolution to the NPV–IRR debate?’, The Quarterly Review of Economics and Finance, 50(2), pp. 234–239. Available at: </w:t>
      </w:r>
      <w:hyperlink r:id="rId24" w:history="1">
        <w:r w:rsidRPr="00E37973">
          <w:rPr>
            <w:rStyle w:val="Hyperlink"/>
            <w:rFonts w:ascii="Times New Roman" w:hAnsi="Times New Roman" w:cs="Times New Roman"/>
            <w:sz w:val="24"/>
            <w:szCs w:val="24"/>
          </w:rPr>
          <w:t>https://doi.org/10.1016/j.qref.2010.01.002</w:t>
        </w:r>
      </w:hyperlink>
    </w:p>
    <w:p w14:paraId="67C861A3" w14:textId="73B0A01F"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Purkayastha, A. and Filatotchev, I. (2023) ‘Foreign equity valuations of emerging market firms: the effects of institutional distance and information spillovers’, Management International Review, 63(6), pp. 1021–1062. Available at: </w:t>
      </w:r>
      <w:hyperlink r:id="rId25" w:history="1">
        <w:r w:rsidRPr="00E37973">
          <w:rPr>
            <w:rStyle w:val="Hyperlink"/>
            <w:rFonts w:ascii="Times New Roman" w:hAnsi="Times New Roman" w:cs="Times New Roman"/>
            <w:sz w:val="24"/>
            <w:szCs w:val="24"/>
          </w:rPr>
          <w:t>https://doi.org/10.1007/s11575-023-00516-2</w:t>
        </w:r>
      </w:hyperlink>
    </w:p>
    <w:p w14:paraId="21B54C00" w14:textId="4D36558D"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Ramli, N.A., Latan, H. and </w:t>
      </w:r>
      <w:proofErr w:type="spellStart"/>
      <w:r w:rsidRPr="003322E6">
        <w:rPr>
          <w:rFonts w:ascii="Times New Roman" w:hAnsi="Times New Roman" w:cs="Times New Roman"/>
          <w:sz w:val="24"/>
          <w:szCs w:val="24"/>
        </w:rPr>
        <w:t>Solovida</w:t>
      </w:r>
      <w:proofErr w:type="spellEnd"/>
      <w:r w:rsidRPr="003322E6">
        <w:rPr>
          <w:rFonts w:ascii="Times New Roman" w:hAnsi="Times New Roman" w:cs="Times New Roman"/>
          <w:sz w:val="24"/>
          <w:szCs w:val="24"/>
        </w:rPr>
        <w:t xml:space="preserve">, G.T. (2018) ‘Determinants of capital structure and firm financial performance—A PLS-SEM approach: Evidence from Malaysia and Indonesia’, The Quarterly Review of Economics and Finance, 71, pp. 148–160. Available at: </w:t>
      </w:r>
      <w:hyperlink r:id="rId26" w:history="1">
        <w:r w:rsidRPr="00E37973">
          <w:rPr>
            <w:rStyle w:val="Hyperlink"/>
            <w:rFonts w:ascii="Times New Roman" w:hAnsi="Times New Roman" w:cs="Times New Roman"/>
            <w:sz w:val="24"/>
            <w:szCs w:val="24"/>
          </w:rPr>
          <w:t>https://doi.org/10.1016/j.qref.2018.07.001</w:t>
        </w:r>
      </w:hyperlink>
    </w:p>
    <w:p w14:paraId="1ED6C342" w14:textId="4D363661" w:rsidR="003322E6" w:rsidRPr="003322E6" w:rsidRDefault="003322E6" w:rsidP="003322E6">
      <w:pPr>
        <w:rPr>
          <w:rFonts w:ascii="Times New Roman" w:hAnsi="Times New Roman" w:cs="Times New Roman"/>
          <w:sz w:val="24"/>
          <w:szCs w:val="24"/>
        </w:rPr>
      </w:pPr>
      <w:r w:rsidRPr="003322E6">
        <w:rPr>
          <w:rFonts w:ascii="Times New Roman" w:hAnsi="Times New Roman" w:cs="Times New Roman"/>
          <w:sz w:val="24"/>
          <w:szCs w:val="24"/>
        </w:rPr>
        <w:t xml:space="preserve">Sanguino, Á.-S.M. et al. (2024) ‘Working Capital: Development of the Field through Scientific Mapping: An Updated Review’, Administrative Sciences, 14(4), p. 67. Available at: </w:t>
      </w:r>
      <w:hyperlink r:id="rId27" w:history="1">
        <w:r w:rsidRPr="00E37973">
          <w:rPr>
            <w:rStyle w:val="Hyperlink"/>
            <w:rFonts w:ascii="Times New Roman" w:hAnsi="Times New Roman" w:cs="Times New Roman"/>
            <w:sz w:val="24"/>
            <w:szCs w:val="24"/>
          </w:rPr>
          <w:t>https://doi.org/10.3390/admsci14040067</w:t>
        </w:r>
      </w:hyperlink>
    </w:p>
    <w:p w14:paraId="745128CB" w14:textId="2D418A2D" w:rsidR="003322E6" w:rsidRPr="003322E6"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Toudas</w:t>
      </w:r>
      <w:proofErr w:type="spellEnd"/>
      <w:r w:rsidRPr="003322E6">
        <w:rPr>
          <w:rFonts w:ascii="Times New Roman" w:hAnsi="Times New Roman" w:cs="Times New Roman"/>
          <w:sz w:val="24"/>
          <w:szCs w:val="24"/>
        </w:rPr>
        <w:t xml:space="preserve">, K., </w:t>
      </w:r>
      <w:proofErr w:type="spellStart"/>
      <w:r w:rsidRPr="003322E6">
        <w:rPr>
          <w:rFonts w:ascii="Times New Roman" w:hAnsi="Times New Roman" w:cs="Times New Roman"/>
          <w:sz w:val="24"/>
          <w:szCs w:val="24"/>
        </w:rPr>
        <w:t>Archontakis</w:t>
      </w:r>
      <w:proofErr w:type="spellEnd"/>
      <w:r w:rsidRPr="003322E6">
        <w:rPr>
          <w:rFonts w:ascii="Times New Roman" w:hAnsi="Times New Roman" w:cs="Times New Roman"/>
          <w:sz w:val="24"/>
          <w:szCs w:val="24"/>
        </w:rPr>
        <w:t xml:space="preserve">, S. and </w:t>
      </w:r>
      <w:proofErr w:type="spellStart"/>
      <w:r w:rsidRPr="003322E6">
        <w:rPr>
          <w:rFonts w:ascii="Times New Roman" w:hAnsi="Times New Roman" w:cs="Times New Roman"/>
          <w:sz w:val="24"/>
          <w:szCs w:val="24"/>
        </w:rPr>
        <w:t>Boufounou</w:t>
      </w:r>
      <w:proofErr w:type="spellEnd"/>
      <w:r w:rsidRPr="003322E6">
        <w:rPr>
          <w:rFonts w:ascii="Times New Roman" w:hAnsi="Times New Roman" w:cs="Times New Roman"/>
          <w:sz w:val="24"/>
          <w:szCs w:val="24"/>
        </w:rPr>
        <w:t xml:space="preserve">, P. (2024) ‘Corporate bankruptcy prediction models: A comparative study for the construction sector in Greece’, Computation, 12(1), p. 9. Available at: </w:t>
      </w:r>
      <w:hyperlink r:id="rId28" w:history="1">
        <w:r w:rsidRPr="00E37973">
          <w:rPr>
            <w:rStyle w:val="Hyperlink"/>
            <w:rFonts w:ascii="Times New Roman" w:hAnsi="Times New Roman" w:cs="Times New Roman"/>
            <w:sz w:val="24"/>
            <w:szCs w:val="24"/>
          </w:rPr>
          <w:t>https://doi.org/10.3390/computation12010009</w:t>
        </w:r>
      </w:hyperlink>
    </w:p>
    <w:p w14:paraId="135E903B" w14:textId="7BB7390B" w:rsidR="001F1D28" w:rsidRPr="009154BA" w:rsidRDefault="003322E6" w:rsidP="003322E6">
      <w:pPr>
        <w:rPr>
          <w:rFonts w:ascii="Times New Roman" w:hAnsi="Times New Roman" w:cs="Times New Roman"/>
          <w:sz w:val="24"/>
          <w:szCs w:val="24"/>
        </w:rPr>
      </w:pPr>
      <w:proofErr w:type="spellStart"/>
      <w:r w:rsidRPr="003322E6">
        <w:rPr>
          <w:rFonts w:ascii="Times New Roman" w:hAnsi="Times New Roman" w:cs="Times New Roman"/>
          <w:sz w:val="24"/>
          <w:szCs w:val="24"/>
        </w:rPr>
        <w:t>Yinghao</w:t>
      </w:r>
      <w:proofErr w:type="spellEnd"/>
      <w:r w:rsidRPr="003322E6">
        <w:rPr>
          <w:rFonts w:ascii="Times New Roman" w:hAnsi="Times New Roman" w:cs="Times New Roman"/>
          <w:sz w:val="24"/>
          <w:szCs w:val="24"/>
        </w:rPr>
        <w:t xml:space="preserve">, L. and </w:t>
      </w:r>
      <w:proofErr w:type="spellStart"/>
      <w:r w:rsidRPr="003322E6">
        <w:rPr>
          <w:rFonts w:ascii="Times New Roman" w:hAnsi="Times New Roman" w:cs="Times New Roman"/>
          <w:sz w:val="24"/>
          <w:szCs w:val="24"/>
        </w:rPr>
        <w:t>Jiajia</w:t>
      </w:r>
      <w:proofErr w:type="spellEnd"/>
      <w:r w:rsidRPr="003322E6">
        <w:rPr>
          <w:rFonts w:ascii="Times New Roman" w:hAnsi="Times New Roman" w:cs="Times New Roman"/>
          <w:sz w:val="24"/>
          <w:szCs w:val="24"/>
        </w:rPr>
        <w:t xml:space="preserve">, Y. (2025) ‘The impact of the openness of trade and finance on financial development: Evidence from emerging markets’, Emerging Markets Review, 65, p. 101261. Available at: </w:t>
      </w:r>
      <w:hyperlink r:id="rId29" w:history="1">
        <w:r w:rsidRPr="00E37973">
          <w:rPr>
            <w:rStyle w:val="Hyperlink"/>
            <w:rFonts w:ascii="Times New Roman" w:hAnsi="Times New Roman" w:cs="Times New Roman"/>
            <w:sz w:val="24"/>
            <w:szCs w:val="24"/>
          </w:rPr>
          <w:t>https://doi.org/10.1016/j.ememar.2025.101261</w:t>
        </w:r>
      </w:hyperlink>
    </w:p>
    <w:p w14:paraId="19337826" w14:textId="77777777" w:rsidR="001F1D28" w:rsidRPr="009154BA" w:rsidRDefault="001F1D28" w:rsidP="009154BA">
      <w:pPr>
        <w:jc w:val="both"/>
        <w:rPr>
          <w:rFonts w:ascii="Times New Roman" w:hAnsi="Times New Roman" w:cs="Times New Roman"/>
          <w:sz w:val="24"/>
          <w:szCs w:val="24"/>
        </w:rPr>
      </w:pPr>
    </w:p>
    <w:p w14:paraId="7DA5BABD" w14:textId="77777777" w:rsidR="001F1D28" w:rsidRDefault="001F1D28" w:rsidP="009154BA">
      <w:pPr>
        <w:jc w:val="both"/>
        <w:rPr>
          <w:rFonts w:ascii="Times New Roman" w:hAnsi="Times New Roman" w:cs="Times New Roman"/>
          <w:sz w:val="24"/>
          <w:szCs w:val="24"/>
        </w:rPr>
      </w:pPr>
    </w:p>
    <w:p w14:paraId="4050B5CA" w14:textId="77777777" w:rsidR="009154BA" w:rsidRDefault="009154BA" w:rsidP="009154BA">
      <w:pPr>
        <w:jc w:val="both"/>
        <w:rPr>
          <w:rFonts w:ascii="Times New Roman" w:hAnsi="Times New Roman" w:cs="Times New Roman"/>
          <w:sz w:val="24"/>
          <w:szCs w:val="24"/>
        </w:rPr>
      </w:pPr>
    </w:p>
    <w:p w14:paraId="7FD1A274" w14:textId="77777777" w:rsidR="009154BA" w:rsidRDefault="009154BA" w:rsidP="009154BA">
      <w:pPr>
        <w:jc w:val="both"/>
        <w:rPr>
          <w:rFonts w:ascii="Times New Roman" w:hAnsi="Times New Roman" w:cs="Times New Roman"/>
          <w:sz w:val="24"/>
          <w:szCs w:val="24"/>
        </w:rPr>
      </w:pPr>
    </w:p>
    <w:p w14:paraId="761B4B20" w14:textId="77777777" w:rsidR="009154BA" w:rsidRDefault="009154BA" w:rsidP="009154BA">
      <w:pPr>
        <w:jc w:val="both"/>
        <w:rPr>
          <w:rFonts w:ascii="Times New Roman" w:hAnsi="Times New Roman" w:cs="Times New Roman"/>
          <w:sz w:val="24"/>
          <w:szCs w:val="24"/>
        </w:rPr>
      </w:pPr>
    </w:p>
    <w:p w14:paraId="2BAA1D41" w14:textId="77777777" w:rsidR="001F1D28" w:rsidRPr="009154BA" w:rsidRDefault="001F1D28" w:rsidP="009154BA">
      <w:pPr>
        <w:jc w:val="both"/>
        <w:rPr>
          <w:rFonts w:ascii="Times New Roman" w:hAnsi="Times New Roman" w:cs="Times New Roman"/>
          <w:sz w:val="24"/>
          <w:szCs w:val="24"/>
        </w:rPr>
      </w:pPr>
    </w:p>
    <w:p w14:paraId="4FB9B3AF" w14:textId="4C4D7B38" w:rsidR="001F1D28" w:rsidRPr="009154BA" w:rsidRDefault="001F1D28" w:rsidP="009154BA">
      <w:pPr>
        <w:pStyle w:val="Heading1"/>
      </w:pPr>
      <w:bookmarkStart w:id="33" w:name="_Toc214355532"/>
      <w:r w:rsidRPr="009154BA">
        <w:lastRenderedPageBreak/>
        <w:t>APPENDICES</w:t>
      </w:r>
      <w:bookmarkEnd w:id="33"/>
    </w:p>
    <w:p w14:paraId="3B531618" w14:textId="77777777" w:rsidR="00795B57" w:rsidRPr="009154BA" w:rsidRDefault="00795B57" w:rsidP="003F5AE3">
      <w:pPr>
        <w:pStyle w:val="Heading2"/>
      </w:pPr>
      <w:bookmarkStart w:id="34" w:name="_Toc214355533"/>
      <w:r w:rsidRPr="009154BA">
        <w:t>Appendix A: Ratio Analysis Tables and Graphs</w:t>
      </w:r>
      <w:bookmarkEnd w:id="34"/>
    </w:p>
    <w:p w14:paraId="35E713AE" w14:textId="4F89CF2F" w:rsidR="00795B57" w:rsidRPr="009154BA" w:rsidRDefault="00B506CD" w:rsidP="009154BA">
      <w:pPr>
        <w:jc w:val="both"/>
        <w:rPr>
          <w:rFonts w:ascii="Times New Roman" w:hAnsi="Times New Roman" w:cs="Times New Roman"/>
          <w:sz w:val="24"/>
          <w:szCs w:val="24"/>
        </w:rPr>
      </w:pPr>
      <w:r w:rsidRPr="00B506CD">
        <w:rPr>
          <w:rFonts w:ascii="Times New Roman" w:hAnsi="Times New Roman" w:cs="Times New Roman"/>
          <w:sz w:val="24"/>
          <w:szCs w:val="24"/>
        </w:rPr>
        <w:t>The following appendix gives the actual calculations of the financial ratios and graphical analysis that were used to support the findings presented in section 2 of the report. The tables will contain profitability, liquidity, efficiency, gearing, and shareholder return ratios over the five years (2020</w:t>
      </w:r>
      <w:r>
        <w:rPr>
          <w:rFonts w:ascii="Times New Roman" w:hAnsi="Times New Roman" w:cs="Times New Roman"/>
          <w:sz w:val="24"/>
          <w:szCs w:val="24"/>
        </w:rPr>
        <w:t>-</w:t>
      </w:r>
      <w:r w:rsidRPr="00B506CD">
        <w:rPr>
          <w:rFonts w:ascii="Times New Roman" w:hAnsi="Times New Roman" w:cs="Times New Roman"/>
          <w:sz w:val="24"/>
          <w:szCs w:val="24"/>
        </w:rPr>
        <w:t>2024) directly calculated based on the income statement, balance sheet, and cash flow statements of the company. All the ratios have been computed through the conventional financial formulas, and their findings have been given in a similar manner across the years to enable a valid comparison.</w:t>
      </w:r>
    </w:p>
    <w:p w14:paraId="7CEAC729" w14:textId="295668EF" w:rsidR="00795B57" w:rsidRPr="009154BA" w:rsidRDefault="00B506CD" w:rsidP="009154BA">
      <w:pPr>
        <w:jc w:val="both"/>
        <w:rPr>
          <w:rFonts w:ascii="Times New Roman" w:hAnsi="Times New Roman" w:cs="Times New Roman"/>
          <w:sz w:val="24"/>
          <w:szCs w:val="24"/>
        </w:rPr>
      </w:pPr>
      <w:r w:rsidRPr="00B506CD">
        <w:rPr>
          <w:rFonts w:ascii="Times New Roman" w:hAnsi="Times New Roman" w:cs="Times New Roman"/>
          <w:sz w:val="24"/>
          <w:szCs w:val="24"/>
        </w:rPr>
        <w:t>Also, the numerical tables are followed by the line graphs which help to see the primary trends in performances and understand the alterations of margins, liquidity strength, working capital efficiency, leverage, and shareholder returns throughout the time. The visual aids assist in pointing out the new trends like the drop in profitability, liquidity variability, or variation in the operating efficiency that is critical in diagnosing the health of the firm in terms of financial performance. The mixture of tables and charts gives a full foundation to further analysis in the primary report</w:t>
      </w:r>
      <w:r w:rsidR="00795B57" w:rsidRPr="009154BA">
        <w:rPr>
          <w:rFonts w:ascii="Times New Roman" w:hAnsi="Times New Roman" w:cs="Times New Roman"/>
          <w:sz w:val="24"/>
          <w:szCs w:val="24"/>
        </w:rPr>
        <w:t>.</w:t>
      </w:r>
    </w:p>
    <w:p w14:paraId="5460B81C" w14:textId="7D837593" w:rsidR="0002720C" w:rsidRPr="009154BA" w:rsidRDefault="0002720C" w:rsidP="009154BA">
      <w:pPr>
        <w:jc w:val="both"/>
        <w:rPr>
          <w:rFonts w:ascii="Times New Roman" w:hAnsi="Times New Roman" w:cs="Times New Roman"/>
          <w:b/>
          <w:bCs/>
          <w:sz w:val="24"/>
          <w:szCs w:val="24"/>
        </w:rPr>
      </w:pPr>
      <w:r w:rsidRPr="009154BA">
        <w:rPr>
          <w:rFonts w:ascii="Times New Roman" w:hAnsi="Times New Roman" w:cs="Times New Roman"/>
          <w:b/>
          <w:bCs/>
          <w:sz w:val="24"/>
          <w:szCs w:val="24"/>
        </w:rPr>
        <w:t>Appendix A1: Ratio Analysis Table (Excel Output)</w:t>
      </w:r>
    </w:p>
    <w:p w14:paraId="06DC6319" w14:textId="17E070E6" w:rsidR="001F1D28" w:rsidRPr="009154BA" w:rsidRDefault="00181198"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1857EF1D" wp14:editId="1FC1728D">
            <wp:extent cx="5731510" cy="2846070"/>
            <wp:effectExtent l="0" t="0" r="2540" b="0"/>
            <wp:docPr id="686310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10923" name=""/>
                    <pic:cNvPicPr/>
                  </pic:nvPicPr>
                  <pic:blipFill>
                    <a:blip r:embed="rId30"/>
                    <a:stretch>
                      <a:fillRect/>
                    </a:stretch>
                  </pic:blipFill>
                  <pic:spPr>
                    <a:xfrm>
                      <a:off x="0" y="0"/>
                      <a:ext cx="5731510" cy="2846070"/>
                    </a:xfrm>
                    <a:prstGeom prst="rect">
                      <a:avLst/>
                    </a:prstGeom>
                  </pic:spPr>
                </pic:pic>
              </a:graphicData>
            </a:graphic>
          </wp:inline>
        </w:drawing>
      </w:r>
    </w:p>
    <w:p w14:paraId="4EC47359" w14:textId="03DC2255" w:rsidR="00181198" w:rsidRPr="009154BA" w:rsidRDefault="0002720C" w:rsidP="009154BA">
      <w:pPr>
        <w:jc w:val="both"/>
        <w:rPr>
          <w:rFonts w:ascii="Times New Roman" w:hAnsi="Times New Roman" w:cs="Times New Roman"/>
          <w:sz w:val="24"/>
          <w:szCs w:val="24"/>
        </w:rPr>
      </w:pPr>
      <w:r w:rsidRPr="009154BA">
        <w:rPr>
          <w:rFonts w:ascii="Times New Roman" w:hAnsi="Times New Roman" w:cs="Times New Roman"/>
          <w:sz w:val="24"/>
          <w:szCs w:val="24"/>
        </w:rPr>
        <w:t>This table presents key profitability, liquidity, efficiency, gearing, and EPS ratios for 2020</w:t>
      </w:r>
      <w:r w:rsidR="00B03C91">
        <w:rPr>
          <w:rFonts w:ascii="Times New Roman" w:hAnsi="Times New Roman" w:cs="Times New Roman"/>
          <w:sz w:val="24"/>
          <w:szCs w:val="24"/>
        </w:rPr>
        <w:t>-</w:t>
      </w:r>
      <w:r w:rsidRPr="009154BA">
        <w:rPr>
          <w:rFonts w:ascii="Times New Roman" w:hAnsi="Times New Roman" w:cs="Times New Roman"/>
          <w:sz w:val="24"/>
          <w:szCs w:val="24"/>
        </w:rPr>
        <w:t>2024, calculated using Excel based on the company’s financial statements.</w:t>
      </w:r>
    </w:p>
    <w:p w14:paraId="7EABCB6E" w14:textId="77777777" w:rsidR="00B03C91" w:rsidRDefault="00B03C91" w:rsidP="009154BA">
      <w:pPr>
        <w:jc w:val="both"/>
        <w:rPr>
          <w:rFonts w:ascii="Times New Roman" w:hAnsi="Times New Roman" w:cs="Times New Roman"/>
          <w:b/>
          <w:bCs/>
          <w:sz w:val="24"/>
          <w:szCs w:val="24"/>
        </w:rPr>
      </w:pPr>
    </w:p>
    <w:p w14:paraId="137411B3" w14:textId="77777777" w:rsidR="00B03C91" w:rsidRDefault="00B03C91" w:rsidP="009154BA">
      <w:pPr>
        <w:jc w:val="both"/>
        <w:rPr>
          <w:rFonts w:ascii="Times New Roman" w:hAnsi="Times New Roman" w:cs="Times New Roman"/>
          <w:b/>
          <w:bCs/>
          <w:sz w:val="24"/>
          <w:szCs w:val="24"/>
        </w:rPr>
      </w:pPr>
    </w:p>
    <w:p w14:paraId="7B75D463" w14:textId="77777777" w:rsidR="00B03C91" w:rsidRDefault="00B03C91" w:rsidP="009154BA">
      <w:pPr>
        <w:jc w:val="both"/>
        <w:rPr>
          <w:rFonts w:ascii="Times New Roman" w:hAnsi="Times New Roman" w:cs="Times New Roman"/>
          <w:b/>
          <w:bCs/>
          <w:sz w:val="24"/>
          <w:szCs w:val="24"/>
        </w:rPr>
      </w:pPr>
    </w:p>
    <w:p w14:paraId="2AA4DF1B" w14:textId="77777777" w:rsidR="00B03C91" w:rsidRDefault="00B03C91" w:rsidP="009154BA">
      <w:pPr>
        <w:jc w:val="both"/>
        <w:rPr>
          <w:rFonts w:ascii="Times New Roman" w:hAnsi="Times New Roman" w:cs="Times New Roman"/>
          <w:b/>
          <w:bCs/>
          <w:sz w:val="24"/>
          <w:szCs w:val="24"/>
        </w:rPr>
      </w:pPr>
    </w:p>
    <w:p w14:paraId="51E6158E" w14:textId="738AB093" w:rsidR="00181198" w:rsidRPr="00B03C91" w:rsidRDefault="00181198"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lastRenderedPageBreak/>
        <w:t>Appendix A2: Ratio Formulas (Excel Formula View)</w:t>
      </w:r>
    </w:p>
    <w:p w14:paraId="5C48F003" w14:textId="5398FD64" w:rsidR="00181198" w:rsidRPr="009154BA" w:rsidRDefault="00181198"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2F3DBECB" wp14:editId="62243547">
            <wp:extent cx="5731510" cy="2600960"/>
            <wp:effectExtent l="0" t="0" r="2540" b="8890"/>
            <wp:docPr id="208143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39956" name=""/>
                    <pic:cNvPicPr/>
                  </pic:nvPicPr>
                  <pic:blipFill>
                    <a:blip r:embed="rId31"/>
                    <a:stretch>
                      <a:fillRect/>
                    </a:stretch>
                  </pic:blipFill>
                  <pic:spPr>
                    <a:xfrm>
                      <a:off x="0" y="0"/>
                      <a:ext cx="5731510" cy="2600960"/>
                    </a:xfrm>
                    <a:prstGeom prst="rect">
                      <a:avLst/>
                    </a:prstGeom>
                  </pic:spPr>
                </pic:pic>
              </a:graphicData>
            </a:graphic>
          </wp:inline>
        </w:drawing>
      </w:r>
    </w:p>
    <w:p w14:paraId="3863DD76" w14:textId="4F22B3E0" w:rsidR="00181198" w:rsidRPr="009154BA" w:rsidRDefault="00181198" w:rsidP="009154BA">
      <w:pPr>
        <w:jc w:val="both"/>
        <w:rPr>
          <w:rFonts w:ascii="Times New Roman" w:hAnsi="Times New Roman" w:cs="Times New Roman"/>
          <w:sz w:val="24"/>
          <w:szCs w:val="24"/>
        </w:rPr>
      </w:pPr>
      <w:r w:rsidRPr="009154BA">
        <w:rPr>
          <w:rFonts w:ascii="Times New Roman" w:hAnsi="Times New Roman" w:cs="Times New Roman"/>
          <w:sz w:val="24"/>
          <w:szCs w:val="24"/>
        </w:rPr>
        <w:t>This screenshot displays the Excel formulas used to compute all profitability, liquidity, efficiency, gearing, and shareholder return ratios for 2020</w:t>
      </w:r>
      <w:r w:rsidR="00B03C91">
        <w:rPr>
          <w:rFonts w:ascii="Times New Roman" w:hAnsi="Times New Roman" w:cs="Times New Roman"/>
          <w:sz w:val="24"/>
          <w:szCs w:val="24"/>
        </w:rPr>
        <w:t>-</w:t>
      </w:r>
      <w:r w:rsidRPr="009154BA">
        <w:rPr>
          <w:rFonts w:ascii="Times New Roman" w:hAnsi="Times New Roman" w:cs="Times New Roman"/>
          <w:sz w:val="24"/>
          <w:szCs w:val="24"/>
        </w:rPr>
        <w:t>2024.</w:t>
      </w:r>
    </w:p>
    <w:p w14:paraId="290243C7" w14:textId="220EB795" w:rsidR="00C34A1F" w:rsidRPr="00B03C91" w:rsidRDefault="00C34A1F"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t>Appendix A3: Profitability Ratio Trends (2020</w:t>
      </w:r>
      <w:r w:rsidR="00B03C91" w:rsidRPr="00B03C91">
        <w:rPr>
          <w:rFonts w:ascii="Times New Roman" w:hAnsi="Times New Roman" w:cs="Times New Roman"/>
          <w:b/>
          <w:bCs/>
          <w:sz w:val="24"/>
          <w:szCs w:val="24"/>
        </w:rPr>
        <w:t>-</w:t>
      </w:r>
      <w:r w:rsidRPr="00B03C91">
        <w:rPr>
          <w:rFonts w:ascii="Times New Roman" w:hAnsi="Times New Roman" w:cs="Times New Roman"/>
          <w:b/>
          <w:bCs/>
          <w:sz w:val="24"/>
          <w:szCs w:val="24"/>
        </w:rPr>
        <w:t>2024)</w:t>
      </w:r>
    </w:p>
    <w:p w14:paraId="28277A3E" w14:textId="1513F77B" w:rsidR="00C34A1F" w:rsidRPr="009154BA" w:rsidRDefault="00C34A1F"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3A09EA0C" wp14:editId="367AC3DF">
            <wp:extent cx="5731510" cy="2896235"/>
            <wp:effectExtent l="0" t="0" r="2540" b="0"/>
            <wp:docPr id="561676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76172" name=""/>
                    <pic:cNvPicPr/>
                  </pic:nvPicPr>
                  <pic:blipFill>
                    <a:blip r:embed="rId32"/>
                    <a:stretch>
                      <a:fillRect/>
                    </a:stretch>
                  </pic:blipFill>
                  <pic:spPr>
                    <a:xfrm>
                      <a:off x="0" y="0"/>
                      <a:ext cx="5731510" cy="2896235"/>
                    </a:xfrm>
                    <a:prstGeom prst="rect">
                      <a:avLst/>
                    </a:prstGeom>
                  </pic:spPr>
                </pic:pic>
              </a:graphicData>
            </a:graphic>
          </wp:inline>
        </w:drawing>
      </w:r>
    </w:p>
    <w:p w14:paraId="383BF837" w14:textId="068A5B90" w:rsidR="00C34A1F" w:rsidRPr="009154BA" w:rsidRDefault="00C34A1F" w:rsidP="009154BA">
      <w:pPr>
        <w:jc w:val="both"/>
        <w:rPr>
          <w:rFonts w:ascii="Times New Roman" w:hAnsi="Times New Roman" w:cs="Times New Roman"/>
          <w:sz w:val="24"/>
          <w:szCs w:val="24"/>
        </w:rPr>
      </w:pPr>
      <w:r w:rsidRPr="009154BA">
        <w:rPr>
          <w:rFonts w:ascii="Times New Roman" w:hAnsi="Times New Roman" w:cs="Times New Roman"/>
          <w:sz w:val="24"/>
          <w:szCs w:val="24"/>
        </w:rPr>
        <w:t>Line chart showing GPM, OPM and NPM over the 2020–2024 period.</w:t>
      </w:r>
    </w:p>
    <w:p w14:paraId="2572B22C" w14:textId="2B1C55F2" w:rsidR="00C34A1F" w:rsidRPr="00B03C91" w:rsidRDefault="00CF75B2"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t>Appendix A3: Liquidity Ratios (2020-2024)</w:t>
      </w:r>
    </w:p>
    <w:p w14:paraId="0419CAB3" w14:textId="3B70A87F" w:rsidR="00C34A1F" w:rsidRPr="009154BA" w:rsidRDefault="00C34A1F" w:rsidP="009154BA">
      <w:pPr>
        <w:jc w:val="both"/>
        <w:rPr>
          <w:rFonts w:ascii="Times New Roman" w:hAnsi="Times New Roman" w:cs="Times New Roman"/>
          <w:sz w:val="24"/>
          <w:szCs w:val="24"/>
        </w:rPr>
      </w:pPr>
      <w:r w:rsidRPr="009154BA">
        <w:rPr>
          <w:rFonts w:ascii="Times New Roman" w:hAnsi="Times New Roman" w:cs="Times New Roman"/>
          <w:noProof/>
          <w:sz w:val="24"/>
          <w:szCs w:val="24"/>
        </w:rPr>
        <w:lastRenderedPageBreak/>
        <w:drawing>
          <wp:inline distT="0" distB="0" distL="0" distR="0" wp14:anchorId="6BFCF583" wp14:editId="21C4690B">
            <wp:extent cx="5731510" cy="4222115"/>
            <wp:effectExtent l="0" t="0" r="2540" b="6985"/>
            <wp:docPr id="90880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801658" name=""/>
                    <pic:cNvPicPr/>
                  </pic:nvPicPr>
                  <pic:blipFill>
                    <a:blip r:embed="rId33"/>
                    <a:stretch>
                      <a:fillRect/>
                    </a:stretch>
                  </pic:blipFill>
                  <pic:spPr>
                    <a:xfrm>
                      <a:off x="0" y="0"/>
                      <a:ext cx="5731510" cy="4222115"/>
                    </a:xfrm>
                    <a:prstGeom prst="rect">
                      <a:avLst/>
                    </a:prstGeom>
                  </pic:spPr>
                </pic:pic>
              </a:graphicData>
            </a:graphic>
          </wp:inline>
        </w:drawing>
      </w:r>
    </w:p>
    <w:p w14:paraId="70518B12" w14:textId="3BAC2323" w:rsidR="00C34A1F" w:rsidRPr="009154BA" w:rsidRDefault="00CF75B2" w:rsidP="009154BA">
      <w:pPr>
        <w:jc w:val="both"/>
        <w:rPr>
          <w:rFonts w:ascii="Times New Roman" w:hAnsi="Times New Roman" w:cs="Times New Roman"/>
          <w:sz w:val="24"/>
          <w:szCs w:val="24"/>
        </w:rPr>
      </w:pPr>
      <w:r w:rsidRPr="009154BA">
        <w:rPr>
          <w:rFonts w:ascii="Times New Roman" w:hAnsi="Times New Roman" w:cs="Times New Roman"/>
          <w:sz w:val="24"/>
          <w:szCs w:val="24"/>
        </w:rPr>
        <w:t>Line chart comparing the Current Ratio and Quick Ratio over the five-year period, illustrating trends in the company’s short-term liquidity position.</w:t>
      </w:r>
    </w:p>
    <w:p w14:paraId="63304AE8" w14:textId="2BEEBD04" w:rsidR="00CF75B2" w:rsidRPr="00B03C91" w:rsidRDefault="00CF75B2"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t>Appendix A3: Efficiency Ratios and Cash Conversion Cycle (2020</w:t>
      </w:r>
      <w:r w:rsidR="00B03C91">
        <w:rPr>
          <w:rFonts w:ascii="Times New Roman" w:hAnsi="Times New Roman" w:cs="Times New Roman"/>
          <w:b/>
          <w:bCs/>
          <w:sz w:val="24"/>
          <w:szCs w:val="24"/>
        </w:rPr>
        <w:t>-</w:t>
      </w:r>
      <w:r w:rsidRPr="00B03C91">
        <w:rPr>
          <w:rFonts w:ascii="Times New Roman" w:hAnsi="Times New Roman" w:cs="Times New Roman"/>
          <w:b/>
          <w:bCs/>
          <w:sz w:val="24"/>
          <w:szCs w:val="24"/>
        </w:rPr>
        <w:t>2024)</w:t>
      </w:r>
    </w:p>
    <w:p w14:paraId="4DFA6128" w14:textId="080DC6A2" w:rsidR="00CF75B2" w:rsidRPr="009154BA" w:rsidRDefault="00CF75B2"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1389DAEB" wp14:editId="583CF284">
            <wp:extent cx="5731510" cy="3408680"/>
            <wp:effectExtent l="0" t="0" r="2540" b="1270"/>
            <wp:docPr id="214125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52309" name=""/>
                    <pic:cNvPicPr/>
                  </pic:nvPicPr>
                  <pic:blipFill>
                    <a:blip r:embed="rId34"/>
                    <a:stretch>
                      <a:fillRect/>
                    </a:stretch>
                  </pic:blipFill>
                  <pic:spPr>
                    <a:xfrm>
                      <a:off x="0" y="0"/>
                      <a:ext cx="5731510" cy="3408680"/>
                    </a:xfrm>
                    <a:prstGeom prst="rect">
                      <a:avLst/>
                    </a:prstGeom>
                  </pic:spPr>
                </pic:pic>
              </a:graphicData>
            </a:graphic>
          </wp:inline>
        </w:drawing>
      </w:r>
    </w:p>
    <w:p w14:paraId="57C1CE6B" w14:textId="00D613E8" w:rsidR="007A7D23" w:rsidRPr="009154BA" w:rsidRDefault="00CF75B2" w:rsidP="009154BA">
      <w:pPr>
        <w:jc w:val="both"/>
        <w:rPr>
          <w:rFonts w:ascii="Times New Roman" w:hAnsi="Times New Roman" w:cs="Times New Roman"/>
          <w:sz w:val="24"/>
          <w:szCs w:val="24"/>
        </w:rPr>
      </w:pPr>
      <w:r w:rsidRPr="009154BA">
        <w:rPr>
          <w:rFonts w:ascii="Times New Roman" w:hAnsi="Times New Roman" w:cs="Times New Roman"/>
          <w:sz w:val="24"/>
          <w:szCs w:val="24"/>
        </w:rPr>
        <w:lastRenderedPageBreak/>
        <w:t>Line chart illustrating trends in Inventory Days, Receivables Days, Payables Days, and the overall Cash Conversion Cycle (CCC) across the five-year period.</w:t>
      </w:r>
    </w:p>
    <w:p w14:paraId="6EE59398" w14:textId="66B40B27" w:rsidR="007A7D23" w:rsidRPr="00B03C91" w:rsidRDefault="007A7D23"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t>Appendix A3: Gearing Ratios (2020</w:t>
      </w:r>
      <w:r w:rsidR="00B03C91" w:rsidRPr="00B03C91">
        <w:rPr>
          <w:rFonts w:ascii="Times New Roman" w:hAnsi="Times New Roman" w:cs="Times New Roman"/>
          <w:b/>
          <w:bCs/>
          <w:sz w:val="24"/>
          <w:szCs w:val="24"/>
        </w:rPr>
        <w:t>-</w:t>
      </w:r>
      <w:r w:rsidRPr="00B03C91">
        <w:rPr>
          <w:rFonts w:ascii="Times New Roman" w:hAnsi="Times New Roman" w:cs="Times New Roman"/>
          <w:b/>
          <w:bCs/>
          <w:sz w:val="24"/>
          <w:szCs w:val="24"/>
        </w:rPr>
        <w:t>2024)</w:t>
      </w:r>
    </w:p>
    <w:p w14:paraId="15607241" w14:textId="07201889" w:rsidR="007A7D23" w:rsidRPr="009154BA" w:rsidRDefault="007A7D23"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755A02E7" wp14:editId="02DF59FB">
            <wp:extent cx="5731510" cy="5054600"/>
            <wp:effectExtent l="0" t="0" r="2540" b="0"/>
            <wp:docPr id="176617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79943" name=""/>
                    <pic:cNvPicPr/>
                  </pic:nvPicPr>
                  <pic:blipFill>
                    <a:blip r:embed="rId35"/>
                    <a:stretch>
                      <a:fillRect/>
                    </a:stretch>
                  </pic:blipFill>
                  <pic:spPr>
                    <a:xfrm>
                      <a:off x="0" y="0"/>
                      <a:ext cx="5731510" cy="5054600"/>
                    </a:xfrm>
                    <a:prstGeom prst="rect">
                      <a:avLst/>
                    </a:prstGeom>
                  </pic:spPr>
                </pic:pic>
              </a:graphicData>
            </a:graphic>
          </wp:inline>
        </w:drawing>
      </w:r>
    </w:p>
    <w:p w14:paraId="617AE8D8" w14:textId="77777777" w:rsidR="007A7D23" w:rsidRPr="00B03C91" w:rsidRDefault="007A7D23" w:rsidP="009154BA">
      <w:pPr>
        <w:jc w:val="both"/>
        <w:rPr>
          <w:rFonts w:ascii="Times New Roman" w:hAnsi="Times New Roman" w:cs="Times New Roman"/>
          <w:sz w:val="24"/>
          <w:szCs w:val="24"/>
        </w:rPr>
      </w:pPr>
      <w:r w:rsidRPr="00B03C91">
        <w:rPr>
          <w:rFonts w:ascii="Times New Roman" w:hAnsi="Times New Roman" w:cs="Times New Roman"/>
          <w:sz w:val="24"/>
          <w:szCs w:val="24"/>
        </w:rPr>
        <w:t>Line chart comparing the Debt-to-Equity ratio and the Interest Coverage ratio over five years, illustrating changes in the firm’s leverage and ability to meet interest obligations.</w:t>
      </w:r>
    </w:p>
    <w:p w14:paraId="0212CC9E" w14:textId="77777777" w:rsidR="007A7D23" w:rsidRPr="009154BA" w:rsidRDefault="007A7D23" w:rsidP="009154BA">
      <w:pPr>
        <w:jc w:val="both"/>
        <w:rPr>
          <w:rFonts w:ascii="Times New Roman" w:hAnsi="Times New Roman" w:cs="Times New Roman"/>
          <w:sz w:val="24"/>
          <w:szCs w:val="24"/>
        </w:rPr>
      </w:pPr>
    </w:p>
    <w:p w14:paraId="1A17D823" w14:textId="77777777" w:rsidR="007A7D23" w:rsidRPr="009154BA" w:rsidRDefault="007A7D23" w:rsidP="009154BA">
      <w:pPr>
        <w:jc w:val="both"/>
        <w:rPr>
          <w:rFonts w:ascii="Times New Roman" w:hAnsi="Times New Roman" w:cs="Times New Roman"/>
          <w:sz w:val="24"/>
          <w:szCs w:val="24"/>
        </w:rPr>
      </w:pPr>
    </w:p>
    <w:p w14:paraId="5ADADE48" w14:textId="77777777" w:rsidR="007A7D23" w:rsidRPr="009154BA" w:rsidRDefault="007A7D23" w:rsidP="009154BA">
      <w:pPr>
        <w:jc w:val="both"/>
        <w:rPr>
          <w:rFonts w:ascii="Times New Roman" w:hAnsi="Times New Roman" w:cs="Times New Roman"/>
          <w:sz w:val="24"/>
          <w:szCs w:val="24"/>
        </w:rPr>
      </w:pPr>
    </w:p>
    <w:p w14:paraId="02E78B3E" w14:textId="77777777" w:rsidR="007A7D23" w:rsidRPr="009154BA" w:rsidRDefault="007A7D23" w:rsidP="009154BA">
      <w:pPr>
        <w:jc w:val="both"/>
        <w:rPr>
          <w:rFonts w:ascii="Times New Roman" w:hAnsi="Times New Roman" w:cs="Times New Roman"/>
          <w:sz w:val="24"/>
          <w:szCs w:val="24"/>
        </w:rPr>
      </w:pPr>
    </w:p>
    <w:p w14:paraId="25B5E8D4" w14:textId="77777777" w:rsidR="007A7D23" w:rsidRPr="009154BA" w:rsidRDefault="007A7D23" w:rsidP="009154BA">
      <w:pPr>
        <w:jc w:val="both"/>
        <w:rPr>
          <w:rFonts w:ascii="Times New Roman" w:hAnsi="Times New Roman" w:cs="Times New Roman"/>
          <w:sz w:val="24"/>
          <w:szCs w:val="24"/>
        </w:rPr>
      </w:pPr>
    </w:p>
    <w:p w14:paraId="189604E8" w14:textId="77777777" w:rsidR="007A7D23" w:rsidRPr="009154BA" w:rsidRDefault="007A7D23" w:rsidP="009154BA">
      <w:pPr>
        <w:jc w:val="both"/>
        <w:rPr>
          <w:rFonts w:ascii="Times New Roman" w:hAnsi="Times New Roman" w:cs="Times New Roman"/>
          <w:sz w:val="24"/>
          <w:szCs w:val="24"/>
        </w:rPr>
      </w:pPr>
    </w:p>
    <w:p w14:paraId="6CAA77A0" w14:textId="77777777" w:rsidR="007A7D23" w:rsidRDefault="007A7D23" w:rsidP="009154BA">
      <w:pPr>
        <w:jc w:val="both"/>
        <w:rPr>
          <w:rFonts w:ascii="Times New Roman" w:hAnsi="Times New Roman" w:cs="Times New Roman"/>
          <w:sz w:val="24"/>
          <w:szCs w:val="24"/>
        </w:rPr>
      </w:pPr>
    </w:p>
    <w:p w14:paraId="250B7A56" w14:textId="77777777" w:rsidR="00090A1B" w:rsidRPr="009154BA" w:rsidRDefault="00090A1B" w:rsidP="009154BA">
      <w:pPr>
        <w:jc w:val="both"/>
        <w:rPr>
          <w:rFonts w:ascii="Times New Roman" w:hAnsi="Times New Roman" w:cs="Times New Roman"/>
          <w:sz w:val="24"/>
          <w:szCs w:val="24"/>
        </w:rPr>
      </w:pPr>
    </w:p>
    <w:p w14:paraId="64DBBCC9" w14:textId="39C5C503" w:rsidR="007A7D23" w:rsidRPr="009154BA" w:rsidRDefault="00795B57" w:rsidP="003F5AE3">
      <w:pPr>
        <w:pStyle w:val="Heading2"/>
      </w:pPr>
      <w:bookmarkStart w:id="35" w:name="_Toc214355534"/>
      <w:r w:rsidRPr="009154BA">
        <w:t>Appendix B: Investment Appraisal Calculations</w:t>
      </w:r>
      <w:bookmarkEnd w:id="35"/>
    </w:p>
    <w:p w14:paraId="2E93073F" w14:textId="778DD888" w:rsidR="00795B57" w:rsidRPr="009154BA" w:rsidRDefault="00090A1B" w:rsidP="009154BA">
      <w:pPr>
        <w:jc w:val="both"/>
        <w:rPr>
          <w:rFonts w:ascii="Times New Roman" w:hAnsi="Times New Roman" w:cs="Times New Roman"/>
          <w:sz w:val="24"/>
          <w:szCs w:val="24"/>
        </w:rPr>
      </w:pPr>
      <w:r w:rsidRPr="00090A1B">
        <w:rPr>
          <w:rFonts w:ascii="Times New Roman" w:hAnsi="Times New Roman" w:cs="Times New Roman"/>
          <w:sz w:val="24"/>
          <w:szCs w:val="24"/>
        </w:rPr>
        <w:t>This appendix provides the full table of the investment appraisal calculation of Projects A, B, and C and the methodologies have been adopted as outlined in the assignment brief. The studies include Net Present Value (NPV), Internal Rate of Return (IRR), Payback Period, Accounting rate of Return (ARR), and Profitability Index (PI) which was calculated at a discount level of 10% and using straight-line depreciation up to a residual value of zero. Extensive Excel results have been provided as Appendix to promote transparency; a description has been given on how the discount factors were calculated, the computation of present-value, cumulative cash-flow profiles and the summary investment measures</w:t>
      </w:r>
      <w:r w:rsidR="00795B57" w:rsidRPr="009154BA">
        <w:rPr>
          <w:rFonts w:ascii="Times New Roman" w:hAnsi="Times New Roman" w:cs="Times New Roman"/>
          <w:sz w:val="24"/>
          <w:szCs w:val="24"/>
        </w:rPr>
        <w:t>.</w:t>
      </w:r>
    </w:p>
    <w:p w14:paraId="584F7280" w14:textId="0F4E3F79" w:rsidR="00795B57" w:rsidRPr="009154BA" w:rsidRDefault="00090A1B" w:rsidP="009154BA">
      <w:pPr>
        <w:jc w:val="both"/>
        <w:rPr>
          <w:rFonts w:ascii="Times New Roman" w:hAnsi="Times New Roman" w:cs="Times New Roman"/>
          <w:sz w:val="24"/>
          <w:szCs w:val="24"/>
        </w:rPr>
      </w:pPr>
      <w:r w:rsidRPr="00090A1B">
        <w:rPr>
          <w:rFonts w:ascii="Times New Roman" w:hAnsi="Times New Roman" w:cs="Times New Roman"/>
          <w:sz w:val="24"/>
          <w:szCs w:val="24"/>
        </w:rPr>
        <w:t>These calculations are aimed to give a clear picture of how each project is viable financially and to inform justifiable capital-budgeting decisions given the constraint of investment of 60million pounds. This appendix will ensure complete result traceability through the clear specification of each modelling step, thus, ensuring the verification of the NPV drivers, cash flow timing impacts, and project performance sensitivity. These outputs therefore form the quantitative basis to investment recommendation as stated in the main report</w:t>
      </w:r>
      <w:r w:rsidR="00795B57" w:rsidRPr="009154BA">
        <w:rPr>
          <w:rFonts w:ascii="Times New Roman" w:hAnsi="Times New Roman" w:cs="Times New Roman"/>
          <w:sz w:val="24"/>
          <w:szCs w:val="24"/>
        </w:rPr>
        <w:t>.</w:t>
      </w:r>
    </w:p>
    <w:p w14:paraId="0DCEE557" w14:textId="0100AEE1" w:rsidR="007A7D23" w:rsidRPr="00B03C91" w:rsidRDefault="007A7D23"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t>Appendix B</w:t>
      </w:r>
      <w:r w:rsidR="00B03C91">
        <w:rPr>
          <w:rFonts w:ascii="Times New Roman" w:hAnsi="Times New Roman" w:cs="Times New Roman"/>
          <w:b/>
          <w:bCs/>
          <w:sz w:val="24"/>
          <w:szCs w:val="24"/>
        </w:rPr>
        <w:t>1</w:t>
      </w:r>
      <w:r w:rsidRPr="00B03C91">
        <w:rPr>
          <w:rFonts w:ascii="Times New Roman" w:hAnsi="Times New Roman" w:cs="Times New Roman"/>
          <w:b/>
          <w:bCs/>
          <w:sz w:val="24"/>
          <w:szCs w:val="24"/>
        </w:rPr>
        <w:t>: Net Present Value (NPV) – Project A</w:t>
      </w:r>
    </w:p>
    <w:p w14:paraId="3878BC1A" w14:textId="75074828" w:rsidR="007A7D23" w:rsidRPr="009154BA" w:rsidRDefault="007A7D23"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33681E45" wp14:editId="3A5482DF">
            <wp:extent cx="5731510" cy="4655185"/>
            <wp:effectExtent l="0" t="0" r="2540" b="0"/>
            <wp:docPr id="213828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87801" name=""/>
                    <pic:cNvPicPr/>
                  </pic:nvPicPr>
                  <pic:blipFill rotWithShape="1">
                    <a:blip r:embed="rId36"/>
                    <a:srcRect t="8431"/>
                    <a:stretch>
                      <a:fillRect/>
                    </a:stretch>
                  </pic:blipFill>
                  <pic:spPr bwMode="auto">
                    <a:xfrm>
                      <a:off x="0" y="0"/>
                      <a:ext cx="5731510" cy="4655185"/>
                    </a:xfrm>
                    <a:prstGeom prst="rect">
                      <a:avLst/>
                    </a:prstGeom>
                    <a:ln>
                      <a:noFill/>
                    </a:ln>
                    <a:extLst>
                      <a:ext uri="{53640926-AAD7-44D8-BBD7-CCE9431645EC}">
                        <a14:shadowObscured xmlns:a14="http://schemas.microsoft.com/office/drawing/2010/main"/>
                      </a:ext>
                    </a:extLst>
                  </pic:spPr>
                </pic:pic>
              </a:graphicData>
            </a:graphic>
          </wp:inline>
        </w:drawing>
      </w:r>
    </w:p>
    <w:p w14:paraId="78867979" w14:textId="17387CEB" w:rsidR="00EC5B7E" w:rsidRPr="009154BA" w:rsidRDefault="007A7D23" w:rsidP="009154BA">
      <w:pPr>
        <w:jc w:val="both"/>
        <w:rPr>
          <w:rFonts w:ascii="Times New Roman" w:hAnsi="Times New Roman" w:cs="Times New Roman"/>
          <w:sz w:val="24"/>
          <w:szCs w:val="24"/>
        </w:rPr>
      </w:pPr>
      <w:r w:rsidRPr="009154BA">
        <w:rPr>
          <w:rFonts w:ascii="Times New Roman" w:hAnsi="Times New Roman" w:cs="Times New Roman"/>
          <w:sz w:val="24"/>
          <w:szCs w:val="24"/>
        </w:rPr>
        <w:lastRenderedPageBreak/>
        <w:t>Excel output showing the discounted cash flows at 10% and the resulting positive NPV of £1.32 million.</w:t>
      </w:r>
    </w:p>
    <w:p w14:paraId="4574E4EA" w14:textId="034D1FF5" w:rsidR="00EC5B7E" w:rsidRPr="00514BE4" w:rsidRDefault="00EC5B7E" w:rsidP="009154BA">
      <w:pPr>
        <w:jc w:val="both"/>
        <w:rPr>
          <w:rFonts w:ascii="Times New Roman" w:hAnsi="Times New Roman" w:cs="Times New Roman"/>
          <w:b/>
          <w:bCs/>
          <w:sz w:val="24"/>
          <w:szCs w:val="24"/>
        </w:rPr>
      </w:pPr>
      <w:r w:rsidRPr="00514BE4">
        <w:rPr>
          <w:rFonts w:ascii="Times New Roman" w:hAnsi="Times New Roman" w:cs="Times New Roman"/>
          <w:b/>
          <w:bCs/>
          <w:sz w:val="24"/>
          <w:szCs w:val="24"/>
        </w:rPr>
        <w:t>Investment Appraisal – Project B</w:t>
      </w:r>
    </w:p>
    <w:p w14:paraId="1981F17C" w14:textId="22E2C56E" w:rsidR="00EC5B7E" w:rsidRPr="009154BA" w:rsidRDefault="00EC5B7E"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70BCE526" wp14:editId="442D9E57">
            <wp:extent cx="3905969" cy="2956956"/>
            <wp:effectExtent l="0" t="0" r="0" b="0"/>
            <wp:docPr id="25664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40528" name=""/>
                    <pic:cNvPicPr/>
                  </pic:nvPicPr>
                  <pic:blipFill>
                    <a:blip r:embed="rId37"/>
                    <a:stretch>
                      <a:fillRect/>
                    </a:stretch>
                  </pic:blipFill>
                  <pic:spPr>
                    <a:xfrm>
                      <a:off x="0" y="0"/>
                      <a:ext cx="3914063" cy="2963084"/>
                    </a:xfrm>
                    <a:prstGeom prst="rect">
                      <a:avLst/>
                    </a:prstGeom>
                  </pic:spPr>
                </pic:pic>
              </a:graphicData>
            </a:graphic>
          </wp:inline>
        </w:drawing>
      </w:r>
    </w:p>
    <w:p w14:paraId="792EDF88" w14:textId="608964C9" w:rsidR="00B03C91" w:rsidRPr="009154BA" w:rsidRDefault="00EC5B7E" w:rsidP="009154BA">
      <w:pPr>
        <w:jc w:val="both"/>
        <w:rPr>
          <w:rFonts w:ascii="Times New Roman" w:hAnsi="Times New Roman" w:cs="Times New Roman"/>
          <w:sz w:val="24"/>
          <w:szCs w:val="24"/>
        </w:rPr>
      </w:pPr>
      <w:r w:rsidRPr="00B03C91">
        <w:rPr>
          <w:rFonts w:ascii="Times New Roman" w:hAnsi="Times New Roman" w:cs="Times New Roman"/>
          <w:sz w:val="24"/>
          <w:szCs w:val="24"/>
        </w:rPr>
        <w:t>Excel outputs showing NPV, IRR, Payback, ARR and PI calculations for Project B. The project produces a negative NPV of £7.25 million, an IRR of 0%, and a PI of 0.76, making it financially unattractive.</w:t>
      </w:r>
    </w:p>
    <w:p w14:paraId="616BE9D0" w14:textId="16426386" w:rsidR="00472A4D" w:rsidRPr="00B03C91" w:rsidRDefault="00472A4D" w:rsidP="009154BA">
      <w:pPr>
        <w:jc w:val="both"/>
        <w:rPr>
          <w:rFonts w:ascii="Times New Roman" w:hAnsi="Times New Roman" w:cs="Times New Roman"/>
          <w:b/>
          <w:bCs/>
          <w:sz w:val="24"/>
          <w:szCs w:val="24"/>
        </w:rPr>
      </w:pPr>
      <w:r w:rsidRPr="00B03C91">
        <w:rPr>
          <w:rFonts w:ascii="Times New Roman" w:hAnsi="Times New Roman" w:cs="Times New Roman"/>
          <w:b/>
          <w:bCs/>
          <w:sz w:val="24"/>
          <w:szCs w:val="24"/>
        </w:rPr>
        <w:t>Investment Appraisal – Project C</w:t>
      </w:r>
    </w:p>
    <w:p w14:paraId="32695001" w14:textId="31533D85" w:rsidR="00472A4D" w:rsidRPr="009154BA" w:rsidRDefault="00472A4D" w:rsidP="009154BA">
      <w:pPr>
        <w:jc w:val="both"/>
        <w:rPr>
          <w:rFonts w:ascii="Times New Roman" w:hAnsi="Times New Roman" w:cs="Times New Roman"/>
          <w:sz w:val="24"/>
          <w:szCs w:val="24"/>
        </w:rPr>
      </w:pPr>
      <w:r w:rsidRPr="009154BA">
        <w:rPr>
          <w:rFonts w:ascii="Times New Roman" w:hAnsi="Times New Roman" w:cs="Times New Roman"/>
          <w:noProof/>
          <w:sz w:val="24"/>
          <w:szCs w:val="24"/>
        </w:rPr>
        <w:drawing>
          <wp:inline distT="0" distB="0" distL="0" distR="0" wp14:anchorId="45ECAE8F" wp14:editId="47D49C36">
            <wp:extent cx="3855209" cy="3237590"/>
            <wp:effectExtent l="0" t="0" r="0" b="1270"/>
            <wp:docPr id="867608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08901" name=""/>
                    <pic:cNvPicPr/>
                  </pic:nvPicPr>
                  <pic:blipFill rotWithShape="1">
                    <a:blip r:embed="rId38"/>
                    <a:srcRect t="3439"/>
                    <a:stretch>
                      <a:fillRect/>
                    </a:stretch>
                  </pic:blipFill>
                  <pic:spPr bwMode="auto">
                    <a:xfrm>
                      <a:off x="0" y="0"/>
                      <a:ext cx="3859147" cy="3240897"/>
                    </a:xfrm>
                    <a:prstGeom prst="rect">
                      <a:avLst/>
                    </a:prstGeom>
                    <a:ln>
                      <a:noFill/>
                    </a:ln>
                    <a:extLst>
                      <a:ext uri="{53640926-AAD7-44D8-BBD7-CCE9431645EC}">
                        <a14:shadowObscured xmlns:a14="http://schemas.microsoft.com/office/drawing/2010/main"/>
                      </a:ext>
                    </a:extLst>
                  </pic:spPr>
                </pic:pic>
              </a:graphicData>
            </a:graphic>
          </wp:inline>
        </w:drawing>
      </w:r>
    </w:p>
    <w:p w14:paraId="02C773B7" w14:textId="7CB6917D" w:rsidR="00472A4D" w:rsidRPr="009154BA" w:rsidRDefault="00472A4D" w:rsidP="009154BA">
      <w:pPr>
        <w:jc w:val="both"/>
        <w:rPr>
          <w:rFonts w:ascii="Times New Roman" w:hAnsi="Times New Roman" w:cs="Times New Roman"/>
          <w:sz w:val="24"/>
          <w:szCs w:val="24"/>
        </w:rPr>
      </w:pPr>
      <w:r w:rsidRPr="009154BA">
        <w:rPr>
          <w:rFonts w:ascii="Times New Roman" w:hAnsi="Times New Roman" w:cs="Times New Roman"/>
          <w:sz w:val="24"/>
          <w:szCs w:val="24"/>
        </w:rPr>
        <w:lastRenderedPageBreak/>
        <w:t>Excel outputs showing NPV, IRR, Payback, ARR and PI for Project C. The project produces a positive NPV of £4.23 million, an IRR of approximately 13%, a payback period of 3.6 years and a PI of 1.08, making it the most financially attractive option.</w:t>
      </w:r>
    </w:p>
    <w:sectPr w:rsidR="00472A4D" w:rsidRPr="009154BA">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DEC3C" w14:textId="77777777" w:rsidR="00F74830" w:rsidRDefault="00F74830" w:rsidP="00514BE4">
      <w:pPr>
        <w:spacing w:after="0" w:line="240" w:lineRule="auto"/>
      </w:pPr>
      <w:r>
        <w:separator/>
      </w:r>
    </w:p>
  </w:endnote>
  <w:endnote w:type="continuationSeparator" w:id="0">
    <w:p w14:paraId="6CC1669B" w14:textId="77777777" w:rsidR="00F74830" w:rsidRDefault="00F74830" w:rsidP="00514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061188"/>
      <w:docPartObj>
        <w:docPartGallery w:val="Page Numbers (Bottom of Page)"/>
        <w:docPartUnique/>
      </w:docPartObj>
    </w:sdtPr>
    <w:sdtEndPr>
      <w:rPr>
        <w:noProof/>
      </w:rPr>
    </w:sdtEndPr>
    <w:sdtContent>
      <w:p w14:paraId="37B1016C" w14:textId="745E8DA1" w:rsidR="00514BE4" w:rsidRDefault="00514B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C63FC5" w14:textId="77777777" w:rsidR="00514BE4" w:rsidRDefault="00514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80F71" w14:textId="77777777" w:rsidR="00F74830" w:rsidRDefault="00F74830" w:rsidP="00514BE4">
      <w:pPr>
        <w:spacing w:after="0" w:line="240" w:lineRule="auto"/>
      </w:pPr>
      <w:r>
        <w:separator/>
      </w:r>
    </w:p>
  </w:footnote>
  <w:footnote w:type="continuationSeparator" w:id="0">
    <w:p w14:paraId="44B2BB39" w14:textId="77777777" w:rsidR="00F74830" w:rsidRDefault="00F74830" w:rsidP="00514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25309"/>
    <w:multiLevelType w:val="multilevel"/>
    <w:tmpl w:val="8BE2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A51CB"/>
    <w:multiLevelType w:val="multilevel"/>
    <w:tmpl w:val="4EA2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06863"/>
    <w:multiLevelType w:val="hybridMultilevel"/>
    <w:tmpl w:val="D85A7F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1D74D9"/>
    <w:multiLevelType w:val="multilevel"/>
    <w:tmpl w:val="FF10B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E5449"/>
    <w:multiLevelType w:val="hybridMultilevel"/>
    <w:tmpl w:val="9782F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8396A0E"/>
    <w:multiLevelType w:val="multilevel"/>
    <w:tmpl w:val="CECC1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E2C7F"/>
    <w:multiLevelType w:val="multilevel"/>
    <w:tmpl w:val="75B86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D96946"/>
    <w:multiLevelType w:val="hybridMultilevel"/>
    <w:tmpl w:val="C7C45C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FA52F75"/>
    <w:multiLevelType w:val="multilevel"/>
    <w:tmpl w:val="C7908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A83A14"/>
    <w:multiLevelType w:val="multilevel"/>
    <w:tmpl w:val="8172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161187"/>
    <w:multiLevelType w:val="multilevel"/>
    <w:tmpl w:val="5024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677AD6"/>
    <w:multiLevelType w:val="multilevel"/>
    <w:tmpl w:val="4CD4B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2324F9"/>
    <w:multiLevelType w:val="multilevel"/>
    <w:tmpl w:val="54F82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6A144D"/>
    <w:multiLevelType w:val="hybridMultilevel"/>
    <w:tmpl w:val="EA5454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9961ADB"/>
    <w:multiLevelType w:val="multilevel"/>
    <w:tmpl w:val="F1CA9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D734A0"/>
    <w:multiLevelType w:val="multilevel"/>
    <w:tmpl w:val="1F8CB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215FBB"/>
    <w:multiLevelType w:val="multilevel"/>
    <w:tmpl w:val="912A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DB2D00"/>
    <w:multiLevelType w:val="multilevel"/>
    <w:tmpl w:val="39AE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B95FAD"/>
    <w:multiLevelType w:val="multilevel"/>
    <w:tmpl w:val="96C8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B92830"/>
    <w:multiLevelType w:val="hybridMultilevel"/>
    <w:tmpl w:val="E398D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7FF57AE"/>
    <w:multiLevelType w:val="multilevel"/>
    <w:tmpl w:val="04A0E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5046A1"/>
    <w:multiLevelType w:val="multilevel"/>
    <w:tmpl w:val="AFFE4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5C539F"/>
    <w:multiLevelType w:val="multilevel"/>
    <w:tmpl w:val="84565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C33431"/>
    <w:multiLevelType w:val="multilevel"/>
    <w:tmpl w:val="0BD0A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D8745C"/>
    <w:multiLevelType w:val="multilevel"/>
    <w:tmpl w:val="6EF89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F51D82"/>
    <w:multiLevelType w:val="multilevel"/>
    <w:tmpl w:val="85963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7B43B50"/>
    <w:multiLevelType w:val="multilevel"/>
    <w:tmpl w:val="3AA43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220BD3"/>
    <w:multiLevelType w:val="multilevel"/>
    <w:tmpl w:val="911A0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3D76CC"/>
    <w:multiLevelType w:val="multilevel"/>
    <w:tmpl w:val="5F48A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6F02D8D"/>
    <w:multiLevelType w:val="multilevel"/>
    <w:tmpl w:val="742A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884194"/>
    <w:multiLevelType w:val="multilevel"/>
    <w:tmpl w:val="3DBA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470FBF"/>
    <w:multiLevelType w:val="multilevel"/>
    <w:tmpl w:val="71F41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0857172">
    <w:abstractNumId w:val="27"/>
  </w:num>
  <w:num w:numId="2" w16cid:durableId="600993075">
    <w:abstractNumId w:val="25"/>
  </w:num>
  <w:num w:numId="3" w16cid:durableId="1163087700">
    <w:abstractNumId w:val="8"/>
  </w:num>
  <w:num w:numId="4" w16cid:durableId="701368202">
    <w:abstractNumId w:val="3"/>
  </w:num>
  <w:num w:numId="5" w16cid:durableId="980228328">
    <w:abstractNumId w:val="30"/>
  </w:num>
  <w:num w:numId="6" w16cid:durableId="753359587">
    <w:abstractNumId w:val="16"/>
  </w:num>
  <w:num w:numId="7" w16cid:durableId="1801917368">
    <w:abstractNumId w:val="0"/>
  </w:num>
  <w:num w:numId="8" w16cid:durableId="1512984138">
    <w:abstractNumId w:val="9"/>
  </w:num>
  <w:num w:numId="9" w16cid:durableId="1874725048">
    <w:abstractNumId w:val="15"/>
  </w:num>
  <w:num w:numId="10" w16cid:durableId="1989899435">
    <w:abstractNumId w:val="12"/>
  </w:num>
  <w:num w:numId="11" w16cid:durableId="1573543270">
    <w:abstractNumId w:val="17"/>
  </w:num>
  <w:num w:numId="12" w16cid:durableId="1596748096">
    <w:abstractNumId w:val="23"/>
  </w:num>
  <w:num w:numId="13" w16cid:durableId="209463555">
    <w:abstractNumId w:val="21"/>
  </w:num>
  <w:num w:numId="14" w16cid:durableId="2141147151">
    <w:abstractNumId w:val="10"/>
  </w:num>
  <w:num w:numId="15" w16cid:durableId="121459178">
    <w:abstractNumId w:val="5"/>
  </w:num>
  <w:num w:numId="16" w16cid:durableId="477764254">
    <w:abstractNumId w:val="29"/>
  </w:num>
  <w:num w:numId="17" w16cid:durableId="160049581">
    <w:abstractNumId w:val="14"/>
  </w:num>
  <w:num w:numId="18" w16cid:durableId="69279605">
    <w:abstractNumId w:val="1"/>
  </w:num>
  <w:num w:numId="19" w16cid:durableId="630674553">
    <w:abstractNumId w:val="26"/>
  </w:num>
  <w:num w:numId="20" w16cid:durableId="1116868370">
    <w:abstractNumId w:val="18"/>
  </w:num>
  <w:num w:numId="21" w16cid:durableId="1947619375">
    <w:abstractNumId w:val="24"/>
  </w:num>
  <w:num w:numId="22" w16cid:durableId="1079669204">
    <w:abstractNumId w:val="22"/>
  </w:num>
  <w:num w:numId="23" w16cid:durableId="1047220081">
    <w:abstractNumId w:val="6"/>
  </w:num>
  <w:num w:numId="24" w16cid:durableId="1589463258">
    <w:abstractNumId w:val="28"/>
  </w:num>
  <w:num w:numId="25" w16cid:durableId="552348884">
    <w:abstractNumId w:val="11"/>
  </w:num>
  <w:num w:numId="26" w16cid:durableId="1965383331">
    <w:abstractNumId w:val="31"/>
  </w:num>
  <w:num w:numId="27" w16cid:durableId="1036126522">
    <w:abstractNumId w:val="20"/>
  </w:num>
  <w:num w:numId="28" w16cid:durableId="1205100267">
    <w:abstractNumId w:val="13"/>
  </w:num>
  <w:num w:numId="29" w16cid:durableId="1652905142">
    <w:abstractNumId w:val="2"/>
  </w:num>
  <w:num w:numId="30" w16cid:durableId="1295260346">
    <w:abstractNumId w:val="4"/>
  </w:num>
  <w:num w:numId="31" w16cid:durableId="1667706639">
    <w:abstractNumId w:val="7"/>
  </w:num>
  <w:num w:numId="32" w16cid:durableId="183005285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F1AC7"/>
    <w:rsid w:val="0002720C"/>
    <w:rsid w:val="000664E2"/>
    <w:rsid w:val="00090A1B"/>
    <w:rsid w:val="00111418"/>
    <w:rsid w:val="00181198"/>
    <w:rsid w:val="001964FC"/>
    <w:rsid w:val="001F1D28"/>
    <w:rsid w:val="00227954"/>
    <w:rsid w:val="0027783F"/>
    <w:rsid w:val="00297A56"/>
    <w:rsid w:val="002B5057"/>
    <w:rsid w:val="002F1AC7"/>
    <w:rsid w:val="0030224A"/>
    <w:rsid w:val="0032366F"/>
    <w:rsid w:val="003322E6"/>
    <w:rsid w:val="003A08EE"/>
    <w:rsid w:val="003F5AE3"/>
    <w:rsid w:val="00472A4D"/>
    <w:rsid w:val="0049751B"/>
    <w:rsid w:val="004D5925"/>
    <w:rsid w:val="004F4863"/>
    <w:rsid w:val="00503BFF"/>
    <w:rsid w:val="00514BE4"/>
    <w:rsid w:val="005250CD"/>
    <w:rsid w:val="005A05AE"/>
    <w:rsid w:val="006233D7"/>
    <w:rsid w:val="006E661F"/>
    <w:rsid w:val="00704659"/>
    <w:rsid w:val="00722D07"/>
    <w:rsid w:val="00795B57"/>
    <w:rsid w:val="007A7D23"/>
    <w:rsid w:val="007D07DB"/>
    <w:rsid w:val="008A0433"/>
    <w:rsid w:val="008B427D"/>
    <w:rsid w:val="008C0CD7"/>
    <w:rsid w:val="008C464D"/>
    <w:rsid w:val="009154BA"/>
    <w:rsid w:val="00950BC5"/>
    <w:rsid w:val="00970274"/>
    <w:rsid w:val="00AA73D4"/>
    <w:rsid w:val="00AB7390"/>
    <w:rsid w:val="00AD4539"/>
    <w:rsid w:val="00B002E6"/>
    <w:rsid w:val="00B02A12"/>
    <w:rsid w:val="00B03C91"/>
    <w:rsid w:val="00B03F56"/>
    <w:rsid w:val="00B24AAE"/>
    <w:rsid w:val="00B506CD"/>
    <w:rsid w:val="00B53173"/>
    <w:rsid w:val="00B76021"/>
    <w:rsid w:val="00B765BB"/>
    <w:rsid w:val="00BA7996"/>
    <w:rsid w:val="00BC32C9"/>
    <w:rsid w:val="00BF56BA"/>
    <w:rsid w:val="00C34A1F"/>
    <w:rsid w:val="00C3760E"/>
    <w:rsid w:val="00CB47C4"/>
    <w:rsid w:val="00CC2730"/>
    <w:rsid w:val="00CD3746"/>
    <w:rsid w:val="00CF75B2"/>
    <w:rsid w:val="00D218AF"/>
    <w:rsid w:val="00D35018"/>
    <w:rsid w:val="00D47EBE"/>
    <w:rsid w:val="00D55BDB"/>
    <w:rsid w:val="00D71751"/>
    <w:rsid w:val="00D97283"/>
    <w:rsid w:val="00DD2D33"/>
    <w:rsid w:val="00E15D61"/>
    <w:rsid w:val="00E25EDF"/>
    <w:rsid w:val="00E31D8D"/>
    <w:rsid w:val="00E472C6"/>
    <w:rsid w:val="00E813D2"/>
    <w:rsid w:val="00E860E8"/>
    <w:rsid w:val="00EC5B7E"/>
    <w:rsid w:val="00F04C84"/>
    <w:rsid w:val="00F74830"/>
    <w:rsid w:val="00FA51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8063"/>
  <w15:chartTrackingRefBased/>
  <w15:docId w15:val="{78C86B12-7437-4169-9455-07588F43C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4BA"/>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AB7390"/>
    <w:pPr>
      <w:keepNext/>
      <w:keepLines/>
      <w:spacing w:before="160" w:after="80"/>
      <w:outlineLvl w:val="1"/>
    </w:pPr>
    <w:rPr>
      <w:rFonts w:ascii="Times New Roman" w:eastAsiaTheme="majorEastAsia" w:hAnsi="Times New Roman" w:cstheme="majorBidi"/>
      <w:color w:val="000000" w:themeColor="text1"/>
      <w:sz w:val="28"/>
      <w:szCs w:val="32"/>
    </w:rPr>
  </w:style>
  <w:style w:type="paragraph" w:styleId="Heading3">
    <w:name w:val="heading 3"/>
    <w:basedOn w:val="Normal"/>
    <w:next w:val="Normal"/>
    <w:link w:val="Heading3Char"/>
    <w:uiPriority w:val="9"/>
    <w:semiHidden/>
    <w:unhideWhenUsed/>
    <w:qFormat/>
    <w:rsid w:val="002F1AC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F1AC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F1AC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F1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4BA"/>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AB7390"/>
    <w:rPr>
      <w:rFonts w:ascii="Times New Roman" w:eastAsiaTheme="majorEastAsia" w:hAnsi="Times New Roman" w:cstheme="majorBidi"/>
      <w:color w:val="000000" w:themeColor="text1"/>
      <w:sz w:val="28"/>
      <w:szCs w:val="32"/>
    </w:rPr>
  </w:style>
  <w:style w:type="character" w:customStyle="1" w:styleId="Heading3Char">
    <w:name w:val="Heading 3 Char"/>
    <w:basedOn w:val="DefaultParagraphFont"/>
    <w:link w:val="Heading3"/>
    <w:uiPriority w:val="9"/>
    <w:semiHidden/>
    <w:rsid w:val="002F1AC7"/>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F1AC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F1AC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F1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AC7"/>
    <w:rPr>
      <w:rFonts w:eastAsiaTheme="majorEastAsia" w:cstheme="majorBidi"/>
      <w:color w:val="272727" w:themeColor="text1" w:themeTint="D8"/>
    </w:rPr>
  </w:style>
  <w:style w:type="paragraph" w:styleId="Title">
    <w:name w:val="Title"/>
    <w:basedOn w:val="Normal"/>
    <w:next w:val="Normal"/>
    <w:link w:val="TitleChar"/>
    <w:uiPriority w:val="10"/>
    <w:qFormat/>
    <w:rsid w:val="002F1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A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A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1AC7"/>
    <w:rPr>
      <w:i/>
      <w:iCs/>
      <w:color w:val="404040" w:themeColor="text1" w:themeTint="BF"/>
    </w:rPr>
  </w:style>
  <w:style w:type="paragraph" w:styleId="ListParagraph">
    <w:name w:val="List Paragraph"/>
    <w:basedOn w:val="Normal"/>
    <w:uiPriority w:val="34"/>
    <w:qFormat/>
    <w:rsid w:val="002F1AC7"/>
    <w:pPr>
      <w:ind w:left="720"/>
      <w:contextualSpacing/>
    </w:pPr>
  </w:style>
  <w:style w:type="character" w:styleId="IntenseEmphasis">
    <w:name w:val="Intense Emphasis"/>
    <w:basedOn w:val="DefaultParagraphFont"/>
    <w:uiPriority w:val="21"/>
    <w:qFormat/>
    <w:rsid w:val="002F1AC7"/>
    <w:rPr>
      <w:i/>
      <w:iCs/>
      <w:color w:val="365F91" w:themeColor="accent1" w:themeShade="BF"/>
    </w:rPr>
  </w:style>
  <w:style w:type="paragraph" w:styleId="IntenseQuote">
    <w:name w:val="Intense Quote"/>
    <w:basedOn w:val="Normal"/>
    <w:next w:val="Normal"/>
    <w:link w:val="IntenseQuoteChar"/>
    <w:uiPriority w:val="30"/>
    <w:qFormat/>
    <w:rsid w:val="002F1AC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F1AC7"/>
    <w:rPr>
      <w:i/>
      <w:iCs/>
      <w:color w:val="365F91" w:themeColor="accent1" w:themeShade="BF"/>
    </w:rPr>
  </w:style>
  <w:style w:type="character" w:styleId="IntenseReference">
    <w:name w:val="Intense Reference"/>
    <w:basedOn w:val="DefaultParagraphFont"/>
    <w:uiPriority w:val="32"/>
    <w:qFormat/>
    <w:rsid w:val="002F1AC7"/>
    <w:rPr>
      <w:b/>
      <w:bCs/>
      <w:smallCaps/>
      <w:color w:val="365F91" w:themeColor="accent1" w:themeShade="BF"/>
      <w:spacing w:val="5"/>
    </w:rPr>
  </w:style>
  <w:style w:type="table" w:styleId="PlainTable5">
    <w:name w:val="Plain Table 5"/>
    <w:basedOn w:val="TableNormal"/>
    <w:uiPriority w:val="45"/>
    <w:rsid w:val="009154B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Accent5">
    <w:name w:val="Grid Table 2 Accent 5"/>
    <w:basedOn w:val="TableNormal"/>
    <w:uiPriority w:val="47"/>
    <w:rsid w:val="009154BA"/>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3">
    <w:name w:val="Grid Table 2 Accent 3"/>
    <w:basedOn w:val="TableNormal"/>
    <w:uiPriority w:val="47"/>
    <w:rsid w:val="009154BA"/>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Heading">
    <w:name w:val="TOC Heading"/>
    <w:basedOn w:val="Heading1"/>
    <w:next w:val="Normal"/>
    <w:uiPriority w:val="39"/>
    <w:unhideWhenUsed/>
    <w:qFormat/>
    <w:rsid w:val="00514BE4"/>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514BE4"/>
    <w:pPr>
      <w:spacing w:after="100"/>
    </w:pPr>
  </w:style>
  <w:style w:type="paragraph" w:styleId="TOC2">
    <w:name w:val="toc 2"/>
    <w:basedOn w:val="Normal"/>
    <w:next w:val="Normal"/>
    <w:autoRedefine/>
    <w:uiPriority w:val="39"/>
    <w:unhideWhenUsed/>
    <w:rsid w:val="00514BE4"/>
    <w:pPr>
      <w:spacing w:after="100"/>
      <w:ind w:left="220"/>
    </w:pPr>
  </w:style>
  <w:style w:type="character" w:styleId="Hyperlink">
    <w:name w:val="Hyperlink"/>
    <w:basedOn w:val="DefaultParagraphFont"/>
    <w:uiPriority w:val="99"/>
    <w:unhideWhenUsed/>
    <w:rsid w:val="00514BE4"/>
    <w:rPr>
      <w:color w:val="0000FF" w:themeColor="hyperlink"/>
      <w:u w:val="single"/>
    </w:rPr>
  </w:style>
  <w:style w:type="paragraph" w:styleId="Header">
    <w:name w:val="header"/>
    <w:basedOn w:val="Normal"/>
    <w:link w:val="HeaderChar"/>
    <w:uiPriority w:val="99"/>
    <w:unhideWhenUsed/>
    <w:rsid w:val="00514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BE4"/>
  </w:style>
  <w:style w:type="paragraph" w:styleId="Footer">
    <w:name w:val="footer"/>
    <w:basedOn w:val="Normal"/>
    <w:link w:val="FooterChar"/>
    <w:uiPriority w:val="99"/>
    <w:unhideWhenUsed/>
    <w:rsid w:val="00514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BE4"/>
  </w:style>
  <w:style w:type="character" w:styleId="UnresolvedMention">
    <w:name w:val="Unresolved Mention"/>
    <w:basedOn w:val="DefaultParagraphFont"/>
    <w:uiPriority w:val="99"/>
    <w:semiHidden/>
    <w:unhideWhenUsed/>
    <w:rsid w:val="00332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fs6030070" TargetMode="External"/><Relationship Id="rId18" Type="http://schemas.openxmlformats.org/officeDocument/2006/relationships/hyperlink" Target="https://doi.org/10.1016/j.eswa.2024.124761" TargetMode="External"/><Relationship Id="rId26" Type="http://schemas.openxmlformats.org/officeDocument/2006/relationships/hyperlink" Target="https://doi.org/10.1016/j.qref.2018.07.001" TargetMode="External"/><Relationship Id="rId39" Type="http://schemas.openxmlformats.org/officeDocument/2006/relationships/footer" Target="footer1.xml"/><Relationship Id="rId21" Type="http://schemas.openxmlformats.org/officeDocument/2006/relationships/hyperlink" Target="https://doi.org/10.1016/j.bir.2024.03.004" TargetMode="External"/><Relationship Id="rId34" Type="http://schemas.openxmlformats.org/officeDocument/2006/relationships/image" Target="media/image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jrfm18080465" TargetMode="External"/><Relationship Id="rId20" Type="http://schemas.openxmlformats.org/officeDocument/2006/relationships/hyperlink" Target="https://doi.org/10.1177/2319510X20913454" TargetMode="External"/><Relationship Id="rId29" Type="http://schemas.openxmlformats.org/officeDocument/2006/relationships/hyperlink" Target="https://doi.org/10.1016/j.ememar.2025.10126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8550/arxiv.2212.12051" TargetMode="External"/><Relationship Id="rId24" Type="http://schemas.openxmlformats.org/officeDocument/2006/relationships/hyperlink" Target="https://doi.org/10.1016/j.qref.2010.01.002"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11/1468-0335.00301" TargetMode="External"/><Relationship Id="rId23" Type="http://schemas.openxmlformats.org/officeDocument/2006/relationships/hyperlink" Target="https://doi.org/10.1016/j.techfore.2024.123504" TargetMode="External"/><Relationship Id="rId28" Type="http://schemas.openxmlformats.org/officeDocument/2006/relationships/hyperlink" Target="https://doi.org/10.3390/computation12010009" TargetMode="External"/><Relationship Id="rId36" Type="http://schemas.openxmlformats.org/officeDocument/2006/relationships/image" Target="media/image8.png"/><Relationship Id="rId10" Type="http://schemas.openxmlformats.org/officeDocument/2006/relationships/hyperlink" Target="https://doi.org/10.17265/1548-6583/2016.07.004" TargetMode="External"/><Relationship Id="rId19" Type="http://schemas.openxmlformats.org/officeDocument/2006/relationships/hyperlink" Target="https://doi.org/10.3390/jtaer19020066"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3390/jrfm14010009" TargetMode="External"/><Relationship Id="rId22" Type="http://schemas.openxmlformats.org/officeDocument/2006/relationships/hyperlink" Target="https://doi.org/10.48550/arxiv.2211.08405" TargetMode="External"/><Relationship Id="rId27" Type="http://schemas.openxmlformats.org/officeDocument/2006/relationships/hyperlink" Target="https://doi.org/10.3390/admsci14040067"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2991/978-94-6463-226-2_38" TargetMode="External"/><Relationship Id="rId17" Type="http://schemas.openxmlformats.org/officeDocument/2006/relationships/hyperlink" Target="https://doi.org/10.1016/0148-6195(84)90004-3" TargetMode="External"/><Relationship Id="rId25" Type="http://schemas.openxmlformats.org/officeDocument/2006/relationships/hyperlink" Target="https://doi.org/10.1007/s11575-023-00516-2" TargetMode="External"/><Relationship Id="rId33" Type="http://schemas.openxmlformats.org/officeDocument/2006/relationships/image" Target="media/image5.png"/><Relationship Id="rId3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422E7-4986-4BE5-A581-EFA3900C0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7680</Words>
  <Characters>43776</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Aniket Rajvansh</cp:lastModifiedBy>
  <cp:revision>2</cp:revision>
  <dcterms:created xsi:type="dcterms:W3CDTF">2025-11-24T10:59:00Z</dcterms:created>
  <dcterms:modified xsi:type="dcterms:W3CDTF">2025-11-24T10:59:00Z</dcterms:modified>
</cp:coreProperties>
</file>