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6CFE9" w14:textId="3132409B" w:rsidR="00E2161C" w:rsidRDefault="00E2161C" w:rsidP="00E2161C">
      <w:pPr>
        <w:pStyle w:val="Body"/>
        <w:spacing w:line="240" w:lineRule="auto"/>
        <w:jc w:val="center"/>
        <w:rPr>
          <w:rFonts w:ascii="Calibri" w:hAnsi="Calibri" w:cs="Calibri"/>
          <w:b/>
          <w:bCs/>
          <w:color w:val="auto"/>
          <w:sz w:val="24"/>
          <w:szCs w:val="24"/>
          <w:u w:color="004147"/>
        </w:rPr>
      </w:pPr>
      <w:r w:rsidRPr="00F2509A">
        <w:rPr>
          <w:rFonts w:ascii="Calibri" w:hAnsi="Calibri" w:cs="Calibri"/>
          <w:b/>
          <w:bCs/>
          <w:color w:val="auto"/>
          <w:sz w:val="24"/>
          <w:szCs w:val="24"/>
          <w:u w:color="004147"/>
        </w:rPr>
        <w:t>CIPD_5OS0</w:t>
      </w:r>
      <w:r>
        <w:rPr>
          <w:rFonts w:ascii="Calibri" w:hAnsi="Calibri" w:cs="Calibri"/>
          <w:b/>
          <w:bCs/>
          <w:color w:val="auto"/>
          <w:sz w:val="24"/>
          <w:szCs w:val="24"/>
          <w:u w:color="004147"/>
        </w:rPr>
        <w:t>3</w:t>
      </w:r>
      <w:r w:rsidRPr="00F2509A">
        <w:rPr>
          <w:rFonts w:ascii="Calibri" w:hAnsi="Calibri" w:cs="Calibri"/>
          <w:b/>
          <w:bCs/>
          <w:color w:val="auto"/>
          <w:sz w:val="24"/>
          <w:szCs w:val="24"/>
          <w:u w:color="004147"/>
        </w:rPr>
        <w:t>_24_01</w:t>
      </w:r>
    </w:p>
    <w:p w14:paraId="0042EFFF" w14:textId="77777777" w:rsidR="00E2161C" w:rsidRDefault="00E2161C" w:rsidP="00E2161C">
      <w:pPr>
        <w:pStyle w:val="Body"/>
        <w:spacing w:line="240" w:lineRule="auto"/>
        <w:jc w:val="center"/>
        <w:rPr>
          <w:rFonts w:ascii="Calibri" w:hAnsi="Calibri" w:cs="Calibri"/>
          <w:b/>
          <w:bCs/>
          <w:color w:val="auto"/>
          <w:sz w:val="24"/>
          <w:szCs w:val="24"/>
          <w:u w:color="004147"/>
          <w:lang w:val="en-US"/>
        </w:rPr>
      </w:pPr>
      <w:r>
        <w:rPr>
          <w:rFonts w:ascii="Calibri" w:hAnsi="Calibri" w:cs="Calibri"/>
          <w:b/>
          <w:bCs/>
          <w:color w:val="auto"/>
          <w:sz w:val="24"/>
          <w:szCs w:val="24"/>
          <w:u w:color="004147"/>
        </w:rPr>
        <w:t>Chloe Gardner 2325620</w:t>
      </w:r>
    </w:p>
    <w:p w14:paraId="22FDAEA7" w14:textId="6F898188" w:rsidR="00E2161C" w:rsidRDefault="00E2161C" w:rsidP="00E2161C">
      <w:pPr>
        <w:pStyle w:val="Body"/>
        <w:spacing w:line="240" w:lineRule="auto"/>
        <w:jc w:val="center"/>
        <w:rPr>
          <w:rFonts w:ascii="Calibri" w:hAnsi="Calibri" w:cs="Calibri"/>
          <w:b/>
          <w:bCs/>
          <w:color w:val="auto"/>
          <w:sz w:val="24"/>
          <w:szCs w:val="24"/>
          <w:u w:color="004147"/>
          <w:lang w:val="en-US"/>
        </w:rPr>
      </w:pPr>
      <w:r>
        <w:rPr>
          <w:rFonts w:ascii="Calibri" w:hAnsi="Calibri" w:cs="Calibri"/>
          <w:b/>
          <w:bCs/>
          <w:color w:val="auto"/>
          <w:sz w:val="24"/>
          <w:szCs w:val="24"/>
          <w:u w:color="004147"/>
          <w:lang w:val="en-US"/>
        </w:rPr>
        <w:t>4</w:t>
      </w:r>
      <w:r w:rsidR="000806D1">
        <w:rPr>
          <w:rFonts w:ascii="Calibri" w:hAnsi="Calibri" w:cs="Calibri"/>
          <w:b/>
          <w:bCs/>
          <w:color w:val="auto"/>
          <w:sz w:val="24"/>
          <w:szCs w:val="24"/>
          <w:u w:color="004147"/>
          <w:lang w:val="en-US"/>
        </w:rPr>
        <w:t>213</w:t>
      </w:r>
      <w:r>
        <w:rPr>
          <w:rFonts w:ascii="Calibri" w:hAnsi="Calibri" w:cs="Calibri"/>
          <w:b/>
          <w:bCs/>
          <w:color w:val="auto"/>
          <w:sz w:val="24"/>
          <w:szCs w:val="24"/>
          <w:u w:color="004147"/>
          <w:lang w:val="en-US"/>
        </w:rPr>
        <w:t xml:space="preserve"> words</w:t>
      </w:r>
    </w:p>
    <w:p w14:paraId="28928D16" w14:textId="77777777" w:rsidR="00E2161C" w:rsidRDefault="00E2161C" w:rsidP="00287428">
      <w:pPr>
        <w:pStyle w:val="Nornal"/>
        <w:spacing w:after="0" w:line="240" w:lineRule="auto"/>
        <w:rPr>
          <w:rFonts w:ascii="Trebuchet MS" w:hAnsi="Trebuchet MS"/>
          <w:color w:val="000000"/>
        </w:rPr>
      </w:pPr>
    </w:p>
    <w:p w14:paraId="15D181A2" w14:textId="77777777" w:rsidR="00E2161C" w:rsidRDefault="00E2161C" w:rsidP="00287428">
      <w:pPr>
        <w:pStyle w:val="Nornal"/>
        <w:spacing w:after="0" w:line="240" w:lineRule="auto"/>
        <w:rPr>
          <w:rFonts w:ascii="Trebuchet MS" w:hAnsi="Trebuchet MS"/>
          <w:color w:val="000000"/>
        </w:rPr>
      </w:pPr>
    </w:p>
    <w:p w14:paraId="7305DEAD" w14:textId="28CC8168" w:rsidR="00B14151" w:rsidRDefault="00B14151" w:rsidP="008E49B7">
      <w:pPr>
        <w:pStyle w:val="Nornal"/>
        <w:numPr>
          <w:ilvl w:val="0"/>
          <w:numId w:val="2"/>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23E1A5EA" w14:textId="77777777" w:rsidR="009F351F" w:rsidRDefault="009F351F" w:rsidP="009F351F">
      <w:pPr>
        <w:pStyle w:val="Nornal"/>
        <w:spacing w:after="0" w:line="240" w:lineRule="auto"/>
        <w:rPr>
          <w:rFonts w:ascii="Trebuchet MS" w:hAnsi="Trebuchet MS"/>
          <w:color w:val="000000"/>
        </w:rPr>
      </w:pPr>
    </w:p>
    <w:p w14:paraId="1BCB1410" w14:textId="493FE267" w:rsidR="00F47ABE" w:rsidRDefault="00F47ABE" w:rsidP="009F351F">
      <w:pPr>
        <w:pStyle w:val="Nornal"/>
        <w:spacing w:after="0" w:line="240" w:lineRule="auto"/>
        <w:rPr>
          <w:rFonts w:ascii="Trebuchet MS" w:hAnsi="Trebuchet MS"/>
          <w:color w:val="000000"/>
        </w:rPr>
      </w:pPr>
      <w:r>
        <w:rPr>
          <w:rFonts w:ascii="Trebuchet MS" w:hAnsi="Trebuchet MS"/>
          <w:color w:val="000000"/>
        </w:rPr>
        <w:t>Reward refers to the different ways that employers compensate their employees for the work they do. The description covers financial reward, such as pay and additional benefits, as well as non-financial reward, such as positive culture, work-life balance or staff recognition (Armstrong, 2020). In terms of principles, an organisation’s reward strategy should be fair, transparent and aligned with their goals and values, in order to motivate staff and develop a culture of appreciation and trust (CIPD, 2022b).</w:t>
      </w:r>
    </w:p>
    <w:p w14:paraId="715296DD" w14:textId="77777777" w:rsidR="00F47ABE" w:rsidRDefault="00F47ABE" w:rsidP="009F351F">
      <w:pPr>
        <w:pStyle w:val="Nornal"/>
        <w:spacing w:after="0" w:line="240" w:lineRule="auto"/>
        <w:rPr>
          <w:rFonts w:ascii="Trebuchet MS" w:hAnsi="Trebuchet MS"/>
          <w:color w:val="000000"/>
        </w:rPr>
      </w:pPr>
    </w:p>
    <w:p w14:paraId="2CE4FC06" w14:textId="3C796513" w:rsidR="00F47ABE" w:rsidRPr="00E446B9" w:rsidRDefault="00F47ABE" w:rsidP="009F351F">
      <w:pPr>
        <w:pStyle w:val="Nornal"/>
        <w:spacing w:after="0" w:line="240" w:lineRule="auto"/>
        <w:rPr>
          <w:rFonts w:ascii="Trebuchet MS" w:hAnsi="Trebuchet MS"/>
          <w:color w:val="000000"/>
        </w:rPr>
      </w:pPr>
      <w:r>
        <w:rPr>
          <w:rFonts w:ascii="Trebuchet MS" w:hAnsi="Trebuchet MS"/>
          <w:color w:val="000000"/>
        </w:rPr>
        <w:t>Fairness is vital when considering employee rewards</w:t>
      </w:r>
      <w:r w:rsidR="00185DCC">
        <w:rPr>
          <w:rFonts w:ascii="Trebuchet MS" w:hAnsi="Trebuchet MS"/>
          <w:color w:val="000000"/>
        </w:rPr>
        <w:t xml:space="preserve">, as employees carrying out equal work should be paid equally, as outlined in the Equality Act 2010 (EHRC, 2023). Internally, this means that colleagues doing the same jobs should be on the same pay. </w:t>
      </w:r>
      <w:r w:rsidR="00445140">
        <w:rPr>
          <w:rFonts w:ascii="Trebuchet MS" w:hAnsi="Trebuchet MS"/>
          <w:color w:val="000000"/>
        </w:rPr>
        <w:t xml:space="preserve">When this isn’t applied, employees can feel undervalued and therefore disengaged from work. Unfair pay between staff can also lead to resentment between colleagues, which will have an impact on teamwork and productivity. </w:t>
      </w:r>
      <w:r w:rsidR="00185DCC">
        <w:rPr>
          <w:rFonts w:ascii="Trebuchet MS" w:hAnsi="Trebuchet MS"/>
          <w:color w:val="000000"/>
        </w:rPr>
        <w:t>Externally, pay and benefits should be in line with the wider market trends (Boxall and Purcell, 2016). Job evaluation and benchmarking can be vital here to ensure employers are offering fair rewards, which will therefore allow them to maintain good staff retention, engagement and, therefore, productivity.</w:t>
      </w:r>
    </w:p>
    <w:p w14:paraId="433C8C88" w14:textId="77777777" w:rsidR="00B14151" w:rsidRDefault="00B14151" w:rsidP="00185DCC">
      <w:pPr>
        <w:pStyle w:val="Listparag"/>
        <w:spacing w:after="0" w:line="240" w:lineRule="auto"/>
        <w:rPr>
          <w:rFonts w:ascii="Trebuchet MS" w:hAnsi="Trebuchet MS"/>
          <w:color w:val="FF0000"/>
        </w:rPr>
      </w:pPr>
    </w:p>
    <w:p w14:paraId="3AA6F668" w14:textId="24C1EA2E" w:rsidR="00185DCC" w:rsidRDefault="000869CE" w:rsidP="00185DCC">
      <w:pPr>
        <w:pStyle w:val="Listparag"/>
        <w:spacing w:after="0" w:line="240" w:lineRule="auto"/>
        <w:rPr>
          <w:rFonts w:ascii="Trebuchet MS" w:hAnsi="Trebuchet MS"/>
          <w:color w:val="auto"/>
        </w:rPr>
      </w:pPr>
      <w:r w:rsidRPr="000869CE">
        <w:rPr>
          <w:rFonts w:ascii="Trebuchet MS" w:hAnsi="Trebuchet MS"/>
          <w:color w:val="auto"/>
        </w:rPr>
        <w:t>As mentioned</w:t>
      </w:r>
      <w:r>
        <w:rPr>
          <w:rFonts w:ascii="Trebuchet MS" w:hAnsi="Trebuchet MS"/>
          <w:color w:val="auto"/>
        </w:rPr>
        <w:t xml:space="preserve"> above, reward can have a big impact on staff. </w:t>
      </w:r>
      <w:r w:rsidR="00445140">
        <w:rPr>
          <w:rFonts w:ascii="Trebuchet MS" w:hAnsi="Trebuchet MS"/>
          <w:color w:val="auto"/>
        </w:rPr>
        <w:t xml:space="preserve">A transparent and positive approach to reward can ensure employees trust and are motivated by their employer, as opposed to feeling disengaged with low morale as a result of a lack of recognition (CIPD, 2025c). Both financial and non-financial reward can </w:t>
      </w:r>
      <w:r w:rsidR="00346CB0">
        <w:rPr>
          <w:rFonts w:ascii="Trebuchet MS" w:hAnsi="Trebuchet MS"/>
          <w:color w:val="auto"/>
        </w:rPr>
        <w:t xml:space="preserve">enhance culture, however it is found that non-financial reward is more likely to have a long-term impact on job satisfaction and positive culture, whereas financial reward is more useful when looking for a quick motivation and productivity boost </w:t>
      </w:r>
      <w:r w:rsidR="00346CB0">
        <w:rPr>
          <w:rFonts w:ascii="Trebuchet MS" w:hAnsi="Trebuchet MS"/>
        </w:rPr>
        <w:t xml:space="preserve">(Rajesh </w:t>
      </w:r>
      <w:r w:rsidR="00346CB0">
        <w:rPr>
          <w:rFonts w:ascii="Trebuchet MS" w:hAnsi="Trebuchet MS"/>
          <w:i/>
          <w:iCs/>
        </w:rPr>
        <w:t>et al</w:t>
      </w:r>
      <w:r w:rsidR="00346CB0">
        <w:rPr>
          <w:rFonts w:ascii="Trebuchet MS" w:hAnsi="Trebuchet MS"/>
        </w:rPr>
        <w:t>., 2024)</w:t>
      </w:r>
      <w:r w:rsidR="00346CB0">
        <w:rPr>
          <w:rFonts w:ascii="Trebuchet MS" w:hAnsi="Trebuchet MS"/>
          <w:color w:val="auto"/>
        </w:rPr>
        <w:t>.</w:t>
      </w:r>
    </w:p>
    <w:p w14:paraId="3462B7A2" w14:textId="77777777" w:rsidR="00346CB0" w:rsidRDefault="00346CB0" w:rsidP="00185DCC">
      <w:pPr>
        <w:pStyle w:val="Listparag"/>
        <w:spacing w:after="0" w:line="240" w:lineRule="auto"/>
        <w:rPr>
          <w:rFonts w:ascii="Trebuchet MS" w:hAnsi="Trebuchet MS"/>
          <w:color w:val="auto"/>
        </w:rPr>
      </w:pPr>
    </w:p>
    <w:p w14:paraId="04BBD597" w14:textId="672B8289" w:rsidR="00346CB0" w:rsidRDefault="00346CB0" w:rsidP="00185DCC">
      <w:pPr>
        <w:pStyle w:val="Listparag"/>
        <w:spacing w:after="0" w:line="240" w:lineRule="auto"/>
        <w:rPr>
          <w:rFonts w:ascii="Trebuchet MS" w:hAnsi="Trebuchet MS"/>
          <w:color w:val="auto"/>
        </w:rPr>
      </w:pPr>
      <w:r>
        <w:rPr>
          <w:rFonts w:ascii="Trebuchet MS" w:hAnsi="Trebuchet MS"/>
          <w:color w:val="auto"/>
        </w:rPr>
        <w:t>Performance management provides a structure for how employee contributions are measured which therefore ensures that staff are rewarded fairly, in line with their work. Performance management can refer to goal setting, feedback sessions and appraisals between line managers and employees, to encourage and motivate staff to produce good work (Armstrong and Taylor, 2020). Performance management should be aligned with an organisation’s reward strategy, to ensure staff feel their efforts are recognised (boosting morale, retention and long-term productivity) and motivate them to work harder.</w:t>
      </w:r>
    </w:p>
    <w:p w14:paraId="61A8F1C6" w14:textId="77777777" w:rsidR="00214C97" w:rsidRDefault="00214C97" w:rsidP="00185DCC">
      <w:pPr>
        <w:pStyle w:val="Listparag"/>
        <w:spacing w:after="0" w:line="240" w:lineRule="auto"/>
        <w:rPr>
          <w:rFonts w:ascii="Trebuchet MS" w:hAnsi="Trebuchet MS"/>
          <w:color w:val="auto"/>
        </w:rPr>
      </w:pPr>
    </w:p>
    <w:p w14:paraId="03063D8C" w14:textId="165B507F" w:rsidR="00214C97" w:rsidRPr="000869CE" w:rsidRDefault="00214C97" w:rsidP="00185DCC">
      <w:pPr>
        <w:pStyle w:val="Listparag"/>
        <w:spacing w:after="0" w:line="240" w:lineRule="auto"/>
        <w:rPr>
          <w:rFonts w:ascii="Trebuchet MS" w:hAnsi="Trebuchet MS"/>
          <w:color w:val="auto"/>
        </w:rPr>
      </w:pPr>
      <w:r w:rsidRPr="00214C97">
        <w:rPr>
          <w:rFonts w:ascii="Trebuchet MS" w:hAnsi="Trebuchet MS"/>
          <w:color w:val="auto"/>
        </w:rPr>
        <w:t xml:space="preserve">At Eco-Insulate UK, the absence of </w:t>
      </w:r>
      <w:r>
        <w:rPr>
          <w:rFonts w:ascii="Trebuchet MS" w:hAnsi="Trebuchet MS"/>
          <w:color w:val="auto"/>
        </w:rPr>
        <w:t>a reward strategy</w:t>
      </w:r>
      <w:r w:rsidRPr="00214C97">
        <w:rPr>
          <w:rFonts w:ascii="Trebuchet MS" w:hAnsi="Trebuchet MS"/>
          <w:color w:val="auto"/>
        </w:rPr>
        <w:t xml:space="preserve"> has contributed to a negative culture and high turnover. Implementing a fair and transparent reward strategy</w:t>
      </w:r>
      <w:r>
        <w:rPr>
          <w:rFonts w:ascii="Trebuchet MS" w:hAnsi="Trebuchet MS"/>
          <w:color w:val="auto"/>
        </w:rPr>
        <w:t xml:space="preserve">, </w:t>
      </w:r>
      <w:r w:rsidRPr="00214C97">
        <w:rPr>
          <w:rFonts w:ascii="Trebuchet MS" w:hAnsi="Trebuchet MS"/>
          <w:color w:val="auto"/>
        </w:rPr>
        <w:t>aligned with</w:t>
      </w:r>
      <w:r>
        <w:rPr>
          <w:rFonts w:ascii="Trebuchet MS" w:hAnsi="Trebuchet MS"/>
          <w:color w:val="auto"/>
        </w:rPr>
        <w:t xml:space="preserve"> Eco-Insulate UK’s values, </w:t>
      </w:r>
      <w:r w:rsidRPr="00214C97">
        <w:rPr>
          <w:rFonts w:ascii="Trebuchet MS" w:hAnsi="Trebuchet MS"/>
          <w:color w:val="auto"/>
        </w:rPr>
        <w:t>could help rebuild trust, improve morale, and enhance overall performance.</w:t>
      </w:r>
    </w:p>
    <w:p w14:paraId="7BF04A0A" w14:textId="77777777" w:rsidR="000869CE" w:rsidRPr="00E446B9" w:rsidRDefault="000869CE" w:rsidP="00185DCC">
      <w:pPr>
        <w:pStyle w:val="Listparag"/>
        <w:spacing w:after="0" w:line="240" w:lineRule="auto"/>
        <w:rPr>
          <w:rFonts w:ascii="Trebuchet MS" w:hAnsi="Trebuchet MS"/>
          <w:color w:val="FF0000"/>
        </w:rPr>
      </w:pPr>
    </w:p>
    <w:p w14:paraId="04E816A6" w14:textId="72FCF412" w:rsidR="00B14151" w:rsidRPr="00EC6EC9" w:rsidRDefault="00B14151" w:rsidP="00CB3B7E">
      <w:pPr>
        <w:pStyle w:val="Nornal"/>
        <w:numPr>
          <w:ilvl w:val="0"/>
          <w:numId w:val="2"/>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7160D8DB" w14:textId="77777777" w:rsidR="00DF65F2" w:rsidRDefault="00DF65F2" w:rsidP="007003BA">
      <w:pPr>
        <w:rPr>
          <w:rFonts w:ascii="Trebuchet MS" w:hAnsi="Trebuchet MS"/>
          <w:color w:val="000000"/>
        </w:rPr>
      </w:pPr>
    </w:p>
    <w:p w14:paraId="746AAEC1" w14:textId="23AA6D93" w:rsidR="00DF65F2" w:rsidRDefault="00DF65F2" w:rsidP="007003BA">
      <w:pPr>
        <w:rPr>
          <w:rFonts w:ascii="Trebuchet MS" w:hAnsi="Trebuchet MS"/>
        </w:rPr>
      </w:pPr>
      <w:r>
        <w:rPr>
          <w:rFonts w:ascii="Trebuchet MS" w:hAnsi="Trebuchet MS"/>
          <w:color w:val="000000"/>
        </w:rPr>
        <w:t>Extrinsic rewards</w:t>
      </w:r>
      <w:r w:rsidR="003756F8">
        <w:rPr>
          <w:rFonts w:ascii="Trebuchet MS" w:hAnsi="Trebuchet MS"/>
          <w:color w:val="000000"/>
        </w:rPr>
        <w:t xml:space="preserve"> </w:t>
      </w:r>
      <w:r>
        <w:rPr>
          <w:rFonts w:ascii="Trebuchet MS" w:hAnsi="Trebuchet MS"/>
          <w:color w:val="000000"/>
        </w:rPr>
        <w:t>are the tangible benefits that employees receive in return for their employment</w:t>
      </w:r>
      <w:r w:rsidR="003756F8">
        <w:rPr>
          <w:rFonts w:ascii="Trebuchet MS" w:hAnsi="Trebuchet MS"/>
          <w:color w:val="000000"/>
        </w:rPr>
        <w:t xml:space="preserve"> (Taylor and Woodhams, 2022)</w:t>
      </w:r>
      <w:r>
        <w:rPr>
          <w:rFonts w:ascii="Trebuchet MS" w:hAnsi="Trebuchet MS"/>
          <w:color w:val="000000"/>
        </w:rPr>
        <w:t>. One benefit that all workers receive is pay, which can be provided in different ways, including a fixed pay of a salary or hourly rate (CIPD, 2025</w:t>
      </w:r>
      <w:r w:rsidR="002640B0">
        <w:rPr>
          <w:rFonts w:ascii="Trebuchet MS" w:hAnsi="Trebuchet MS"/>
          <w:color w:val="000000"/>
        </w:rPr>
        <w:t>a</w:t>
      </w:r>
      <w:r>
        <w:rPr>
          <w:rFonts w:ascii="Trebuchet MS" w:hAnsi="Trebuchet MS"/>
          <w:color w:val="000000"/>
        </w:rPr>
        <w:t xml:space="preserve">). On top of this, some employers may also pay commission or bonuses, based </w:t>
      </w:r>
      <w:r>
        <w:rPr>
          <w:rFonts w:ascii="Trebuchet MS" w:hAnsi="Trebuchet MS"/>
          <w:color w:val="000000"/>
        </w:rPr>
        <w:lastRenderedPageBreak/>
        <w:t>on performance of the individual or the organisation as a whole (CIPD, 2025</w:t>
      </w:r>
      <w:r w:rsidR="002640B0">
        <w:rPr>
          <w:rFonts w:ascii="Trebuchet MS" w:hAnsi="Trebuchet MS"/>
          <w:color w:val="000000"/>
        </w:rPr>
        <w:t>a</w:t>
      </w:r>
      <w:r>
        <w:rPr>
          <w:rFonts w:ascii="Trebuchet MS" w:hAnsi="Trebuchet MS"/>
          <w:color w:val="000000"/>
        </w:rPr>
        <w:t xml:space="preserve">). Employers may also include other extrinsic rewards in their benefits package, including a pension scheme – something that </w:t>
      </w:r>
      <w:r>
        <w:rPr>
          <w:rFonts w:ascii="Trebuchet MS" w:hAnsi="Trebuchet MS"/>
        </w:rPr>
        <w:t>Eco-Insulate</w:t>
      </w:r>
      <w:r w:rsidRPr="00E446B9">
        <w:rPr>
          <w:rFonts w:ascii="Trebuchet MS" w:hAnsi="Trebuchet MS"/>
        </w:rPr>
        <w:t xml:space="preserve"> UK</w:t>
      </w:r>
      <w:r>
        <w:rPr>
          <w:rFonts w:ascii="Trebuchet MS" w:hAnsi="Trebuchet MS"/>
        </w:rPr>
        <w:t xml:space="preserve"> offers. Other benefits may include additional paid annual leave, on top of statutory requirements. Extrinsic rewards </w:t>
      </w:r>
      <w:r w:rsidR="00F55C55">
        <w:rPr>
          <w:rFonts w:ascii="Trebuchet MS" w:hAnsi="Trebuchet MS"/>
        </w:rPr>
        <w:t xml:space="preserve">generally are praised for the immediate impact that they have on the motivation that employees have to perform well, even more so where they are rewarded for </w:t>
      </w:r>
      <w:r w:rsidR="00750700">
        <w:rPr>
          <w:rFonts w:ascii="Trebuchet MS" w:hAnsi="Trebuchet MS"/>
        </w:rPr>
        <w:t xml:space="preserve">meeting targets (Rajesh </w:t>
      </w:r>
      <w:r w:rsidR="00750700">
        <w:rPr>
          <w:rFonts w:ascii="Trebuchet MS" w:hAnsi="Trebuchet MS"/>
          <w:i/>
          <w:iCs/>
        </w:rPr>
        <w:t>et al</w:t>
      </w:r>
      <w:r w:rsidR="00750700">
        <w:rPr>
          <w:rFonts w:ascii="Trebuchet MS" w:hAnsi="Trebuchet MS"/>
        </w:rPr>
        <w:t xml:space="preserve">., 2024). Maslow’s Hierarchy of Needs supports this theory, highlighting that a secure income ensures that employees’ physiological and safety needs can be met, boosting motivation (Reena and Bonjour, 2010). However, </w:t>
      </w:r>
      <w:proofErr w:type="spellStart"/>
      <w:r w:rsidR="00750700">
        <w:rPr>
          <w:rFonts w:ascii="Trebuchet MS" w:hAnsi="Trebuchet MS"/>
        </w:rPr>
        <w:t>t</w:t>
      </w:r>
      <w:proofErr w:type="spellEnd"/>
      <w:r w:rsidR="00750700">
        <w:rPr>
          <w:rFonts w:ascii="Trebuchet MS" w:hAnsi="Trebuchet MS"/>
        </w:rPr>
        <w:t xml:space="preserve"> should be acknowledged that fixed, base pay alone may not be enough to motivate workers – particularly if the organisation doesn’t offer a rate of pay that matches competitors or is similar to job roles that are less demanding/stressful. This idea is further supported by Vroom’s Expectancy Theory, where motivation is said to be heavily reliant on knowing that strong effort/performance will lead to better outcomes (Vroom, Porter and Lawler, 2015).</w:t>
      </w:r>
    </w:p>
    <w:p w14:paraId="7D3CCC96" w14:textId="77777777" w:rsidR="00750700" w:rsidRDefault="00750700" w:rsidP="007003BA">
      <w:pPr>
        <w:rPr>
          <w:rFonts w:ascii="Trebuchet MS" w:hAnsi="Trebuchet MS"/>
        </w:rPr>
      </w:pPr>
    </w:p>
    <w:p w14:paraId="4A63D77A" w14:textId="0CBF5D4B" w:rsidR="003756F8" w:rsidRPr="00B45D04" w:rsidRDefault="003756F8" w:rsidP="007003BA">
      <w:pPr>
        <w:rPr>
          <w:rFonts w:ascii="Trebuchet MS" w:hAnsi="Trebuchet MS"/>
        </w:rPr>
      </w:pPr>
      <w:r>
        <w:rPr>
          <w:rFonts w:ascii="Trebuchet MS" w:hAnsi="Trebuchet MS"/>
        </w:rPr>
        <w:t xml:space="preserve">Intrinsic rewards, on the other hand, are the benefits that come from the internal aspects of a job role itself (Taylor and Woodhams, 2022). They are generally more psychological benefits that an individual gains from doing a task/job, such as feelings of achievement, purpose and satisfaction. It’s found that these things are likely to cause employees to be more engaged in their roles on a long-term basis, due to really enjoying what they are doing (Rajesh </w:t>
      </w:r>
      <w:r>
        <w:rPr>
          <w:rFonts w:ascii="Trebuchet MS" w:hAnsi="Trebuchet MS"/>
          <w:i/>
          <w:iCs/>
        </w:rPr>
        <w:t>et al</w:t>
      </w:r>
      <w:r>
        <w:rPr>
          <w:rFonts w:ascii="Trebuchet MS" w:hAnsi="Trebuchet MS"/>
        </w:rPr>
        <w:t>., 2024). This ultimately leads to higher motivation, meaning that performance of all employees within a workplace is likely to be improved, due to higher levels of creativity and sense of autonomy (Manzoor, Wei and Asif, 2021). When all employees in a workplace are motivated, overall organisational performance will also increase, in terms of productivity, as well as lower turnover rates due to long-term commitment from staff.</w:t>
      </w:r>
      <w:r w:rsidR="00B45D04">
        <w:rPr>
          <w:rFonts w:ascii="Trebuchet MS" w:hAnsi="Trebuchet MS"/>
        </w:rPr>
        <w:t xml:space="preserve"> Self-Determination Theory supports the impact of intrinsic reward on motivation, suggesting that internal motivation will be at </w:t>
      </w:r>
      <w:proofErr w:type="spellStart"/>
      <w:r w:rsidR="00B45D04">
        <w:rPr>
          <w:rFonts w:ascii="Trebuchet MS" w:hAnsi="Trebuchet MS"/>
        </w:rPr>
        <w:t>it’s</w:t>
      </w:r>
      <w:proofErr w:type="spellEnd"/>
      <w:r w:rsidR="00B45D04">
        <w:rPr>
          <w:rFonts w:ascii="Trebuchet MS" w:hAnsi="Trebuchet MS"/>
        </w:rPr>
        <w:t xml:space="preserve"> strongest when employees’ are free to work autonomously and with positive outcomes (Manganelli </w:t>
      </w:r>
      <w:r w:rsidR="00B45D04">
        <w:rPr>
          <w:rFonts w:ascii="Trebuchet MS" w:hAnsi="Trebuchet MS"/>
          <w:i/>
          <w:iCs/>
        </w:rPr>
        <w:t>et al</w:t>
      </w:r>
      <w:r w:rsidR="00B45D04">
        <w:rPr>
          <w:rFonts w:ascii="Trebuchet MS" w:hAnsi="Trebuchet MS"/>
        </w:rPr>
        <w:t>., 2018).</w:t>
      </w:r>
    </w:p>
    <w:p w14:paraId="601333D8" w14:textId="77777777" w:rsidR="00EC6EC9" w:rsidRDefault="00EC6EC9" w:rsidP="00EC6EC9">
      <w:pPr>
        <w:pStyle w:val="Nornal"/>
        <w:spacing w:after="0" w:line="240" w:lineRule="auto"/>
        <w:rPr>
          <w:rStyle w:val="Strong"/>
        </w:rPr>
      </w:pPr>
    </w:p>
    <w:p w14:paraId="24295A61" w14:textId="127CA188" w:rsidR="00B45D04" w:rsidRPr="00B45D04" w:rsidRDefault="00B45D04" w:rsidP="00EC6EC9">
      <w:pPr>
        <w:pStyle w:val="Nornal"/>
        <w:spacing w:after="0" w:line="240" w:lineRule="auto"/>
        <w:rPr>
          <w:rStyle w:val="Strong"/>
          <w:rFonts w:ascii="Trebuchet MS" w:hAnsi="Trebuchet MS"/>
          <w:b w:val="0"/>
          <w:bCs w:val="0"/>
        </w:rPr>
      </w:pPr>
      <w:r w:rsidRPr="00B45D04">
        <w:rPr>
          <w:rStyle w:val="Strong"/>
          <w:rFonts w:ascii="Trebuchet MS" w:hAnsi="Trebuchet MS"/>
          <w:b w:val="0"/>
          <w:bCs w:val="0"/>
        </w:rPr>
        <w:t>To address the high turnover rates at Eco-Insulate UK, the organisation should consider a reward strategy that provides both intrinsic and extrinsic reward, ensuring competitive pay, incentives and useful benefits, alongside recognition and job satisfaction.</w:t>
      </w:r>
    </w:p>
    <w:p w14:paraId="07DEFA60" w14:textId="77777777" w:rsidR="00B45D04" w:rsidRDefault="00B45D04" w:rsidP="00EC6EC9">
      <w:pPr>
        <w:pStyle w:val="Nornal"/>
        <w:spacing w:after="0" w:line="240" w:lineRule="auto"/>
        <w:rPr>
          <w:rStyle w:val="Strong"/>
        </w:rPr>
      </w:pPr>
    </w:p>
    <w:p w14:paraId="56B99E98" w14:textId="77777777" w:rsidR="00B14151" w:rsidRPr="00E446B9" w:rsidRDefault="00B14151" w:rsidP="00B14151">
      <w:pPr>
        <w:pStyle w:val="Nornal"/>
        <w:spacing w:after="0" w:line="240" w:lineRule="auto"/>
        <w:rPr>
          <w:rFonts w:ascii="Trebuchet MS" w:hAnsi="Trebuchet MS"/>
          <w:color w:val="000000"/>
        </w:rPr>
      </w:pPr>
    </w:p>
    <w:p w14:paraId="2A060137" w14:textId="77777777" w:rsidR="00B14151" w:rsidRPr="004049C0" w:rsidRDefault="00B14151" w:rsidP="00CB3B7E">
      <w:pPr>
        <w:pStyle w:val="Nornal"/>
        <w:numPr>
          <w:ilvl w:val="0"/>
          <w:numId w:val="2"/>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148EBE8E" w14:textId="77777777" w:rsidR="004049C0" w:rsidRDefault="004049C0" w:rsidP="004049C0">
      <w:pPr>
        <w:pStyle w:val="Nornal"/>
        <w:spacing w:after="0" w:line="240" w:lineRule="auto"/>
        <w:rPr>
          <w:rFonts w:ascii="Trebuchet MS" w:hAnsi="Trebuchet MS"/>
          <w:color w:val="000000" w:themeColor="text1"/>
        </w:rPr>
      </w:pPr>
    </w:p>
    <w:p w14:paraId="0F0D948C" w14:textId="4AF9E36C" w:rsidR="00CC7033" w:rsidRDefault="00CC7033" w:rsidP="004049C0">
      <w:pPr>
        <w:pStyle w:val="Nornal"/>
        <w:spacing w:after="0" w:line="240" w:lineRule="auto"/>
        <w:rPr>
          <w:rFonts w:ascii="Trebuchet MS" w:hAnsi="Trebuchet MS"/>
          <w:color w:val="000000"/>
        </w:rPr>
      </w:pPr>
      <w:r>
        <w:rPr>
          <w:rFonts w:ascii="Trebuchet MS" w:hAnsi="Trebuchet MS"/>
          <w:color w:val="000000"/>
        </w:rPr>
        <w:t>Pay structures are used to enable employers to decide how employees will be paid, based on the responsibilities of their roles. They also allow a basis for pay progression and ensure that an organisation’s pay is aligned with their vision and strategy, encouraging staff are motivated and, therefore, productive (CIPD, 2024). A fair pay structure should also provide clarity and promote fairness for employees. Pay structures can be categorised as info</w:t>
      </w:r>
      <w:r w:rsidR="00A8454C">
        <w:rPr>
          <w:rFonts w:ascii="Trebuchet MS" w:hAnsi="Trebuchet MS"/>
          <w:color w:val="000000"/>
        </w:rPr>
        <w:t>rmal (less defined and consistent) and formal (standardised and published).</w:t>
      </w:r>
    </w:p>
    <w:p w14:paraId="7A57BA9B" w14:textId="77777777" w:rsidR="00A8454C" w:rsidRDefault="00A8454C" w:rsidP="004049C0">
      <w:pPr>
        <w:pStyle w:val="Nornal"/>
        <w:spacing w:after="0" w:line="240" w:lineRule="auto"/>
        <w:rPr>
          <w:rFonts w:ascii="Trebuchet MS" w:hAnsi="Trebuchet MS"/>
          <w:color w:val="000000"/>
        </w:rPr>
      </w:pPr>
    </w:p>
    <w:p w14:paraId="3E9C26A2" w14:textId="77777777" w:rsidR="00A8454C" w:rsidRDefault="00A8454C" w:rsidP="004049C0">
      <w:pPr>
        <w:pStyle w:val="Nornal"/>
        <w:spacing w:after="0" w:line="240" w:lineRule="auto"/>
        <w:rPr>
          <w:rFonts w:ascii="Trebuchet MS" w:hAnsi="Trebuchet MS"/>
          <w:color w:val="000000"/>
        </w:rPr>
      </w:pPr>
      <w:r>
        <w:rPr>
          <w:rFonts w:ascii="Trebuchet MS" w:hAnsi="Trebuchet MS"/>
          <w:color w:val="000000"/>
        </w:rPr>
        <w:t xml:space="preserve">One type of an informal pay structure is individual pay rates, spot rates and spot salaries. This is where pay is set at an hourly, weekly or yearly rate, based on an employee’s job role and level of responsibility (CIPD, 2024). These rates generally only increase in line with inflation and can negatively impact the motivation and productivity of employees, due to the lack of pay progression (UNISON, 2019). </w:t>
      </w:r>
    </w:p>
    <w:p w14:paraId="4705B736" w14:textId="77777777" w:rsidR="00A8454C" w:rsidRDefault="00A8454C" w:rsidP="004049C0">
      <w:pPr>
        <w:pStyle w:val="Nornal"/>
        <w:spacing w:after="0" w:line="240" w:lineRule="auto"/>
        <w:rPr>
          <w:rFonts w:ascii="Trebuchet MS" w:hAnsi="Trebuchet MS"/>
          <w:color w:val="000000"/>
        </w:rPr>
      </w:pPr>
    </w:p>
    <w:p w14:paraId="72E47AA4" w14:textId="48582180" w:rsidR="00A8454C" w:rsidRDefault="00A8454C" w:rsidP="004049C0">
      <w:pPr>
        <w:pStyle w:val="Nornal"/>
        <w:spacing w:after="0" w:line="240" w:lineRule="auto"/>
        <w:rPr>
          <w:rFonts w:ascii="Trebuchet MS" w:hAnsi="Trebuchet MS"/>
          <w:color w:val="000000"/>
        </w:rPr>
      </w:pPr>
      <w:r>
        <w:rPr>
          <w:rFonts w:ascii="Trebuchet MS" w:hAnsi="Trebuchet MS"/>
          <w:color w:val="000000"/>
        </w:rPr>
        <w:t xml:space="preserve">Individual pay, job or salary ranges, on the other hand, allow for slightly more progression. This type of structure is where a pay range is set, based on an employee’s role and </w:t>
      </w:r>
      <w:r>
        <w:rPr>
          <w:rFonts w:ascii="Trebuchet MS" w:hAnsi="Trebuchet MS"/>
          <w:color w:val="000000"/>
        </w:rPr>
        <w:lastRenderedPageBreak/>
        <w:t xml:space="preserve">responsibilities (similar to above). However, this structure differs as employees will progress through their set range, usually when hitting length of service milestones (CIPD, 2024). This structure type is likely to improve staff motivation and retention, as progression is clear and consistent. However, </w:t>
      </w:r>
      <w:r w:rsidR="00781699">
        <w:rPr>
          <w:rFonts w:ascii="Trebuchet MS" w:hAnsi="Trebuchet MS"/>
          <w:color w:val="000000"/>
        </w:rPr>
        <w:t>organisations with structures like these should closely monitor in terms of gender pay gap, as female employees are generally less likely to achieve long lengths of service due to childcare responsibilities, meaning that men are more likely to reach the higher rates of a set range (UNISON, 2019; Blundell, 2021).</w:t>
      </w:r>
    </w:p>
    <w:p w14:paraId="0B70AF90" w14:textId="77777777" w:rsidR="00781699" w:rsidRDefault="00781699" w:rsidP="004049C0">
      <w:pPr>
        <w:pStyle w:val="Nornal"/>
        <w:spacing w:after="0" w:line="240" w:lineRule="auto"/>
        <w:rPr>
          <w:rFonts w:ascii="Trebuchet MS" w:hAnsi="Trebuchet MS"/>
          <w:color w:val="000000"/>
        </w:rPr>
      </w:pPr>
    </w:p>
    <w:p w14:paraId="4D92A980" w14:textId="67024876" w:rsidR="00781699" w:rsidRDefault="00781699" w:rsidP="004049C0">
      <w:pPr>
        <w:pStyle w:val="Nornal"/>
        <w:spacing w:after="0" w:line="240" w:lineRule="auto"/>
        <w:rPr>
          <w:rFonts w:ascii="Trebuchet MS" w:hAnsi="Trebuchet MS"/>
          <w:color w:val="000000"/>
        </w:rPr>
      </w:pPr>
      <w:r>
        <w:rPr>
          <w:rFonts w:ascii="Trebuchet MS" w:hAnsi="Trebuchet MS"/>
          <w:color w:val="000000"/>
        </w:rPr>
        <w:t>Moving on to formal structures, one example is a narrow grade</w:t>
      </w:r>
      <w:r w:rsidR="00902800">
        <w:rPr>
          <w:rFonts w:ascii="Trebuchet MS" w:hAnsi="Trebuchet MS"/>
          <w:color w:val="000000"/>
        </w:rPr>
        <w:t>s</w:t>
      </w:r>
      <w:r>
        <w:rPr>
          <w:rFonts w:ascii="Trebuchet MS" w:hAnsi="Trebuchet MS"/>
          <w:color w:val="000000"/>
        </w:rPr>
        <w:t>, where an employer designs multiple pay grades (or bands), similarly to above. However, with these, job roles are categorised into the most relevant banding (CIPD, 2024). An example of an organisation using this structure is the NHS, who currently have 8 pay bands with multiple roles allocated to each (Edwards, 2012). In such a large organisation like the NHS, this method allows for a clear pay approach and consistency across all strands. However, with retainment being high, employees can quickly reach the top of their grade, potentially halting the progression (UNISON, 2019). In some situations, this can also lead to employees being placed onto the next range, which can cause discrepancies in pay across workforces (UNISON, 2019).</w:t>
      </w:r>
    </w:p>
    <w:p w14:paraId="2D80D21D" w14:textId="77777777" w:rsidR="00902800" w:rsidRDefault="00902800" w:rsidP="004049C0">
      <w:pPr>
        <w:pStyle w:val="Nornal"/>
        <w:spacing w:after="0" w:line="240" w:lineRule="auto"/>
        <w:rPr>
          <w:rFonts w:ascii="Trebuchet MS" w:hAnsi="Trebuchet MS"/>
          <w:color w:val="000000"/>
        </w:rPr>
      </w:pPr>
    </w:p>
    <w:p w14:paraId="0045E871" w14:textId="55EC2BAA" w:rsidR="00902800" w:rsidRDefault="00902800" w:rsidP="004049C0">
      <w:pPr>
        <w:pStyle w:val="Nornal"/>
        <w:spacing w:after="0" w:line="240" w:lineRule="auto"/>
        <w:rPr>
          <w:rFonts w:ascii="Trebuchet MS" w:hAnsi="Trebuchet MS"/>
          <w:color w:val="000000"/>
        </w:rPr>
      </w:pPr>
      <w:r>
        <w:rPr>
          <w:rFonts w:ascii="Trebuchet MS" w:hAnsi="Trebuchet MS"/>
          <w:color w:val="000000"/>
        </w:rPr>
        <w:t xml:space="preserve">Another formal structure is </w:t>
      </w:r>
      <w:proofErr w:type="spellStart"/>
      <w:r>
        <w:rPr>
          <w:rFonts w:ascii="Trebuchet MS" w:hAnsi="Trebuchet MS"/>
          <w:color w:val="000000"/>
        </w:rPr>
        <w:t>broadbanding</w:t>
      </w:r>
      <w:proofErr w:type="spellEnd"/>
      <w:r>
        <w:rPr>
          <w:rFonts w:ascii="Trebuchet MS" w:hAnsi="Trebuchet MS"/>
          <w:color w:val="000000"/>
        </w:rPr>
        <w:t xml:space="preserve">, where employees are based on narrow pay grades that sit within wider bands. This structure type allows for much more progression within bands, encouraging higher levels of motivation due to more opportunities for pay progression. However, it could be argued that </w:t>
      </w:r>
      <w:proofErr w:type="spellStart"/>
      <w:r>
        <w:rPr>
          <w:rFonts w:ascii="Trebuchet MS" w:hAnsi="Trebuchet MS"/>
          <w:color w:val="000000"/>
        </w:rPr>
        <w:t>broadbanding</w:t>
      </w:r>
      <w:proofErr w:type="spellEnd"/>
      <w:r>
        <w:rPr>
          <w:rFonts w:ascii="Trebuchet MS" w:hAnsi="Trebuchet MS"/>
          <w:color w:val="000000"/>
        </w:rPr>
        <w:t xml:space="preserve"> is less structured and consistent in comparison to narrow grades, potentially leading to feelings of unfairness relating to pay (CIPD, 2024).</w:t>
      </w:r>
    </w:p>
    <w:p w14:paraId="52AADDA8" w14:textId="77777777" w:rsidR="00214C97" w:rsidRDefault="00214C97" w:rsidP="004049C0">
      <w:pPr>
        <w:pStyle w:val="Nornal"/>
        <w:spacing w:after="0" w:line="240" w:lineRule="auto"/>
        <w:rPr>
          <w:rFonts w:ascii="Trebuchet MS" w:hAnsi="Trebuchet MS"/>
          <w:color w:val="000000"/>
        </w:rPr>
      </w:pPr>
    </w:p>
    <w:p w14:paraId="0CCB7458" w14:textId="01FFAF67" w:rsidR="00214C97" w:rsidRPr="00E446B9" w:rsidRDefault="00214C97" w:rsidP="004049C0">
      <w:pPr>
        <w:pStyle w:val="Nornal"/>
        <w:spacing w:after="0" w:line="240" w:lineRule="auto"/>
        <w:rPr>
          <w:rFonts w:ascii="Trebuchet MS" w:hAnsi="Trebuchet MS"/>
          <w:color w:val="000000"/>
        </w:rPr>
      </w:pPr>
      <w:r w:rsidRPr="00214C97">
        <w:rPr>
          <w:rFonts w:ascii="Trebuchet MS" w:hAnsi="Trebuchet MS"/>
          <w:color w:val="000000"/>
        </w:rPr>
        <w:t xml:space="preserve">Eco-Insulate UK’s use of measured day work and lack of progression suggests </w:t>
      </w:r>
      <w:r>
        <w:rPr>
          <w:rFonts w:ascii="Trebuchet MS" w:hAnsi="Trebuchet MS"/>
          <w:color w:val="000000"/>
        </w:rPr>
        <w:t>they are using an</w:t>
      </w:r>
      <w:r w:rsidRPr="00214C97">
        <w:rPr>
          <w:rFonts w:ascii="Trebuchet MS" w:hAnsi="Trebuchet MS"/>
          <w:color w:val="000000"/>
        </w:rPr>
        <w:t xml:space="preserve"> informal pay structure. </w:t>
      </w:r>
      <w:r>
        <w:rPr>
          <w:rFonts w:ascii="Trebuchet MS" w:hAnsi="Trebuchet MS"/>
          <w:color w:val="000000"/>
        </w:rPr>
        <w:t>Implementing</w:t>
      </w:r>
      <w:r w:rsidRPr="00214C97">
        <w:rPr>
          <w:rFonts w:ascii="Trebuchet MS" w:hAnsi="Trebuchet MS"/>
          <w:color w:val="000000"/>
        </w:rPr>
        <w:t xml:space="preserve"> a more formal and transparent structure could help clarify </w:t>
      </w:r>
      <w:r>
        <w:rPr>
          <w:rFonts w:ascii="Trebuchet MS" w:hAnsi="Trebuchet MS"/>
          <w:color w:val="000000"/>
        </w:rPr>
        <w:t>progression</w:t>
      </w:r>
      <w:r w:rsidRPr="00214C97">
        <w:rPr>
          <w:rFonts w:ascii="Trebuchet MS" w:hAnsi="Trebuchet MS"/>
          <w:color w:val="000000"/>
        </w:rPr>
        <w:t>, improve fairness, and reduce dissatisfaction among both skilled and non-skilled staff.</w:t>
      </w:r>
    </w:p>
    <w:p w14:paraId="43696635" w14:textId="34C74B0A" w:rsidR="00B14151" w:rsidRDefault="00B14151" w:rsidP="00B14151">
      <w:pPr>
        <w:pStyle w:val="Nornal"/>
        <w:spacing w:after="0" w:line="240" w:lineRule="auto"/>
        <w:rPr>
          <w:rFonts w:ascii="Trebuchet MS" w:hAnsi="Trebuchet MS"/>
          <w:color w:val="000000"/>
        </w:rPr>
      </w:pPr>
    </w:p>
    <w:p w14:paraId="288942E3" w14:textId="7C194627" w:rsidR="00CF46C6" w:rsidRDefault="00B14151" w:rsidP="00CB3B7E">
      <w:pPr>
        <w:pStyle w:val="Nornal"/>
        <w:numPr>
          <w:ilvl w:val="0"/>
          <w:numId w:val="2"/>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0BEEC5DA" w14:textId="77777777" w:rsidR="006155EA" w:rsidRDefault="006155EA" w:rsidP="006155EA">
      <w:pPr>
        <w:pStyle w:val="Nornal"/>
        <w:spacing w:after="0" w:line="240" w:lineRule="auto"/>
        <w:rPr>
          <w:rFonts w:ascii="Trebuchet MS" w:hAnsi="Trebuchet MS"/>
          <w:color w:val="000000"/>
        </w:rPr>
      </w:pPr>
    </w:p>
    <w:p w14:paraId="568DF605" w14:textId="329189F0" w:rsidR="006155EA" w:rsidRDefault="006155EA" w:rsidP="006155EA">
      <w:pPr>
        <w:pStyle w:val="Nornal"/>
        <w:spacing w:after="0" w:line="240" w:lineRule="auto"/>
        <w:rPr>
          <w:rFonts w:ascii="Trebuchet MS" w:hAnsi="Trebuchet MS"/>
          <w:color w:val="000000"/>
        </w:rPr>
      </w:pPr>
      <w:r>
        <w:rPr>
          <w:rFonts w:ascii="Trebuchet MS" w:hAnsi="Trebuchet MS"/>
          <w:color w:val="000000"/>
        </w:rPr>
        <w:t>Contingent rewards refer to when pay is connected to the performance, skills or behaviour of employees and teams, and they are generally used to promote productive amongst a workforce.</w:t>
      </w:r>
      <w:r w:rsidR="000671F6">
        <w:rPr>
          <w:rFonts w:ascii="Trebuchet MS" w:hAnsi="Trebuchet MS"/>
          <w:color w:val="000000"/>
        </w:rPr>
        <w:t xml:space="preserve"> When delivered correctly and clearly, they can also promote a culture of fairness and transparency (CIPD, 2024</w:t>
      </w:r>
      <w:r w:rsidR="005A5F4D">
        <w:rPr>
          <w:rFonts w:ascii="Trebuchet MS" w:hAnsi="Trebuchet MS"/>
          <w:color w:val="000000"/>
        </w:rPr>
        <w:t>b</w:t>
      </w:r>
      <w:r w:rsidR="000671F6">
        <w:rPr>
          <w:rFonts w:ascii="Trebuchet MS" w:hAnsi="Trebuchet MS"/>
          <w:color w:val="000000"/>
        </w:rPr>
        <w:t>). They can also ensure employees are engaged to the tasks of their roles and performing at a high level, in line with organisational strategy and values (Kang and Lee, 2021). However, the use of contingent rewards should be regularly reviewed and closely monitored to ensure they do not impact organisations negatively (</w:t>
      </w:r>
      <w:proofErr w:type="spellStart"/>
      <w:r w:rsidR="000671F6">
        <w:rPr>
          <w:rFonts w:ascii="Trebuchet MS" w:hAnsi="Trebuchet MS"/>
          <w:color w:val="000000"/>
        </w:rPr>
        <w:t>Prouska</w:t>
      </w:r>
      <w:proofErr w:type="spellEnd"/>
      <w:r w:rsidR="000671F6">
        <w:rPr>
          <w:rFonts w:ascii="Trebuchet MS" w:hAnsi="Trebuchet MS"/>
          <w:color w:val="000000"/>
        </w:rPr>
        <w:t xml:space="preserve"> </w:t>
      </w:r>
      <w:r w:rsidR="000671F6">
        <w:rPr>
          <w:rFonts w:ascii="Trebuchet MS" w:hAnsi="Trebuchet MS"/>
          <w:i/>
          <w:iCs/>
          <w:color w:val="000000"/>
        </w:rPr>
        <w:t>et ai</w:t>
      </w:r>
      <w:r w:rsidR="000671F6">
        <w:rPr>
          <w:rFonts w:ascii="Trebuchet MS" w:hAnsi="Trebuchet MS"/>
          <w:color w:val="000000"/>
        </w:rPr>
        <w:t>., 2021).</w:t>
      </w:r>
    </w:p>
    <w:p w14:paraId="3DA311D8" w14:textId="77777777" w:rsidR="000671F6" w:rsidRDefault="000671F6" w:rsidP="006155EA">
      <w:pPr>
        <w:pStyle w:val="Nornal"/>
        <w:spacing w:after="0" w:line="240" w:lineRule="auto"/>
        <w:rPr>
          <w:rFonts w:ascii="Trebuchet MS" w:hAnsi="Trebuchet MS"/>
          <w:color w:val="000000"/>
        </w:rPr>
      </w:pPr>
    </w:p>
    <w:p w14:paraId="26B0AD4A" w14:textId="14657BF4" w:rsidR="000671F6" w:rsidRDefault="000671F6" w:rsidP="006155EA">
      <w:pPr>
        <w:pStyle w:val="Nornal"/>
        <w:spacing w:after="0" w:line="240" w:lineRule="auto"/>
        <w:rPr>
          <w:rFonts w:ascii="Trebuchet MS" w:hAnsi="Trebuchet MS"/>
          <w:color w:val="000000"/>
        </w:rPr>
      </w:pPr>
      <w:r>
        <w:rPr>
          <w:rFonts w:ascii="Trebuchet MS" w:hAnsi="Trebuchet MS"/>
          <w:color w:val="000000"/>
        </w:rPr>
        <w:t>One type of contingent reward is performance-related pay</w:t>
      </w:r>
      <w:r w:rsidR="00B837E6">
        <w:rPr>
          <w:rFonts w:ascii="Trebuchet MS" w:hAnsi="Trebuchet MS"/>
          <w:color w:val="000000"/>
        </w:rPr>
        <w:t xml:space="preserve">, where employees receive pay incentives when reaching certain targets. Often, this is used in sales related roles and referred to as commission. Performance-related pay </w:t>
      </w:r>
      <w:r w:rsidR="00262048">
        <w:rPr>
          <w:rFonts w:ascii="Trebuchet MS" w:hAnsi="Trebuchet MS"/>
          <w:color w:val="000000"/>
        </w:rPr>
        <w:t xml:space="preserve">can have a positive impact on individual motivation as employees are generally motivated to achieve better outcomes, as this will equate to better pay (Kang and Lee, 2021). However, the pressure of needing to hit targets along with the inconsistency of fluctuating pay can negatively impact wellbeing (Salimi and Della Torre, 2022; Green and Heywood, 2023). For teams, performance-related pay can also cause tensions, particularly if only individual performance is measured, as employees may be less inclined to work collaboratively. For the organisation and </w:t>
      </w:r>
      <w:proofErr w:type="spellStart"/>
      <w:r w:rsidR="00262048">
        <w:rPr>
          <w:rFonts w:ascii="Trebuchet MS" w:hAnsi="Trebuchet MS"/>
          <w:color w:val="000000"/>
        </w:rPr>
        <w:t>it’s</w:t>
      </w:r>
      <w:proofErr w:type="spellEnd"/>
      <w:r w:rsidR="00262048">
        <w:rPr>
          <w:rFonts w:ascii="Trebuchet MS" w:hAnsi="Trebuchet MS"/>
          <w:color w:val="000000"/>
        </w:rPr>
        <w:t xml:space="preserve"> performance, performance-related pay is likely to maintain </w:t>
      </w:r>
      <w:r w:rsidR="00262048">
        <w:rPr>
          <w:rFonts w:ascii="Trebuchet MS" w:hAnsi="Trebuchet MS"/>
          <w:color w:val="000000"/>
        </w:rPr>
        <w:lastRenderedPageBreak/>
        <w:t>strong outcomes, due to all employees being motivated to work to the highest of their ability (CIPD, 2024</w:t>
      </w:r>
      <w:r w:rsidR="005A5F4D">
        <w:rPr>
          <w:rFonts w:ascii="Trebuchet MS" w:hAnsi="Trebuchet MS"/>
          <w:color w:val="000000"/>
        </w:rPr>
        <w:t>b</w:t>
      </w:r>
      <w:r w:rsidR="00262048">
        <w:rPr>
          <w:rFonts w:ascii="Trebuchet MS" w:hAnsi="Trebuchet MS"/>
          <w:color w:val="000000"/>
        </w:rPr>
        <w:t xml:space="preserve">). However, as mentioned previously, culture may be negatively </w:t>
      </w:r>
      <w:proofErr w:type="spellStart"/>
      <w:r w:rsidR="00262048">
        <w:rPr>
          <w:rFonts w:ascii="Trebuchet MS" w:hAnsi="Trebuchet MS"/>
          <w:color w:val="000000"/>
        </w:rPr>
        <w:t>effected</w:t>
      </w:r>
      <w:proofErr w:type="spellEnd"/>
      <w:r w:rsidR="00262048">
        <w:rPr>
          <w:rFonts w:ascii="Trebuchet MS" w:hAnsi="Trebuchet MS"/>
          <w:color w:val="000000"/>
        </w:rPr>
        <w:t xml:space="preserve"> (</w:t>
      </w:r>
      <w:proofErr w:type="spellStart"/>
      <w:r w:rsidR="00262048">
        <w:rPr>
          <w:rFonts w:ascii="Trebuchet MS" w:hAnsi="Trebuchet MS"/>
          <w:color w:val="000000"/>
        </w:rPr>
        <w:t>Andelic</w:t>
      </w:r>
      <w:proofErr w:type="spellEnd"/>
      <w:r w:rsidR="00262048">
        <w:rPr>
          <w:rFonts w:ascii="Trebuchet MS" w:hAnsi="Trebuchet MS"/>
          <w:color w:val="000000"/>
        </w:rPr>
        <w:t xml:space="preserve"> </w:t>
      </w:r>
      <w:r w:rsidR="00262048">
        <w:rPr>
          <w:rFonts w:ascii="Trebuchet MS" w:hAnsi="Trebuchet MS"/>
          <w:i/>
          <w:iCs/>
          <w:color w:val="000000"/>
        </w:rPr>
        <w:t>et al</w:t>
      </w:r>
      <w:r w:rsidR="00262048">
        <w:rPr>
          <w:rFonts w:ascii="Trebuchet MS" w:hAnsi="Trebuchet MS"/>
          <w:color w:val="000000"/>
        </w:rPr>
        <w:t>., 2024).</w:t>
      </w:r>
    </w:p>
    <w:p w14:paraId="4A6C04C9" w14:textId="77777777" w:rsidR="007D5C1E" w:rsidRDefault="007D5C1E" w:rsidP="006155EA">
      <w:pPr>
        <w:pStyle w:val="Nornal"/>
        <w:spacing w:after="0" w:line="240" w:lineRule="auto"/>
        <w:rPr>
          <w:rFonts w:ascii="Trebuchet MS" w:hAnsi="Trebuchet MS"/>
          <w:color w:val="000000"/>
        </w:rPr>
      </w:pPr>
    </w:p>
    <w:p w14:paraId="06540EF7" w14:textId="14510939" w:rsidR="007D5C1E" w:rsidRDefault="007D5C1E" w:rsidP="006155EA">
      <w:pPr>
        <w:pStyle w:val="Nornal"/>
        <w:spacing w:after="0" w:line="240" w:lineRule="auto"/>
        <w:rPr>
          <w:rFonts w:ascii="Trebuchet MS" w:hAnsi="Trebuchet MS"/>
          <w:color w:val="000000"/>
        </w:rPr>
      </w:pPr>
      <w:r>
        <w:rPr>
          <w:rFonts w:ascii="Trebuchet MS" w:hAnsi="Trebuchet MS"/>
          <w:color w:val="000000"/>
        </w:rPr>
        <w:t>Moving on, competency-based pay is based on how well employees work in certain way that is aligned with their company’s values, for example by showing leadership, teamwork and communication (CIPD, 2024</w:t>
      </w:r>
      <w:r w:rsidR="005A5F4D">
        <w:rPr>
          <w:rFonts w:ascii="Trebuchet MS" w:hAnsi="Trebuchet MS"/>
          <w:color w:val="000000"/>
        </w:rPr>
        <w:t>b</w:t>
      </w:r>
      <w:r>
        <w:rPr>
          <w:rFonts w:ascii="Trebuchet MS" w:hAnsi="Trebuchet MS"/>
          <w:color w:val="000000"/>
        </w:rPr>
        <w:t>). In contrast to performance-related pay, this encourages more collaboration between employees, meaning that individuals are generally happier and more motivated and teams have a better culture. For the organisation, competency-based pay is more likely to result in longer-term success as it works to develop employees, as opposed to performance-related pay which arguably prioritises short-term productivity (Kang and Lee, 2021).</w:t>
      </w:r>
    </w:p>
    <w:p w14:paraId="0481E7BE" w14:textId="77777777" w:rsidR="00136EDD" w:rsidRDefault="00136EDD" w:rsidP="006155EA">
      <w:pPr>
        <w:pStyle w:val="Nornal"/>
        <w:spacing w:after="0" w:line="240" w:lineRule="auto"/>
        <w:rPr>
          <w:rFonts w:ascii="Trebuchet MS" w:hAnsi="Trebuchet MS"/>
          <w:color w:val="000000"/>
        </w:rPr>
      </w:pPr>
    </w:p>
    <w:p w14:paraId="618DAB01" w14:textId="5237CEE3" w:rsidR="00136EDD" w:rsidRDefault="00136EDD" w:rsidP="006155EA">
      <w:pPr>
        <w:pStyle w:val="Nornal"/>
        <w:spacing w:after="0" w:line="240" w:lineRule="auto"/>
        <w:rPr>
          <w:rFonts w:ascii="Trebuchet MS" w:hAnsi="Trebuchet MS"/>
          <w:color w:val="000000"/>
        </w:rPr>
      </w:pPr>
      <w:r>
        <w:rPr>
          <w:rFonts w:ascii="Trebuchet MS" w:hAnsi="Trebuchet MS"/>
          <w:color w:val="000000"/>
        </w:rPr>
        <w:t>Another type of contingent reward is skill-based pay, where employees are rewarded for gaining new skills and qualifications. For individual employees, this promotes personal development and ensures work is varied and evolving. In addition, for teams, this method is likely to promote information sharing and support (Salimi and Della Torre, 2022). For the organisation, skill-based pay will build a workforce who have a huge range of information to be utilised (Green and Heywood, 2023). However, time lost through workforce training could result in lower productivity (</w:t>
      </w:r>
      <w:proofErr w:type="spellStart"/>
      <w:r>
        <w:rPr>
          <w:rFonts w:ascii="Trebuchet MS" w:hAnsi="Trebuchet MS"/>
          <w:color w:val="000000"/>
        </w:rPr>
        <w:t>Prouska</w:t>
      </w:r>
      <w:proofErr w:type="spellEnd"/>
      <w:r>
        <w:rPr>
          <w:rFonts w:ascii="Trebuchet MS" w:hAnsi="Trebuchet MS"/>
          <w:color w:val="000000"/>
        </w:rPr>
        <w:t xml:space="preserve"> </w:t>
      </w:r>
      <w:r>
        <w:rPr>
          <w:rFonts w:ascii="Trebuchet MS" w:hAnsi="Trebuchet MS"/>
          <w:i/>
          <w:iCs/>
          <w:color w:val="000000"/>
        </w:rPr>
        <w:t>et al</w:t>
      </w:r>
      <w:r>
        <w:rPr>
          <w:rFonts w:ascii="Trebuchet MS" w:hAnsi="Trebuchet MS"/>
          <w:color w:val="000000"/>
        </w:rPr>
        <w:t>., 2021).</w:t>
      </w:r>
    </w:p>
    <w:p w14:paraId="09D6D351" w14:textId="072838D6" w:rsidR="00214C97" w:rsidRPr="00136EDD" w:rsidRDefault="00214C97" w:rsidP="006155EA">
      <w:pPr>
        <w:pStyle w:val="Nornal"/>
        <w:spacing w:after="0" w:line="240" w:lineRule="auto"/>
        <w:rPr>
          <w:rFonts w:ascii="Trebuchet MS" w:hAnsi="Trebuchet MS"/>
          <w:color w:val="000000"/>
        </w:rPr>
      </w:pPr>
      <w:r w:rsidRPr="00214C97">
        <w:rPr>
          <w:rFonts w:ascii="Trebuchet MS" w:hAnsi="Trebuchet MS"/>
          <w:color w:val="000000"/>
        </w:rPr>
        <w:t xml:space="preserve">Given Eco-Insulate UK’s lack of performance-linked pay, introducing contingent rewards could directly address low morale and disengagement. Rewarding employees for meeting targets or </w:t>
      </w:r>
      <w:r>
        <w:rPr>
          <w:rFonts w:ascii="Trebuchet MS" w:hAnsi="Trebuchet MS"/>
          <w:color w:val="000000"/>
        </w:rPr>
        <w:t>learning</w:t>
      </w:r>
      <w:r w:rsidRPr="00214C97">
        <w:rPr>
          <w:rFonts w:ascii="Trebuchet MS" w:hAnsi="Trebuchet MS"/>
          <w:color w:val="000000"/>
        </w:rPr>
        <w:t xml:space="preserve"> new skills would align individual efforts with organisational goals and improve retention.</w:t>
      </w:r>
    </w:p>
    <w:p w14:paraId="61EBA713" w14:textId="77777777" w:rsidR="00B14151" w:rsidRDefault="00B14151" w:rsidP="00D104A1">
      <w:pPr>
        <w:pStyle w:val="Nornal"/>
        <w:spacing w:after="0" w:line="240" w:lineRule="auto"/>
        <w:rPr>
          <w:rFonts w:ascii="Trebuchet MS" w:hAnsi="Trebuchet MS"/>
          <w:color w:val="000000"/>
        </w:rPr>
      </w:pPr>
    </w:p>
    <w:p w14:paraId="28757C2A" w14:textId="77777777" w:rsidR="00B14151" w:rsidRDefault="00B14151" w:rsidP="00CB3B7E">
      <w:pPr>
        <w:pStyle w:val="Nornal"/>
        <w:numPr>
          <w:ilvl w:val="0"/>
          <w:numId w:val="2"/>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7752C430" w14:textId="77777777" w:rsidR="00476015" w:rsidRDefault="00476015" w:rsidP="00476015">
      <w:pPr>
        <w:rPr>
          <w:rFonts w:ascii="Trebuchet MS" w:hAnsi="Trebuchet MS"/>
          <w:color w:val="000000"/>
        </w:rPr>
      </w:pPr>
    </w:p>
    <w:p w14:paraId="0F2C86F7" w14:textId="4907201A" w:rsidR="004F288C" w:rsidRDefault="004F288C" w:rsidP="00476015">
      <w:pPr>
        <w:rPr>
          <w:rFonts w:ascii="Trebuchet MS" w:hAnsi="Trebuchet MS"/>
          <w:color w:val="000000"/>
        </w:rPr>
      </w:pPr>
      <w:r>
        <w:rPr>
          <w:rFonts w:ascii="Trebuchet MS" w:hAnsi="Trebuchet MS"/>
          <w:color w:val="000000"/>
        </w:rPr>
        <w:t xml:space="preserve">One </w:t>
      </w:r>
      <w:r w:rsidR="006220A5">
        <w:rPr>
          <w:rFonts w:ascii="Trebuchet MS" w:hAnsi="Trebuchet MS"/>
          <w:color w:val="000000"/>
        </w:rPr>
        <w:t>type of employee benefits</w:t>
      </w:r>
      <w:r>
        <w:rPr>
          <w:rFonts w:ascii="Trebuchet MS" w:hAnsi="Trebuchet MS"/>
          <w:color w:val="000000"/>
        </w:rPr>
        <w:t xml:space="preserve">, financial benefits, refers to </w:t>
      </w:r>
      <w:r w:rsidR="006220A5">
        <w:rPr>
          <w:rFonts w:ascii="Trebuchet MS" w:hAnsi="Trebuchet MS"/>
          <w:color w:val="000000"/>
        </w:rPr>
        <w:t>strategies</w:t>
      </w:r>
      <w:r>
        <w:rPr>
          <w:rFonts w:ascii="Trebuchet MS" w:hAnsi="Trebuchet MS"/>
          <w:color w:val="000000"/>
        </w:rPr>
        <w:t xml:space="preserve"> that support employees financially and outside of their regular pay. They also generally include things that are not mandatory for the employer to provide, such an enhanced maternity pay. Enhanced maternity pay can help to retain talent, particularly in terms of encouraging mothers to return to the workplace after having children (Bishnoi and Bishnoi, 2022). Another financial benefit, sick pay, offers similar financial protection during </w:t>
      </w:r>
      <w:r w:rsidR="00084AEE">
        <w:rPr>
          <w:rFonts w:ascii="Trebuchet MS" w:hAnsi="Trebuchet MS"/>
          <w:color w:val="000000"/>
        </w:rPr>
        <w:t xml:space="preserve">times where an employee is unable to work. This has a huge positive impact on the emotional and physical wellbeing of employees, encouraging them to prioritise their health, without needing to worry about financial implications. This is also likely to boost productivity, as staff are more likely to attend work in good health (Vander Weerdt </w:t>
      </w:r>
      <w:r w:rsidR="00084AEE">
        <w:rPr>
          <w:rFonts w:ascii="Trebuchet MS" w:hAnsi="Trebuchet MS"/>
          <w:i/>
          <w:iCs/>
          <w:color w:val="000000"/>
        </w:rPr>
        <w:t>et al</w:t>
      </w:r>
      <w:r w:rsidR="00084AEE">
        <w:rPr>
          <w:rFonts w:ascii="Trebuchet MS" w:hAnsi="Trebuchet MS"/>
          <w:color w:val="000000"/>
        </w:rPr>
        <w:t>., 2023). However, employers who offer paid sick leave should ensure they have solid processes in place to avoid the risk of high numbers of absences, with staff taking advantage of the benefit (CIPD, 2023</w:t>
      </w:r>
      <w:r w:rsidR="009E620B">
        <w:rPr>
          <w:rFonts w:ascii="Trebuchet MS" w:hAnsi="Trebuchet MS"/>
          <w:color w:val="000000"/>
        </w:rPr>
        <w:t>a</w:t>
      </w:r>
      <w:r w:rsidR="006220A5">
        <w:rPr>
          <w:rFonts w:ascii="Trebuchet MS" w:hAnsi="Trebuchet MS"/>
          <w:color w:val="000000"/>
        </w:rPr>
        <w:t>).</w:t>
      </w:r>
    </w:p>
    <w:p w14:paraId="673B3FC7" w14:textId="77777777" w:rsidR="006220A5" w:rsidRDefault="006220A5" w:rsidP="00476015">
      <w:pPr>
        <w:rPr>
          <w:rFonts w:ascii="Trebuchet MS" w:hAnsi="Trebuchet MS"/>
          <w:color w:val="000000"/>
        </w:rPr>
      </w:pPr>
    </w:p>
    <w:p w14:paraId="1E5AD7E9" w14:textId="31675A6A" w:rsidR="006220A5" w:rsidRDefault="006220A5" w:rsidP="00476015">
      <w:pPr>
        <w:rPr>
          <w:rFonts w:ascii="Trebuchet MS" w:hAnsi="Trebuchet MS"/>
          <w:color w:val="000000"/>
        </w:rPr>
      </w:pPr>
      <w:r>
        <w:rPr>
          <w:rFonts w:ascii="Trebuchet MS" w:hAnsi="Trebuchet MS"/>
          <w:color w:val="000000"/>
        </w:rPr>
        <w:t xml:space="preserve">Non-financial benefits, on the other hand, improve the wellbeing and job satisfaction of employees through strategies without monetary value. This may include additional leave, for example for long service or when it’s an </w:t>
      </w:r>
      <w:proofErr w:type="spellStart"/>
      <w:r>
        <w:rPr>
          <w:rFonts w:ascii="Trebuchet MS" w:hAnsi="Trebuchet MS"/>
          <w:color w:val="000000"/>
        </w:rPr>
        <w:t>employees</w:t>
      </w:r>
      <w:proofErr w:type="spellEnd"/>
      <w:r>
        <w:rPr>
          <w:rFonts w:ascii="Trebuchet MS" w:hAnsi="Trebuchet MS"/>
          <w:color w:val="000000"/>
        </w:rPr>
        <w:t xml:space="preserve"> birthday. Additional leave is likely to boost staff morale and create a strong culture of appreciation between and employer and their employees (Fisher, 2017; CIPD, 2023</w:t>
      </w:r>
      <w:r w:rsidR="009E620B">
        <w:rPr>
          <w:rFonts w:ascii="Trebuchet MS" w:hAnsi="Trebuchet MS"/>
          <w:color w:val="000000"/>
        </w:rPr>
        <w:t>a</w:t>
      </w:r>
      <w:r>
        <w:rPr>
          <w:rFonts w:ascii="Trebuchet MS" w:hAnsi="Trebuchet MS"/>
          <w:color w:val="000000"/>
        </w:rPr>
        <w:t>).</w:t>
      </w:r>
    </w:p>
    <w:p w14:paraId="769C3694" w14:textId="77777777" w:rsidR="006220A5" w:rsidRDefault="006220A5" w:rsidP="00476015">
      <w:pPr>
        <w:rPr>
          <w:rFonts w:ascii="Trebuchet MS" w:hAnsi="Trebuchet MS"/>
          <w:color w:val="000000"/>
        </w:rPr>
      </w:pPr>
    </w:p>
    <w:p w14:paraId="6F930A99" w14:textId="65046D98" w:rsidR="006220A5" w:rsidRDefault="006220A5" w:rsidP="00476015">
      <w:pPr>
        <w:rPr>
          <w:rFonts w:ascii="Trebuchet MS" w:hAnsi="Trebuchet MS"/>
          <w:color w:val="000000"/>
        </w:rPr>
      </w:pPr>
      <w:r>
        <w:rPr>
          <w:rFonts w:ascii="Trebuchet MS" w:hAnsi="Trebuchet MS"/>
          <w:color w:val="000000"/>
        </w:rPr>
        <w:t xml:space="preserve">Another type of employee benefits are voluntary benefits. An example of this is flexible working arrangements, where employees have higher autonomy over where they work (for example at home) and when they work (as opposed to the traditional working day). This benefit is highly valued today, particularly following Covid-19 and many employers are likely to see staff turnover due to employees leaving for more a more flexible workplace </w:t>
      </w:r>
      <w:r>
        <w:rPr>
          <w:rFonts w:ascii="Trebuchet MS" w:hAnsi="Trebuchet MS"/>
          <w:color w:val="000000"/>
        </w:rPr>
        <w:lastRenderedPageBreak/>
        <w:t>(CIPD, 2023</w:t>
      </w:r>
      <w:r w:rsidR="009E620B">
        <w:rPr>
          <w:rFonts w:ascii="Trebuchet MS" w:hAnsi="Trebuchet MS"/>
          <w:color w:val="000000"/>
        </w:rPr>
        <w:t>a</w:t>
      </w:r>
      <w:r>
        <w:rPr>
          <w:rFonts w:ascii="Trebuchet MS" w:hAnsi="Trebuchet MS"/>
          <w:color w:val="000000"/>
        </w:rPr>
        <w:t>). Flexible working is likely to improve staff wellbeing and work-life balance</w:t>
      </w:r>
      <w:r w:rsidR="00E83C2B">
        <w:rPr>
          <w:rFonts w:ascii="Trebuchet MS" w:hAnsi="Trebuchet MS"/>
          <w:color w:val="000000"/>
        </w:rPr>
        <w:t>, as well as developing a culture of trust.</w:t>
      </w:r>
      <w:r w:rsidR="00086623">
        <w:rPr>
          <w:rFonts w:ascii="Trebuchet MS" w:hAnsi="Trebuchet MS"/>
          <w:color w:val="000000"/>
        </w:rPr>
        <w:t xml:space="preserve"> Furthermore, some organisations may apply peer recognition, where employees are encouraged to recognise and acknowledge the work of their colleagues. This method can further strengthen relationships between staff, which is likely to result in better performance as a result of more collaborative teamwork and a solid culture (CIPD, 2022</w:t>
      </w:r>
      <w:r w:rsidR="002640B0">
        <w:rPr>
          <w:rFonts w:ascii="Trebuchet MS" w:hAnsi="Trebuchet MS"/>
          <w:color w:val="000000"/>
        </w:rPr>
        <w:t>a</w:t>
      </w:r>
      <w:r w:rsidR="00086623">
        <w:rPr>
          <w:rFonts w:ascii="Trebuchet MS" w:hAnsi="Trebuchet MS"/>
          <w:color w:val="000000"/>
        </w:rPr>
        <w:t>).</w:t>
      </w:r>
    </w:p>
    <w:p w14:paraId="364C4CFC" w14:textId="77777777" w:rsidR="00214C97" w:rsidRDefault="00214C97" w:rsidP="00476015">
      <w:pPr>
        <w:rPr>
          <w:rFonts w:ascii="Trebuchet MS" w:hAnsi="Trebuchet MS"/>
          <w:color w:val="000000"/>
        </w:rPr>
      </w:pPr>
    </w:p>
    <w:p w14:paraId="2774B7CC" w14:textId="52E493DA" w:rsidR="00214C97" w:rsidRPr="00084AEE" w:rsidRDefault="00214C97" w:rsidP="00476015">
      <w:pPr>
        <w:rPr>
          <w:rFonts w:ascii="Trebuchet MS" w:hAnsi="Trebuchet MS"/>
          <w:color w:val="000000"/>
        </w:rPr>
      </w:pPr>
      <w:r w:rsidRPr="00214C97">
        <w:rPr>
          <w:rFonts w:ascii="Trebuchet MS" w:hAnsi="Trebuchet MS"/>
          <w:color w:val="000000"/>
        </w:rPr>
        <w:t>While Eco-Insulate UK offers paid holidays and a pension scheme, expanding the benefits packag</w:t>
      </w:r>
      <w:r>
        <w:rPr>
          <w:rFonts w:ascii="Trebuchet MS" w:hAnsi="Trebuchet MS"/>
          <w:color w:val="000000"/>
        </w:rPr>
        <w:t xml:space="preserve">e for all staff </w:t>
      </w:r>
      <w:r w:rsidRPr="00214C97">
        <w:rPr>
          <w:rFonts w:ascii="Trebuchet MS" w:hAnsi="Trebuchet MS"/>
          <w:color w:val="000000"/>
        </w:rPr>
        <w:t xml:space="preserve">could improve wellbeing and reduce turnover. Tailored benefits like flexible working or enhanced sick pay would </w:t>
      </w:r>
      <w:r>
        <w:rPr>
          <w:rFonts w:ascii="Trebuchet MS" w:hAnsi="Trebuchet MS"/>
          <w:color w:val="000000"/>
        </w:rPr>
        <w:t>show they value their employees and hopefully have a positive impact on culture.</w:t>
      </w:r>
      <w:r w:rsidRPr="00214C97">
        <w:rPr>
          <w:rFonts w:ascii="Trebuchet MS" w:hAnsi="Trebuchet MS"/>
          <w:color w:val="000000"/>
        </w:rPr>
        <w:t xml:space="preserve"> </w:t>
      </w:r>
    </w:p>
    <w:p w14:paraId="6497B068" w14:textId="77777777" w:rsidR="00040B48" w:rsidRPr="00EE17E2" w:rsidRDefault="00040B48" w:rsidP="00EE17E2">
      <w:pPr>
        <w:rPr>
          <w:rFonts w:ascii="Trebuchet MS" w:hAnsi="Trebuchet MS"/>
          <w:color w:val="000000"/>
        </w:rPr>
      </w:pPr>
    </w:p>
    <w:p w14:paraId="4A9E5CAA" w14:textId="77777777" w:rsidR="00B14151" w:rsidRDefault="00B14151" w:rsidP="00CB3B7E">
      <w:pPr>
        <w:pStyle w:val="Nornal"/>
        <w:numPr>
          <w:ilvl w:val="0"/>
          <w:numId w:val="2"/>
        </w:numPr>
        <w:spacing w:after="0" w:line="240" w:lineRule="auto"/>
        <w:rPr>
          <w:rFonts w:ascii="Trebuchet MS" w:hAnsi="Trebuchet MS"/>
          <w:color w:val="000000"/>
        </w:rPr>
      </w:pPr>
      <w:r w:rsidRPr="00E446B9">
        <w:rPr>
          <w:rFonts w:ascii="Trebuchet MS" w:hAnsi="Trebuchet MS"/>
          <w:color w:val="000000"/>
        </w:rPr>
        <w:t>Explain the merits of different types of recognition schemes offered by organisations. (AC 2.4)</w:t>
      </w:r>
    </w:p>
    <w:p w14:paraId="305EE9D3" w14:textId="77777777" w:rsidR="007D68B0" w:rsidRDefault="007D68B0" w:rsidP="007D68B0">
      <w:pPr>
        <w:pStyle w:val="Nornal"/>
        <w:spacing w:after="0" w:line="240" w:lineRule="auto"/>
        <w:rPr>
          <w:rFonts w:ascii="Trebuchet MS" w:hAnsi="Trebuchet MS"/>
          <w:color w:val="000000"/>
        </w:rPr>
      </w:pPr>
    </w:p>
    <w:p w14:paraId="62F691A9" w14:textId="232EB21E" w:rsidR="007D68B0" w:rsidRDefault="0086697C" w:rsidP="007D68B0">
      <w:pPr>
        <w:pStyle w:val="Nornal"/>
        <w:spacing w:after="0" w:line="240" w:lineRule="auto"/>
        <w:rPr>
          <w:rFonts w:ascii="Trebuchet MS" w:hAnsi="Trebuchet MS"/>
          <w:color w:val="000000"/>
        </w:rPr>
      </w:pPr>
      <w:r>
        <w:rPr>
          <w:rFonts w:ascii="Trebuchet MS" w:hAnsi="Trebuchet MS"/>
          <w:color w:val="000000"/>
        </w:rPr>
        <w:t>Recognition schemes refer to strategies implemented by employers with the aim of showing gratitude and appreciation for the work staff do. They can be categorised as financial or non-financial and form or informal.</w:t>
      </w:r>
    </w:p>
    <w:p w14:paraId="66051318" w14:textId="77777777" w:rsidR="0086697C" w:rsidRDefault="0086697C" w:rsidP="007D68B0">
      <w:pPr>
        <w:pStyle w:val="Nornal"/>
        <w:spacing w:after="0" w:line="240" w:lineRule="auto"/>
        <w:rPr>
          <w:rFonts w:ascii="Trebuchet MS" w:hAnsi="Trebuchet MS"/>
          <w:color w:val="000000"/>
        </w:rPr>
      </w:pPr>
    </w:p>
    <w:p w14:paraId="6BBC1E8F" w14:textId="4EB65535" w:rsidR="0086697C" w:rsidRDefault="0086697C" w:rsidP="007D68B0">
      <w:pPr>
        <w:pStyle w:val="Nornal"/>
        <w:spacing w:after="0" w:line="240" w:lineRule="auto"/>
        <w:rPr>
          <w:rFonts w:ascii="Trebuchet MS" w:hAnsi="Trebuchet MS"/>
          <w:color w:val="000000"/>
        </w:rPr>
      </w:pPr>
      <w:r>
        <w:rPr>
          <w:rFonts w:ascii="Trebuchet MS" w:hAnsi="Trebuchet MS"/>
          <w:color w:val="000000"/>
        </w:rPr>
        <w:t>Examples of formal financial recognition schemes include strategically planned approaches such as bonuses (often based on performance) or awards for long service. They are often</w:t>
      </w:r>
      <w:r w:rsidR="00DD3DC7">
        <w:rPr>
          <w:rFonts w:ascii="Trebuchet MS" w:hAnsi="Trebuchet MS"/>
          <w:color w:val="000000"/>
        </w:rPr>
        <w:t xml:space="preserve"> </w:t>
      </w:r>
      <w:r>
        <w:rPr>
          <w:rFonts w:ascii="Trebuchet MS" w:hAnsi="Trebuchet MS"/>
          <w:color w:val="000000"/>
        </w:rPr>
        <w:t>implemented with the aim of motivating staff, resulting in better performance (People Management, 2023). Financial recognition has been found to double the</w:t>
      </w:r>
      <w:r w:rsidR="00FE79E5">
        <w:rPr>
          <w:rFonts w:ascii="Trebuchet MS" w:hAnsi="Trebuchet MS"/>
          <w:color w:val="000000"/>
        </w:rPr>
        <w:t xml:space="preserve"> rate of performance improvement in some workplaces (</w:t>
      </w:r>
      <w:proofErr w:type="spellStart"/>
      <w:r w:rsidR="00FE79E5">
        <w:rPr>
          <w:rFonts w:ascii="Trebuchet MS" w:hAnsi="Trebuchet MS"/>
          <w:color w:val="000000"/>
        </w:rPr>
        <w:t>Condly</w:t>
      </w:r>
      <w:proofErr w:type="spellEnd"/>
      <w:r w:rsidR="00FE79E5">
        <w:rPr>
          <w:rFonts w:ascii="Trebuchet MS" w:hAnsi="Trebuchet MS"/>
          <w:color w:val="000000"/>
        </w:rPr>
        <w:t xml:space="preserve">, Clark and </w:t>
      </w:r>
      <w:proofErr w:type="spellStart"/>
      <w:r w:rsidR="00FE79E5">
        <w:rPr>
          <w:rFonts w:ascii="Trebuchet MS" w:hAnsi="Trebuchet MS"/>
          <w:color w:val="000000"/>
        </w:rPr>
        <w:t>Stolovitch</w:t>
      </w:r>
      <w:proofErr w:type="spellEnd"/>
      <w:r w:rsidR="00FE79E5">
        <w:rPr>
          <w:rFonts w:ascii="Trebuchet MS" w:hAnsi="Trebuchet MS"/>
          <w:color w:val="000000"/>
        </w:rPr>
        <w:t>, 2003).</w:t>
      </w:r>
      <w:r w:rsidR="000F2B17">
        <w:rPr>
          <w:rFonts w:ascii="Trebuchet MS" w:hAnsi="Trebuchet MS"/>
          <w:color w:val="000000"/>
        </w:rPr>
        <w:t xml:space="preserve"> However, for recognition schemes like this to have such a positive impact, they must be planned with clarity so that employees have a good understanding of what is required of them to achieve recognition (CIPD, 2022</w:t>
      </w:r>
      <w:r w:rsidR="002640B0">
        <w:rPr>
          <w:rFonts w:ascii="Trebuchet MS" w:hAnsi="Trebuchet MS"/>
          <w:color w:val="000000"/>
        </w:rPr>
        <w:t>a</w:t>
      </w:r>
      <w:r w:rsidR="000F2B17">
        <w:rPr>
          <w:rFonts w:ascii="Trebuchet MS" w:hAnsi="Trebuchet MS"/>
          <w:color w:val="000000"/>
        </w:rPr>
        <w:t>). It’s important that any financial recognition is rewarded as a result of performance and achievement, rather than simply for the completion of mandatory tasks (</w:t>
      </w:r>
      <w:proofErr w:type="spellStart"/>
      <w:r w:rsidR="000F2B17">
        <w:rPr>
          <w:rFonts w:ascii="Trebuchet MS" w:hAnsi="Trebuchet MS"/>
          <w:color w:val="000000"/>
        </w:rPr>
        <w:t>Condly</w:t>
      </w:r>
      <w:proofErr w:type="spellEnd"/>
      <w:r w:rsidR="000F2B17">
        <w:rPr>
          <w:rFonts w:ascii="Trebuchet MS" w:hAnsi="Trebuchet MS"/>
          <w:color w:val="000000"/>
        </w:rPr>
        <w:t xml:space="preserve">, Clark and </w:t>
      </w:r>
      <w:proofErr w:type="spellStart"/>
      <w:r w:rsidR="000F2B17">
        <w:rPr>
          <w:rFonts w:ascii="Trebuchet MS" w:hAnsi="Trebuchet MS"/>
          <w:color w:val="000000"/>
        </w:rPr>
        <w:t>Stolovitch</w:t>
      </w:r>
      <w:proofErr w:type="spellEnd"/>
      <w:r w:rsidR="000F2B17">
        <w:rPr>
          <w:rFonts w:ascii="Trebuchet MS" w:hAnsi="Trebuchet MS"/>
          <w:color w:val="000000"/>
        </w:rPr>
        <w:t>, 2003).</w:t>
      </w:r>
    </w:p>
    <w:p w14:paraId="6E721DDC" w14:textId="77777777" w:rsidR="00053754" w:rsidRDefault="00053754" w:rsidP="007D68B0">
      <w:pPr>
        <w:pStyle w:val="Nornal"/>
        <w:spacing w:after="0" w:line="240" w:lineRule="auto"/>
        <w:rPr>
          <w:rFonts w:ascii="Trebuchet MS" w:hAnsi="Trebuchet MS"/>
          <w:color w:val="000000"/>
        </w:rPr>
      </w:pPr>
    </w:p>
    <w:p w14:paraId="66F5819D" w14:textId="320C1DC2" w:rsidR="00053754" w:rsidRDefault="00053754" w:rsidP="007D68B0">
      <w:pPr>
        <w:pStyle w:val="Nornal"/>
        <w:spacing w:after="0" w:line="240" w:lineRule="auto"/>
        <w:rPr>
          <w:rFonts w:ascii="Trebuchet MS" w:hAnsi="Trebuchet MS"/>
          <w:color w:val="000000"/>
        </w:rPr>
      </w:pPr>
      <w:r>
        <w:rPr>
          <w:rFonts w:ascii="Trebuchet MS" w:hAnsi="Trebuchet MS"/>
          <w:color w:val="000000"/>
        </w:rPr>
        <w:t>Non-financial recognition schemes can have just as much, if not more, of an impact on motivation, particularly in terms of longer term results (CIPD, 2022</w:t>
      </w:r>
      <w:r w:rsidR="002640B0">
        <w:rPr>
          <w:rFonts w:ascii="Trebuchet MS" w:hAnsi="Trebuchet MS"/>
          <w:color w:val="000000"/>
        </w:rPr>
        <w:t>a</w:t>
      </w:r>
      <w:r>
        <w:rPr>
          <w:rFonts w:ascii="Trebuchet MS" w:hAnsi="Trebuchet MS"/>
          <w:color w:val="000000"/>
        </w:rPr>
        <w:t>).</w:t>
      </w:r>
      <w:r w:rsidR="008E06CA">
        <w:rPr>
          <w:rFonts w:ascii="Trebuchet MS" w:hAnsi="Trebuchet MS"/>
          <w:color w:val="000000"/>
        </w:rPr>
        <w:t xml:space="preserve"> They arguably refer to the more personal staff recognition, such as day-to-day recognition from management, for example through verbal appreciation. </w:t>
      </w:r>
      <w:r w:rsidR="00086623">
        <w:rPr>
          <w:rFonts w:ascii="Trebuchet MS" w:hAnsi="Trebuchet MS"/>
          <w:color w:val="000000"/>
        </w:rPr>
        <w:t>Another non-financial form of recognition could be more a more public method, such as an employee of the month scheme. These forms of recognition can have an extremely positive impact on organisational culture, arguably more so than the financial methods (CIPD, 2022</w:t>
      </w:r>
      <w:r w:rsidR="002640B0">
        <w:rPr>
          <w:rFonts w:ascii="Trebuchet MS" w:hAnsi="Trebuchet MS"/>
          <w:color w:val="000000"/>
        </w:rPr>
        <w:t>a</w:t>
      </w:r>
      <w:r w:rsidR="00086623">
        <w:rPr>
          <w:rFonts w:ascii="Trebuchet MS" w:hAnsi="Trebuchet MS"/>
          <w:color w:val="000000"/>
        </w:rPr>
        <w:t xml:space="preserve">). Staff are likely to feel more valued as individuals and motivated to do well in their role for the organisation and </w:t>
      </w:r>
      <w:proofErr w:type="spellStart"/>
      <w:r w:rsidR="00086623">
        <w:rPr>
          <w:rFonts w:ascii="Trebuchet MS" w:hAnsi="Trebuchet MS"/>
          <w:color w:val="000000"/>
        </w:rPr>
        <w:t>it’s</w:t>
      </w:r>
      <w:proofErr w:type="spellEnd"/>
      <w:r w:rsidR="00086623">
        <w:rPr>
          <w:rFonts w:ascii="Trebuchet MS" w:hAnsi="Trebuchet MS"/>
          <w:color w:val="000000"/>
        </w:rPr>
        <w:t xml:space="preserve"> purpose, as opposed to sonly for financial reasons</w:t>
      </w:r>
      <w:r w:rsidR="001C0475">
        <w:rPr>
          <w:rFonts w:ascii="Trebuchet MS" w:hAnsi="Trebuchet MS"/>
          <w:color w:val="000000"/>
        </w:rPr>
        <w:t xml:space="preserve"> </w:t>
      </w:r>
      <w:r w:rsidR="00086623">
        <w:rPr>
          <w:rFonts w:ascii="Trebuchet MS" w:hAnsi="Trebuchet MS"/>
          <w:color w:val="000000"/>
        </w:rPr>
        <w:t>(People Management, 2023).</w:t>
      </w:r>
    </w:p>
    <w:p w14:paraId="28A56368" w14:textId="77777777" w:rsidR="00200240" w:rsidRDefault="00200240" w:rsidP="007D68B0">
      <w:pPr>
        <w:pStyle w:val="Nornal"/>
        <w:spacing w:after="0" w:line="240" w:lineRule="auto"/>
        <w:rPr>
          <w:rFonts w:ascii="Trebuchet MS" w:hAnsi="Trebuchet MS"/>
          <w:color w:val="000000"/>
        </w:rPr>
      </w:pPr>
    </w:p>
    <w:p w14:paraId="090DCB2D" w14:textId="62CC19DD" w:rsidR="00200240" w:rsidRDefault="00200240" w:rsidP="007D68B0">
      <w:pPr>
        <w:pStyle w:val="Nornal"/>
        <w:spacing w:after="0" w:line="240" w:lineRule="auto"/>
        <w:rPr>
          <w:rFonts w:ascii="Trebuchet MS" w:hAnsi="Trebuchet MS"/>
          <w:color w:val="000000"/>
        </w:rPr>
      </w:pPr>
      <w:r>
        <w:rPr>
          <w:rFonts w:ascii="Trebuchet MS" w:hAnsi="Trebuchet MS"/>
          <w:color w:val="000000"/>
        </w:rPr>
        <w:t>Eco-Insulate UK currently have no recognition schemes in place, which is likely to be negatively impacting culture and morale within the organisation. Introducing a recognition scheme (financial or non-financial) could help staff feel more valued and appreciated. This may support non-skilled employees to feel less overlooked. Furthermore, more informal methods of recognition, such as verbal feedback, could still have a significant impact.</w:t>
      </w:r>
    </w:p>
    <w:p w14:paraId="124093B1" w14:textId="77777777" w:rsidR="007D68B0" w:rsidRPr="00E446B9" w:rsidRDefault="007D68B0" w:rsidP="007D68B0">
      <w:pPr>
        <w:pStyle w:val="Nornal"/>
        <w:spacing w:after="0" w:line="240" w:lineRule="auto"/>
        <w:rPr>
          <w:rFonts w:ascii="Trebuchet MS" w:hAnsi="Trebuchet MS"/>
          <w:color w:val="000000"/>
        </w:rPr>
      </w:pPr>
    </w:p>
    <w:p w14:paraId="4AB2D8A0" w14:textId="77777777" w:rsidR="00B14151" w:rsidRDefault="00B14151" w:rsidP="00CB3B7E">
      <w:pPr>
        <w:pStyle w:val="Nornal"/>
        <w:numPr>
          <w:ilvl w:val="0"/>
          <w:numId w:val="2"/>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Pr>
          <w:rFonts w:ascii="Trebuchet MS" w:hAnsi="Trebuchet MS"/>
          <w:color w:val="000000" w:themeColor="text1"/>
        </w:rPr>
        <w:t xml:space="preserve">AC </w:t>
      </w:r>
      <w:r w:rsidRPr="00E446B9">
        <w:rPr>
          <w:rFonts w:ascii="Trebuchet MS" w:hAnsi="Trebuchet MS"/>
          <w:color w:val="000000" w:themeColor="text1"/>
        </w:rPr>
        <w:t>3.1)</w:t>
      </w:r>
    </w:p>
    <w:p w14:paraId="215FD641" w14:textId="77777777" w:rsidR="006E0B2D" w:rsidRDefault="006E0B2D" w:rsidP="006E0B2D">
      <w:pPr>
        <w:pStyle w:val="Nornal"/>
        <w:spacing w:after="0" w:line="240" w:lineRule="auto"/>
        <w:rPr>
          <w:rFonts w:ascii="Trebuchet MS" w:hAnsi="Trebuchet MS"/>
          <w:color w:val="000000" w:themeColor="text1"/>
        </w:rPr>
      </w:pPr>
    </w:p>
    <w:p w14:paraId="68AA1AF6" w14:textId="06517415" w:rsidR="006E0B2D" w:rsidRDefault="006E0B2D" w:rsidP="006E0B2D">
      <w:pPr>
        <w:pStyle w:val="Nornal"/>
        <w:spacing w:after="0" w:line="240" w:lineRule="auto"/>
        <w:rPr>
          <w:rFonts w:ascii="Trebuchet MS" w:hAnsi="Trebuchet MS"/>
          <w:color w:val="000000" w:themeColor="text1"/>
        </w:rPr>
      </w:pPr>
      <w:r>
        <w:rPr>
          <w:rFonts w:ascii="Trebuchet MS" w:hAnsi="Trebuchet MS"/>
          <w:color w:val="000000" w:themeColor="text1"/>
        </w:rPr>
        <w:t xml:space="preserve">Business context of the reward environment refers to </w:t>
      </w:r>
      <w:r w:rsidR="00786F97">
        <w:rPr>
          <w:rFonts w:ascii="Trebuchet MS" w:hAnsi="Trebuchet MS"/>
          <w:color w:val="000000" w:themeColor="text1"/>
        </w:rPr>
        <w:t xml:space="preserve">the internal and external factors </w:t>
      </w:r>
      <w:r w:rsidR="0006052B">
        <w:rPr>
          <w:rFonts w:ascii="Trebuchet MS" w:hAnsi="Trebuchet MS"/>
          <w:color w:val="000000" w:themeColor="text1"/>
        </w:rPr>
        <w:t xml:space="preserve">that may impact an organisation’s decisions based on the rewards they offer to employees. </w:t>
      </w:r>
    </w:p>
    <w:p w14:paraId="6EEB831E" w14:textId="77777777" w:rsidR="0006052B" w:rsidRDefault="0006052B" w:rsidP="006E0B2D">
      <w:pPr>
        <w:pStyle w:val="Nornal"/>
        <w:spacing w:after="0" w:line="240" w:lineRule="auto"/>
        <w:rPr>
          <w:rFonts w:ascii="Trebuchet MS" w:hAnsi="Trebuchet MS"/>
          <w:color w:val="000000" w:themeColor="text1"/>
        </w:rPr>
      </w:pPr>
    </w:p>
    <w:p w14:paraId="38466A7A" w14:textId="75ED5F4B" w:rsidR="0006052B" w:rsidRDefault="0006052B" w:rsidP="006E0B2D">
      <w:pPr>
        <w:pStyle w:val="Nornal"/>
        <w:spacing w:after="0" w:line="240" w:lineRule="auto"/>
        <w:rPr>
          <w:rFonts w:ascii="Trebuchet MS" w:hAnsi="Trebuchet MS"/>
          <w:color w:val="000000" w:themeColor="text1"/>
        </w:rPr>
      </w:pPr>
      <w:r>
        <w:rPr>
          <w:rFonts w:ascii="Trebuchet MS" w:hAnsi="Trebuchet MS"/>
          <w:color w:val="000000" w:themeColor="text1"/>
        </w:rPr>
        <w:lastRenderedPageBreak/>
        <w:t>One external factor is industry trends</w:t>
      </w:r>
      <w:r w:rsidR="00A81A72">
        <w:rPr>
          <w:rFonts w:ascii="Trebuchet MS" w:hAnsi="Trebuchet MS"/>
          <w:color w:val="000000" w:themeColor="text1"/>
        </w:rPr>
        <w:t xml:space="preserve"> and how developments within the field may impact the rewards that an organisation offers to </w:t>
      </w:r>
      <w:proofErr w:type="spellStart"/>
      <w:r w:rsidR="00A81A72">
        <w:rPr>
          <w:rFonts w:ascii="Trebuchet MS" w:hAnsi="Trebuchet MS"/>
          <w:color w:val="000000" w:themeColor="text1"/>
        </w:rPr>
        <w:t>it’s</w:t>
      </w:r>
      <w:proofErr w:type="spellEnd"/>
      <w:r w:rsidR="00A81A72">
        <w:rPr>
          <w:rFonts w:ascii="Trebuchet MS" w:hAnsi="Trebuchet MS"/>
          <w:color w:val="000000" w:themeColor="text1"/>
        </w:rPr>
        <w:t xml:space="preserve"> employees. </w:t>
      </w:r>
      <w:r w:rsidR="00A978DA">
        <w:rPr>
          <w:rFonts w:ascii="Trebuchet MS" w:hAnsi="Trebuchet MS"/>
          <w:color w:val="000000" w:themeColor="text1"/>
        </w:rPr>
        <w:t xml:space="preserve"> For example, since the Covid-19 pandemic, many individuals have seen the benefits of home working, and are therefore now more likely to request a hybrid or remote working set up or only apply to roles that accommodate this (</w:t>
      </w:r>
      <w:proofErr w:type="spellStart"/>
      <w:r w:rsidR="00A978DA">
        <w:rPr>
          <w:rFonts w:ascii="Trebuchet MS" w:hAnsi="Trebuchet MS"/>
          <w:color w:val="000000" w:themeColor="text1"/>
        </w:rPr>
        <w:t>Birimogly</w:t>
      </w:r>
      <w:proofErr w:type="spellEnd"/>
      <w:r w:rsidR="00A978DA">
        <w:rPr>
          <w:rFonts w:ascii="Trebuchet MS" w:hAnsi="Trebuchet MS"/>
          <w:color w:val="000000" w:themeColor="text1"/>
        </w:rPr>
        <w:t xml:space="preserve"> </w:t>
      </w:r>
      <w:proofErr w:type="spellStart"/>
      <w:r w:rsidR="00A978DA">
        <w:rPr>
          <w:rFonts w:ascii="Trebuchet MS" w:hAnsi="Trebuchet MS"/>
          <w:color w:val="000000" w:themeColor="text1"/>
        </w:rPr>
        <w:t>Okuyan</w:t>
      </w:r>
      <w:proofErr w:type="spellEnd"/>
      <w:r w:rsidR="00A978DA">
        <w:rPr>
          <w:rFonts w:ascii="Trebuchet MS" w:hAnsi="Trebuchet MS"/>
          <w:color w:val="000000" w:themeColor="text1"/>
        </w:rPr>
        <w:t xml:space="preserve"> and Begen, 2022). This is likely due to the shift in individual attitude towards the importance of work-life balance (CIPD, 2023</w:t>
      </w:r>
      <w:r w:rsidR="009E620B">
        <w:rPr>
          <w:rFonts w:ascii="Trebuchet MS" w:hAnsi="Trebuchet MS"/>
          <w:color w:val="000000" w:themeColor="text1"/>
        </w:rPr>
        <w:t>a</w:t>
      </w:r>
      <w:r w:rsidR="00A978DA">
        <w:rPr>
          <w:rFonts w:ascii="Trebuchet MS" w:hAnsi="Trebuchet MS"/>
          <w:color w:val="000000" w:themeColor="text1"/>
        </w:rPr>
        <w:t>). As a result, employers are now far more likely to be exploring the possibility of offering more flexible benefits, such as allowances for employees to spend a percentage of their time working from home, as well as other rewards focussing on work-life balance, such as dedicated wellbeing time</w:t>
      </w:r>
      <w:r w:rsidR="005364E5">
        <w:rPr>
          <w:rFonts w:ascii="Trebuchet MS" w:hAnsi="Trebuchet MS"/>
          <w:color w:val="000000" w:themeColor="text1"/>
        </w:rPr>
        <w:t xml:space="preserve"> (Bello </w:t>
      </w:r>
      <w:r w:rsidR="005364E5">
        <w:rPr>
          <w:rFonts w:ascii="Trebuchet MS" w:hAnsi="Trebuchet MS"/>
          <w:i/>
          <w:iCs/>
          <w:color w:val="000000" w:themeColor="text1"/>
        </w:rPr>
        <w:t>et al</w:t>
      </w:r>
      <w:r w:rsidR="005364E5">
        <w:rPr>
          <w:rFonts w:ascii="Trebuchet MS" w:hAnsi="Trebuchet MS"/>
          <w:color w:val="000000" w:themeColor="text1"/>
        </w:rPr>
        <w:t>., 2024)</w:t>
      </w:r>
      <w:r w:rsidR="00A978DA">
        <w:rPr>
          <w:rFonts w:ascii="Trebuchet MS" w:hAnsi="Trebuchet MS"/>
          <w:color w:val="000000" w:themeColor="text1"/>
        </w:rPr>
        <w:t>.</w:t>
      </w:r>
    </w:p>
    <w:p w14:paraId="35DEFED8" w14:textId="77777777" w:rsidR="005364E5" w:rsidRDefault="005364E5" w:rsidP="006E0B2D">
      <w:pPr>
        <w:pStyle w:val="Nornal"/>
        <w:spacing w:after="0" w:line="240" w:lineRule="auto"/>
        <w:rPr>
          <w:rFonts w:ascii="Trebuchet MS" w:hAnsi="Trebuchet MS"/>
          <w:color w:val="000000" w:themeColor="text1"/>
        </w:rPr>
      </w:pPr>
    </w:p>
    <w:p w14:paraId="1DED8B58" w14:textId="156F4197" w:rsidR="005364E5" w:rsidRDefault="005364E5" w:rsidP="006E0B2D">
      <w:pPr>
        <w:pStyle w:val="Nornal"/>
        <w:spacing w:after="0" w:line="240" w:lineRule="auto"/>
        <w:rPr>
          <w:rFonts w:ascii="Trebuchet MS" w:hAnsi="Trebuchet MS"/>
          <w:color w:val="000000" w:themeColor="text1"/>
        </w:rPr>
      </w:pPr>
      <w:r>
        <w:rPr>
          <w:rFonts w:ascii="Trebuchet MS" w:hAnsi="Trebuchet MS"/>
          <w:color w:val="000000" w:themeColor="text1"/>
        </w:rPr>
        <w:t xml:space="preserve">Another impactful external factor in terms of reward is regional differences and particularly how location may impact pay. </w:t>
      </w:r>
      <w:r w:rsidR="00327376">
        <w:rPr>
          <w:rFonts w:ascii="Trebuchet MS" w:hAnsi="Trebuchet MS"/>
          <w:color w:val="000000" w:themeColor="text1"/>
        </w:rPr>
        <w:t>For example, organisations working nationally may need to pay staff living and working in London a higher salary than those working elsewhere, to accommodate for the higher cost of living in this area (Hirsch, 2016). This is known as London weighting. Implementing this allows for organisations to attract and retain staff in London (People Management, 2023)</w:t>
      </w:r>
      <w:r w:rsidR="002C14A1">
        <w:rPr>
          <w:rFonts w:ascii="Trebuchet MS" w:hAnsi="Trebuchet MS"/>
          <w:color w:val="000000" w:themeColor="text1"/>
        </w:rPr>
        <w:t>. However, for London-only organisations that offer remote roles, this weighting could be taken advantage of by candidates/employees who do not live in London but are able to work for the organisations remotely, therefore utilising the London weighting without living there. Some organisations do implement policies to avoid this, ensuring that only those who live in London are eligible for the additional allowances (UK Parliament, 2023).</w:t>
      </w:r>
    </w:p>
    <w:p w14:paraId="2E9D55E2" w14:textId="77777777" w:rsidR="002C14A1" w:rsidRDefault="002C14A1" w:rsidP="006E0B2D">
      <w:pPr>
        <w:pStyle w:val="Nornal"/>
        <w:spacing w:after="0" w:line="240" w:lineRule="auto"/>
        <w:rPr>
          <w:rFonts w:ascii="Trebuchet MS" w:hAnsi="Trebuchet MS"/>
          <w:color w:val="000000" w:themeColor="text1"/>
        </w:rPr>
      </w:pPr>
    </w:p>
    <w:p w14:paraId="124F38C2" w14:textId="15506369" w:rsidR="002C14A1" w:rsidRDefault="002C14A1" w:rsidP="006E0B2D">
      <w:pPr>
        <w:pStyle w:val="Nornal"/>
        <w:spacing w:after="0" w:line="240" w:lineRule="auto"/>
        <w:rPr>
          <w:rFonts w:ascii="Trebuchet MS" w:hAnsi="Trebuchet MS"/>
          <w:color w:val="000000" w:themeColor="text1"/>
        </w:rPr>
      </w:pPr>
      <w:r>
        <w:rPr>
          <w:rFonts w:ascii="Trebuchet MS" w:hAnsi="Trebuchet MS"/>
          <w:color w:val="000000" w:themeColor="text1"/>
        </w:rPr>
        <w:t xml:space="preserve">Internally, there are also factors that impact the rewards offered by a business. For example, an organisation’s financial position is likely to contribute to what they can provide. For example, larger organisations with higher profits are likely to be able to offer their employees with more generous financial benefits than smaller, </w:t>
      </w:r>
      <w:r w:rsidR="006E718A">
        <w:rPr>
          <w:rFonts w:ascii="Trebuchet MS" w:hAnsi="Trebuchet MS"/>
          <w:color w:val="000000" w:themeColor="text1"/>
        </w:rPr>
        <w:t>start-up</w:t>
      </w:r>
      <w:r>
        <w:rPr>
          <w:rFonts w:ascii="Trebuchet MS" w:hAnsi="Trebuchet MS"/>
          <w:color w:val="000000" w:themeColor="text1"/>
        </w:rPr>
        <w:t xml:space="preserve"> organisations – whether this is in terms of salary, bonuses or commission (</w:t>
      </w:r>
      <w:proofErr w:type="spellStart"/>
      <w:r>
        <w:rPr>
          <w:rFonts w:ascii="Trebuchet MS" w:hAnsi="Trebuchet MS"/>
          <w:color w:val="000000" w:themeColor="text1"/>
        </w:rPr>
        <w:t>Mdhlalose</w:t>
      </w:r>
      <w:proofErr w:type="spellEnd"/>
      <w:r>
        <w:rPr>
          <w:rFonts w:ascii="Trebuchet MS" w:hAnsi="Trebuchet MS"/>
          <w:color w:val="000000" w:themeColor="text1"/>
        </w:rPr>
        <w:t>, 2024).</w:t>
      </w:r>
      <w:r w:rsidR="006E718A">
        <w:rPr>
          <w:rFonts w:ascii="Trebuchet MS" w:hAnsi="Trebuchet MS"/>
          <w:color w:val="000000" w:themeColor="text1"/>
        </w:rPr>
        <w:t xml:space="preserve"> Charities, on the other hand, may be more constrained by funding and </w:t>
      </w:r>
      <w:r w:rsidR="00B2547B">
        <w:rPr>
          <w:rFonts w:ascii="Trebuchet MS" w:hAnsi="Trebuchet MS"/>
          <w:color w:val="000000" w:themeColor="text1"/>
        </w:rPr>
        <w:t>less able to offer generous salaries and other additional financial benefits. However, third sector employees are likely to experience more intrinsic rewards and job satisfaction, due to being part of a meaningful project (Reid and Martin, 2024).</w:t>
      </w:r>
    </w:p>
    <w:p w14:paraId="407ED97E" w14:textId="77777777" w:rsidR="00214C97" w:rsidRDefault="00214C97" w:rsidP="006E0B2D">
      <w:pPr>
        <w:pStyle w:val="Nornal"/>
        <w:spacing w:after="0" w:line="240" w:lineRule="auto"/>
        <w:rPr>
          <w:rFonts w:ascii="Trebuchet MS" w:hAnsi="Trebuchet MS"/>
          <w:color w:val="000000" w:themeColor="text1"/>
        </w:rPr>
      </w:pPr>
    </w:p>
    <w:p w14:paraId="5B2C74DD" w14:textId="753338D3" w:rsidR="00214C97" w:rsidRDefault="00214C97" w:rsidP="006E0B2D">
      <w:pPr>
        <w:pStyle w:val="Nornal"/>
        <w:spacing w:after="0" w:line="240" w:lineRule="auto"/>
        <w:rPr>
          <w:rFonts w:ascii="Trebuchet MS" w:hAnsi="Trebuchet MS"/>
          <w:color w:val="000000" w:themeColor="text1"/>
        </w:rPr>
      </w:pPr>
      <w:r w:rsidRPr="00214C97">
        <w:rPr>
          <w:rFonts w:ascii="Trebuchet MS" w:hAnsi="Trebuchet MS"/>
          <w:color w:val="000000" w:themeColor="text1"/>
        </w:rPr>
        <w:t xml:space="preserve">Eco-Insulate UK’s </w:t>
      </w:r>
      <w:r>
        <w:rPr>
          <w:rFonts w:ascii="Trebuchet MS" w:hAnsi="Trebuchet MS"/>
          <w:color w:val="000000" w:themeColor="text1"/>
        </w:rPr>
        <w:t>lack of generosity with reward may be considered outdated.</w:t>
      </w:r>
      <w:r w:rsidRPr="00214C97">
        <w:rPr>
          <w:rFonts w:ascii="Trebuchet MS" w:hAnsi="Trebuchet MS"/>
          <w:color w:val="000000" w:themeColor="text1"/>
        </w:rPr>
        <w:t xml:space="preserve"> Adapting to external trends like flexible working could help the company remain competitive and improve staff retention.</w:t>
      </w:r>
    </w:p>
    <w:p w14:paraId="4A2D61EB" w14:textId="77777777" w:rsidR="00B14151" w:rsidRPr="00E446B9" w:rsidRDefault="00B14151" w:rsidP="000620DE">
      <w:pPr>
        <w:pStyle w:val="Nornal"/>
        <w:spacing w:after="0" w:line="240" w:lineRule="auto"/>
        <w:rPr>
          <w:rFonts w:ascii="Trebuchet MS" w:hAnsi="Trebuchet MS"/>
          <w:color w:val="000000" w:themeColor="text1"/>
        </w:rPr>
      </w:pPr>
    </w:p>
    <w:p w14:paraId="4A124E82" w14:textId="4FC16668" w:rsidR="00B14151" w:rsidRDefault="00B14151" w:rsidP="00CB3B7E">
      <w:pPr>
        <w:pStyle w:val="Nornal"/>
        <w:numPr>
          <w:ilvl w:val="0"/>
          <w:numId w:val="2"/>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3B5ABEC6" w14:textId="77777777" w:rsidR="00B14151" w:rsidRDefault="00B14151" w:rsidP="00B14151">
      <w:pPr>
        <w:pStyle w:val="Nornal"/>
        <w:spacing w:after="0" w:line="240" w:lineRule="auto"/>
        <w:rPr>
          <w:rFonts w:ascii="Trebuchet MS" w:hAnsi="Trebuchet MS"/>
          <w:color w:val="000000" w:themeColor="text1"/>
        </w:rPr>
      </w:pPr>
    </w:p>
    <w:p w14:paraId="2C1C0B7A" w14:textId="24D89F7A" w:rsidR="004E17C2" w:rsidRDefault="004E17C2" w:rsidP="004E17C2">
      <w:pPr>
        <w:pStyle w:val="Nornal"/>
        <w:spacing w:after="0" w:line="240" w:lineRule="auto"/>
        <w:rPr>
          <w:rFonts w:ascii="Trebuchet MS" w:hAnsi="Trebuchet MS"/>
          <w:color w:val="000000" w:themeColor="text1"/>
        </w:rPr>
      </w:pPr>
      <w:r>
        <w:rPr>
          <w:rFonts w:ascii="Trebuchet MS" w:hAnsi="Trebuchet MS"/>
          <w:color w:val="000000" w:themeColor="text1"/>
        </w:rPr>
        <w:t xml:space="preserve">Benchmarking is a crucial way for organisations to continuously review and improve </w:t>
      </w:r>
      <w:r w:rsidRPr="00CB3B7E">
        <w:rPr>
          <w:rFonts w:ascii="Trebuchet MS" w:hAnsi="Trebuchet MS"/>
          <w:strike/>
          <w:color w:val="000000" w:themeColor="text1"/>
        </w:rPr>
        <w:t>their</w:t>
      </w:r>
      <w:r>
        <w:rPr>
          <w:rFonts w:ascii="Trebuchet MS" w:hAnsi="Trebuchet MS"/>
          <w:color w:val="000000" w:themeColor="text1"/>
        </w:rPr>
        <w:t xml:space="preserve"> practice (CIPD, 2025</w:t>
      </w:r>
      <w:r w:rsidR="006C21E7">
        <w:rPr>
          <w:rFonts w:ascii="Trebuchet MS" w:hAnsi="Trebuchet MS"/>
          <w:color w:val="000000" w:themeColor="text1"/>
        </w:rPr>
        <w:t>c</w:t>
      </w:r>
      <w:r>
        <w:rPr>
          <w:rFonts w:ascii="Trebuchet MS" w:hAnsi="Trebuchet MS"/>
          <w:color w:val="000000" w:themeColor="text1"/>
        </w:rPr>
        <w:t xml:space="preserve">). This involves collecting both internal and external data. Internal methods, such as KPIs and employee feedback (for example staff </w:t>
      </w:r>
      <w:r w:rsidRPr="000806D1">
        <w:rPr>
          <w:rFonts w:ascii="Trebuchet MS" w:hAnsi="Trebuchet MS"/>
          <w:strike/>
          <w:color w:val="000000" w:themeColor="text1"/>
        </w:rPr>
        <w:t>satisfaction</w:t>
      </w:r>
      <w:r>
        <w:rPr>
          <w:rFonts w:ascii="Trebuchet MS" w:hAnsi="Trebuchet MS"/>
          <w:color w:val="000000" w:themeColor="text1"/>
        </w:rPr>
        <w:t xml:space="preserve"> surveys or exit interviews) are vital </w:t>
      </w:r>
      <w:r w:rsidRPr="00CB3B7E">
        <w:rPr>
          <w:rFonts w:ascii="Trebuchet MS" w:hAnsi="Trebuchet MS"/>
          <w:strike/>
          <w:color w:val="000000" w:themeColor="text1"/>
        </w:rPr>
        <w:t>when benchmarking</w:t>
      </w:r>
      <w:r>
        <w:rPr>
          <w:rFonts w:ascii="Trebuchet MS" w:hAnsi="Trebuchet MS"/>
          <w:color w:val="000000" w:themeColor="text1"/>
        </w:rPr>
        <w:t xml:space="preserve">. KPIs (Key Performance Indicators) </w:t>
      </w:r>
      <w:r w:rsidRPr="00CB3B7E">
        <w:rPr>
          <w:rFonts w:ascii="Trebuchet MS" w:hAnsi="Trebuchet MS"/>
          <w:strike/>
          <w:color w:val="000000" w:themeColor="text1"/>
        </w:rPr>
        <w:t>are ways in which an employee’s performance can be measured</w:t>
      </w:r>
      <w:r w:rsidR="00CB3B7E">
        <w:rPr>
          <w:rFonts w:ascii="Trebuchet MS" w:hAnsi="Trebuchet MS"/>
          <w:color w:val="000000" w:themeColor="text1"/>
        </w:rPr>
        <w:t xml:space="preserve"> </w:t>
      </w:r>
      <w:r w:rsidR="00CB3B7E" w:rsidRPr="00CB3B7E">
        <w:rPr>
          <w:rFonts w:ascii="Trebuchet MS" w:hAnsi="Trebuchet MS"/>
          <w:color w:val="EE0000"/>
        </w:rPr>
        <w:t>measure employee performance</w:t>
      </w:r>
      <w:r>
        <w:rPr>
          <w:rFonts w:ascii="Trebuchet MS" w:hAnsi="Trebuchet MS"/>
          <w:color w:val="000000" w:themeColor="text1"/>
        </w:rPr>
        <w:t xml:space="preserve">, generally quantitively (Neely </w:t>
      </w:r>
      <w:r>
        <w:rPr>
          <w:rFonts w:ascii="Trebuchet MS" w:hAnsi="Trebuchet MS"/>
          <w:i/>
          <w:iCs/>
          <w:color w:val="000000" w:themeColor="text1"/>
        </w:rPr>
        <w:t>et al</w:t>
      </w:r>
      <w:r>
        <w:rPr>
          <w:rFonts w:ascii="Trebuchet MS" w:hAnsi="Trebuchet MS"/>
          <w:color w:val="000000" w:themeColor="text1"/>
        </w:rPr>
        <w:t>., 2002).</w:t>
      </w:r>
      <w:r w:rsidR="00AA2CD6">
        <w:rPr>
          <w:rFonts w:ascii="Trebuchet MS" w:hAnsi="Trebuchet MS"/>
          <w:color w:val="000000" w:themeColor="text1"/>
        </w:rPr>
        <w:t xml:space="preserve"> </w:t>
      </w:r>
      <w:r w:rsidR="00AA2CD6">
        <w:rPr>
          <w:rFonts w:ascii="Trebuchet MS" w:hAnsi="Trebuchet MS"/>
          <w:color w:val="EE0000"/>
        </w:rPr>
        <w:t>These methods are considered very valid as provide ongoing measurements and, when applied consistently, are highly reliable as they are a direct interpretation of what’s going on. For Eco-Insulate UK, exit interviews could be particularly insightful, as they would allow the organisation to identify what is impacting turnover.</w:t>
      </w:r>
    </w:p>
    <w:p w14:paraId="5FEA803F" w14:textId="77777777" w:rsidR="00AC1209" w:rsidRDefault="00AC1209" w:rsidP="004E17C2">
      <w:pPr>
        <w:pStyle w:val="Nornal"/>
        <w:spacing w:after="0" w:line="240" w:lineRule="auto"/>
        <w:rPr>
          <w:rFonts w:ascii="Trebuchet MS" w:hAnsi="Trebuchet MS"/>
          <w:color w:val="000000" w:themeColor="text1"/>
        </w:rPr>
      </w:pPr>
    </w:p>
    <w:p w14:paraId="3223C480" w14:textId="5C1683C0" w:rsidR="00AC1209" w:rsidRPr="000B2800" w:rsidRDefault="00AC1209" w:rsidP="004E17C2">
      <w:pPr>
        <w:pStyle w:val="Nornal"/>
        <w:spacing w:after="0" w:line="240" w:lineRule="auto"/>
        <w:rPr>
          <w:rFonts w:ascii="Trebuchet MS" w:hAnsi="Trebuchet MS"/>
          <w:color w:val="EE0000"/>
        </w:rPr>
      </w:pPr>
      <w:r>
        <w:rPr>
          <w:rFonts w:ascii="Trebuchet MS" w:hAnsi="Trebuchet MS"/>
          <w:color w:val="000000" w:themeColor="text1"/>
        </w:rPr>
        <w:t xml:space="preserve">External benchmarking methods can be just as useful, </w:t>
      </w:r>
      <w:r w:rsidRPr="00F62E4D">
        <w:rPr>
          <w:rFonts w:ascii="Trebuchet MS" w:hAnsi="Trebuchet MS"/>
          <w:strike/>
          <w:color w:val="000000" w:themeColor="text1"/>
        </w:rPr>
        <w:t>as they allow employers to undertake</w:t>
      </w:r>
      <w:r>
        <w:rPr>
          <w:rFonts w:ascii="Trebuchet MS" w:hAnsi="Trebuchet MS"/>
          <w:color w:val="000000" w:themeColor="text1"/>
        </w:rPr>
        <w:t xml:space="preserve"> </w:t>
      </w:r>
      <w:r w:rsidR="00F62E4D" w:rsidRPr="00F62E4D">
        <w:rPr>
          <w:rFonts w:ascii="Trebuchet MS" w:hAnsi="Trebuchet MS"/>
          <w:color w:val="EE0000"/>
        </w:rPr>
        <w:t xml:space="preserve">enabling </w:t>
      </w:r>
      <w:r>
        <w:rPr>
          <w:rFonts w:ascii="Trebuchet MS" w:hAnsi="Trebuchet MS"/>
          <w:color w:val="000000" w:themeColor="text1"/>
        </w:rPr>
        <w:t xml:space="preserve">competitor analysis and ensure they are in line with best practice within the field. External benchmarking is therefore vital </w:t>
      </w:r>
      <w:r w:rsidRPr="00F62E4D">
        <w:rPr>
          <w:rFonts w:ascii="Trebuchet MS" w:hAnsi="Trebuchet MS"/>
          <w:strike/>
          <w:color w:val="000000" w:themeColor="text1"/>
        </w:rPr>
        <w:t xml:space="preserve">as it goes further than only </w:t>
      </w:r>
      <w:r w:rsidRPr="00F62E4D">
        <w:rPr>
          <w:rFonts w:ascii="Trebuchet MS" w:hAnsi="Trebuchet MS"/>
          <w:strike/>
          <w:color w:val="000000" w:themeColor="text1"/>
        </w:rPr>
        <w:lastRenderedPageBreak/>
        <w:t xml:space="preserve">reviewing the performance of internal staff and instead helps organisations see the levels that their staff could and should be </w:t>
      </w:r>
      <w:r w:rsidRPr="00F62E4D">
        <w:rPr>
          <w:rFonts w:ascii="Trebuchet MS" w:hAnsi="Trebuchet MS"/>
          <w:strike/>
          <w:color w:val="EE0000"/>
        </w:rPr>
        <w:t xml:space="preserve">reaching </w:t>
      </w:r>
      <w:r w:rsidR="00F62E4D" w:rsidRPr="00F62E4D">
        <w:rPr>
          <w:rFonts w:ascii="Trebuchet MS" w:hAnsi="Trebuchet MS"/>
          <w:color w:val="EE0000"/>
        </w:rPr>
        <w:t xml:space="preserve"> since it goes beyond reviewing internal skills, showing potential staff performance </w:t>
      </w:r>
      <w:r>
        <w:rPr>
          <w:rFonts w:ascii="Trebuchet MS" w:hAnsi="Trebuchet MS"/>
          <w:color w:val="000000" w:themeColor="text1"/>
        </w:rPr>
        <w:t xml:space="preserve">(Camp, 1989). This can help employers </w:t>
      </w:r>
      <w:r w:rsidRPr="00F62E4D">
        <w:rPr>
          <w:rFonts w:ascii="Trebuchet MS" w:hAnsi="Trebuchet MS"/>
          <w:strike/>
          <w:color w:val="000000" w:themeColor="text1"/>
        </w:rPr>
        <w:t>to</w:t>
      </w:r>
      <w:r>
        <w:rPr>
          <w:rFonts w:ascii="Trebuchet MS" w:hAnsi="Trebuchet MS"/>
          <w:color w:val="000000" w:themeColor="text1"/>
        </w:rPr>
        <w:t xml:space="preserve"> identify skills gaps and implement any training </w:t>
      </w:r>
      <w:r w:rsidRPr="00F62E4D">
        <w:rPr>
          <w:rFonts w:ascii="Trebuchet MS" w:hAnsi="Trebuchet MS"/>
          <w:strike/>
          <w:color w:val="000000" w:themeColor="text1"/>
        </w:rPr>
        <w:t>that may aid staff, therefore increasing outcomes.</w:t>
      </w:r>
      <w:r w:rsidR="00F62E4D">
        <w:rPr>
          <w:rFonts w:ascii="Trebuchet MS" w:hAnsi="Trebuchet MS"/>
          <w:color w:val="EE0000"/>
        </w:rPr>
        <w:t xml:space="preserve"> to boost outcomes.</w:t>
      </w:r>
      <w:r w:rsidR="000B2800" w:rsidRPr="00F62E4D">
        <w:rPr>
          <w:rFonts w:ascii="Trebuchet MS" w:hAnsi="Trebuchet MS"/>
          <w:color w:val="EE0000"/>
        </w:rPr>
        <w:t xml:space="preserve"> </w:t>
      </w:r>
      <w:r w:rsidR="000B2800">
        <w:rPr>
          <w:rFonts w:ascii="Trebuchet MS" w:hAnsi="Trebuchet MS"/>
          <w:color w:val="EE0000"/>
        </w:rPr>
        <w:t>Industry data is generally considered reliable when using reputable sources. To ensure validity, Eco-Insulate UK should consider comparing with other medium-sized organisations in the UK who do similar work, to ensure a realistic comparison.</w:t>
      </w:r>
    </w:p>
    <w:p w14:paraId="209973BB" w14:textId="77777777" w:rsidR="00AE671F" w:rsidRDefault="00AE671F" w:rsidP="004E17C2">
      <w:pPr>
        <w:pStyle w:val="Nornal"/>
        <w:spacing w:after="0" w:line="240" w:lineRule="auto"/>
        <w:rPr>
          <w:rFonts w:ascii="Trebuchet MS" w:hAnsi="Trebuchet MS"/>
          <w:color w:val="000000" w:themeColor="text1"/>
        </w:rPr>
      </w:pPr>
    </w:p>
    <w:p w14:paraId="38941635" w14:textId="34C318B6" w:rsidR="00AE671F" w:rsidRPr="00AE671F" w:rsidRDefault="00AE671F" w:rsidP="004E17C2">
      <w:pPr>
        <w:pStyle w:val="Nornal"/>
        <w:spacing w:after="0" w:line="240" w:lineRule="auto"/>
        <w:rPr>
          <w:rFonts w:ascii="Trebuchet MS" w:hAnsi="Trebuchet MS"/>
          <w:color w:val="000000" w:themeColor="text1"/>
        </w:rPr>
      </w:pPr>
      <w:r>
        <w:rPr>
          <w:rFonts w:ascii="Trebuchet MS" w:hAnsi="Trebuchet MS"/>
          <w:color w:val="000000" w:themeColor="text1"/>
        </w:rPr>
        <w:t xml:space="preserve">When benchmarking, organisations may utilise quantitative data from published surveys, to identify trends in pay, engagement and motivation across sectors. Qualitative data may also be collected, </w:t>
      </w:r>
      <w:r w:rsidRPr="00F62E4D">
        <w:rPr>
          <w:rFonts w:ascii="Trebuchet MS" w:hAnsi="Trebuchet MS"/>
          <w:strike/>
          <w:color w:val="000000" w:themeColor="text1"/>
        </w:rPr>
        <w:t>for example from staff satisfaction surveys or employee focus groups, to provide logic and context behind numerical data</w:t>
      </w:r>
      <w:r>
        <w:rPr>
          <w:rFonts w:ascii="Trebuchet MS" w:hAnsi="Trebuchet MS"/>
          <w:color w:val="000000" w:themeColor="text1"/>
        </w:rPr>
        <w:t xml:space="preserve"> </w:t>
      </w:r>
      <w:r w:rsidR="00F62E4D" w:rsidRPr="00F62E4D">
        <w:rPr>
          <w:rFonts w:ascii="Trebuchet MS" w:hAnsi="Trebuchet MS"/>
          <w:color w:val="EE0000"/>
        </w:rPr>
        <w:t xml:space="preserve">such as surveys or focus groups, to add context to data </w:t>
      </w:r>
      <w:r>
        <w:rPr>
          <w:rFonts w:ascii="Trebuchet MS" w:hAnsi="Trebuchet MS"/>
          <w:color w:val="000000" w:themeColor="text1"/>
        </w:rPr>
        <w:t xml:space="preserve">(Patton, 2022; Saunders </w:t>
      </w:r>
      <w:r>
        <w:rPr>
          <w:rFonts w:ascii="Trebuchet MS" w:hAnsi="Trebuchet MS"/>
          <w:i/>
          <w:iCs/>
          <w:color w:val="000000" w:themeColor="text1"/>
        </w:rPr>
        <w:t>et al</w:t>
      </w:r>
      <w:r>
        <w:rPr>
          <w:rFonts w:ascii="Trebuchet MS" w:hAnsi="Trebuchet MS"/>
          <w:color w:val="000000" w:themeColor="text1"/>
        </w:rPr>
        <w:t>., 2019). For example, quantitative data may identify high turnover rates, whilst qualitative data collected through exit interviews may explain why turnover is high (potentially due to lack of progression or uncompetitive pay) (CIPD, 2025</w:t>
      </w:r>
      <w:r w:rsidR="006C21E7">
        <w:rPr>
          <w:rFonts w:ascii="Trebuchet MS" w:hAnsi="Trebuchet MS"/>
          <w:color w:val="000000" w:themeColor="text1"/>
        </w:rPr>
        <w:t>d</w:t>
      </w:r>
      <w:r>
        <w:rPr>
          <w:rFonts w:ascii="Trebuchet MS" w:hAnsi="Trebuchet MS"/>
          <w:color w:val="000000" w:themeColor="text1"/>
        </w:rPr>
        <w:t xml:space="preserve">; </w:t>
      </w:r>
      <w:proofErr w:type="spellStart"/>
      <w:r>
        <w:rPr>
          <w:rFonts w:ascii="Trebuchet MS" w:hAnsi="Trebuchet MS"/>
          <w:color w:val="000000" w:themeColor="text1"/>
        </w:rPr>
        <w:t>Guilding</w:t>
      </w:r>
      <w:proofErr w:type="spellEnd"/>
      <w:r>
        <w:rPr>
          <w:rFonts w:ascii="Trebuchet MS" w:hAnsi="Trebuchet MS"/>
          <w:color w:val="000000" w:themeColor="text1"/>
        </w:rPr>
        <w:t xml:space="preserve"> </w:t>
      </w:r>
      <w:r>
        <w:rPr>
          <w:rFonts w:ascii="Trebuchet MS" w:hAnsi="Trebuchet MS"/>
          <w:i/>
          <w:iCs/>
          <w:color w:val="000000" w:themeColor="text1"/>
        </w:rPr>
        <w:t>et al</w:t>
      </w:r>
      <w:r>
        <w:rPr>
          <w:rFonts w:ascii="Trebuchet MS" w:hAnsi="Trebuchet MS"/>
          <w:color w:val="000000" w:themeColor="text1"/>
        </w:rPr>
        <w:t xml:space="preserve">., 2014). Combining both types of data </w:t>
      </w:r>
      <w:r w:rsidRPr="00F62E4D">
        <w:rPr>
          <w:rFonts w:ascii="Trebuchet MS" w:hAnsi="Trebuchet MS"/>
          <w:strike/>
          <w:color w:val="000000" w:themeColor="text1"/>
        </w:rPr>
        <w:t>therefore</w:t>
      </w:r>
      <w:r>
        <w:rPr>
          <w:rFonts w:ascii="Trebuchet MS" w:hAnsi="Trebuchet MS"/>
          <w:color w:val="000000" w:themeColor="text1"/>
        </w:rPr>
        <w:t xml:space="preserve"> provides a fuller picture.</w:t>
      </w:r>
      <w:r w:rsidR="000B2800">
        <w:rPr>
          <w:rFonts w:ascii="Trebuchet MS" w:hAnsi="Trebuchet MS"/>
          <w:color w:val="000000" w:themeColor="text1"/>
        </w:rPr>
        <w:t xml:space="preserve"> </w:t>
      </w:r>
      <w:r w:rsidR="000B2800" w:rsidRPr="000B2800">
        <w:rPr>
          <w:rFonts w:ascii="Trebuchet MS" w:hAnsi="Trebuchet MS"/>
          <w:color w:val="EE0000"/>
        </w:rPr>
        <w:t>However</w:t>
      </w:r>
      <w:r w:rsidR="000B2800">
        <w:rPr>
          <w:rFonts w:ascii="Trebuchet MS" w:hAnsi="Trebuchet MS"/>
          <w:color w:val="EE0000"/>
        </w:rPr>
        <w:t xml:space="preserve">, it should be noted that qualitative methods are arguably less reliable, </w:t>
      </w:r>
      <w:proofErr w:type="spellStart"/>
      <w:r w:rsidR="000B2800">
        <w:rPr>
          <w:rFonts w:ascii="Trebuchet MS" w:hAnsi="Trebuchet MS"/>
          <w:color w:val="EE0000"/>
        </w:rPr>
        <w:t>do</w:t>
      </w:r>
      <w:proofErr w:type="spellEnd"/>
      <w:r w:rsidR="000B2800">
        <w:rPr>
          <w:rFonts w:ascii="Trebuchet MS" w:hAnsi="Trebuchet MS"/>
          <w:color w:val="EE0000"/>
        </w:rPr>
        <w:t xml:space="preserve"> to the fact that they are less easy to compare and interpret.</w:t>
      </w:r>
    </w:p>
    <w:p w14:paraId="4AF111B9" w14:textId="77777777" w:rsidR="004E17C2" w:rsidRDefault="004E17C2" w:rsidP="004E17C2">
      <w:pPr>
        <w:pStyle w:val="Nornal"/>
        <w:spacing w:after="0"/>
        <w:rPr>
          <w:rFonts w:ascii="Trebuchet MS" w:hAnsi="Trebuchet MS"/>
          <w:color w:val="000000" w:themeColor="text1"/>
        </w:rPr>
      </w:pPr>
    </w:p>
    <w:p w14:paraId="575019A7" w14:textId="6F754889" w:rsidR="00A83C37" w:rsidRDefault="00AE671F" w:rsidP="00D12733">
      <w:pPr>
        <w:pStyle w:val="Nornal"/>
        <w:spacing w:after="0"/>
        <w:rPr>
          <w:rFonts w:ascii="Trebuchet MS" w:hAnsi="Trebuchet MS"/>
          <w:color w:val="000000" w:themeColor="text1"/>
        </w:rPr>
      </w:pPr>
      <w:r>
        <w:rPr>
          <w:rFonts w:ascii="Trebuchet MS" w:hAnsi="Trebuchet MS"/>
          <w:color w:val="000000" w:themeColor="text1"/>
        </w:rPr>
        <w:t xml:space="preserve">Organisations may use structured frameworks to support </w:t>
      </w:r>
      <w:r w:rsidRPr="00F62E4D">
        <w:rPr>
          <w:rFonts w:ascii="Trebuchet MS" w:hAnsi="Trebuchet MS"/>
          <w:strike/>
          <w:color w:val="000000" w:themeColor="text1"/>
        </w:rPr>
        <w:t xml:space="preserve">with benchmarking, for example Kaplan and Norton’s (1996) </w:t>
      </w:r>
      <w:r w:rsidRPr="00F62E4D">
        <w:rPr>
          <w:rFonts w:ascii="Trebuchet MS" w:hAnsi="Trebuchet MS"/>
          <w:i/>
          <w:iCs/>
          <w:strike/>
          <w:color w:val="000000" w:themeColor="text1"/>
        </w:rPr>
        <w:t>Balanced Scorecard</w:t>
      </w:r>
      <w:r w:rsidR="00F62E4D">
        <w:rPr>
          <w:rFonts w:ascii="Trebuchet MS" w:hAnsi="Trebuchet MS"/>
          <w:color w:val="000000" w:themeColor="text1"/>
        </w:rPr>
        <w:t xml:space="preserve"> </w:t>
      </w:r>
      <w:r w:rsidR="00F62E4D" w:rsidRPr="00F62E4D">
        <w:rPr>
          <w:rFonts w:ascii="Trebuchet MS" w:hAnsi="Trebuchet MS"/>
          <w:color w:val="EE0000"/>
        </w:rPr>
        <w:t>benchmarking, such as the Balanced Scorecard (Kaplan &amp; Norton, 1996)</w:t>
      </w:r>
      <w:r w:rsidRPr="00F62E4D">
        <w:rPr>
          <w:rFonts w:ascii="Trebuchet MS" w:hAnsi="Trebuchet MS"/>
          <w:color w:val="EE0000"/>
        </w:rPr>
        <w:t xml:space="preserve">. </w:t>
      </w:r>
      <w:r>
        <w:rPr>
          <w:rFonts w:ascii="Trebuchet MS" w:hAnsi="Trebuchet MS"/>
          <w:color w:val="000000" w:themeColor="text1"/>
        </w:rPr>
        <w:t xml:space="preserve">This method involves measurement of </w:t>
      </w:r>
      <w:r w:rsidR="004B635A">
        <w:rPr>
          <w:rFonts w:ascii="Trebuchet MS" w:hAnsi="Trebuchet MS"/>
          <w:color w:val="000000" w:themeColor="text1"/>
        </w:rPr>
        <w:t>financial performance</w:t>
      </w:r>
      <w:r>
        <w:rPr>
          <w:rFonts w:ascii="Trebuchet MS" w:hAnsi="Trebuchet MS"/>
          <w:color w:val="000000" w:themeColor="text1"/>
        </w:rPr>
        <w:t xml:space="preserve">, whilst also reviewing </w:t>
      </w:r>
      <w:r w:rsidR="004B635A">
        <w:rPr>
          <w:rFonts w:ascii="Trebuchet MS" w:hAnsi="Trebuchet MS"/>
          <w:color w:val="000000" w:themeColor="text1"/>
        </w:rPr>
        <w:t xml:space="preserve">customer satisfaction, efficiency of internal processes and employee knowledge </w:t>
      </w:r>
      <w:r w:rsidR="004B635A" w:rsidRPr="00F62E4D">
        <w:rPr>
          <w:rFonts w:ascii="Trebuchet MS" w:hAnsi="Trebuchet MS"/>
          <w:strike/>
          <w:color w:val="000000" w:themeColor="text1"/>
        </w:rPr>
        <w:t>and development</w:t>
      </w:r>
      <w:r w:rsidR="004B635A">
        <w:rPr>
          <w:rFonts w:ascii="Trebuchet MS" w:hAnsi="Trebuchet MS"/>
          <w:color w:val="000000" w:themeColor="text1"/>
        </w:rPr>
        <w:t>.</w:t>
      </w:r>
      <w:r w:rsidR="009D5B78">
        <w:rPr>
          <w:rFonts w:ascii="Trebuchet MS" w:hAnsi="Trebuchet MS"/>
          <w:color w:val="000000" w:themeColor="text1"/>
        </w:rPr>
        <w:t xml:space="preserve"> </w:t>
      </w:r>
      <w:r w:rsidR="009D5B78" w:rsidRPr="00F62E4D">
        <w:rPr>
          <w:rFonts w:ascii="Trebuchet MS" w:hAnsi="Trebuchet MS"/>
          <w:strike/>
          <w:color w:val="000000" w:themeColor="text1"/>
        </w:rPr>
        <w:t>Methods like this can ensure that benchmarking is aligned with an organisation’s strategy and goals, to enable improvement as opposed to simply ‘ticking a box’</w:t>
      </w:r>
      <w:r w:rsidR="00F62E4D">
        <w:rPr>
          <w:rFonts w:ascii="Trebuchet MS" w:hAnsi="Trebuchet MS"/>
          <w:color w:val="000000" w:themeColor="text1"/>
        </w:rPr>
        <w:t xml:space="preserve"> </w:t>
      </w:r>
      <w:r w:rsidR="00F62E4D" w:rsidRPr="00F62E4D">
        <w:rPr>
          <w:rFonts w:ascii="Trebuchet MS" w:hAnsi="Trebuchet MS"/>
          <w:color w:val="EE0000"/>
        </w:rPr>
        <w:t>These methods ensure benchmarking aligns with strategy and goals, driving improvement beyond ‘box-ticking’</w:t>
      </w:r>
      <w:r w:rsidR="009D5B78" w:rsidRPr="00F62E4D">
        <w:rPr>
          <w:rFonts w:ascii="Trebuchet MS" w:hAnsi="Trebuchet MS"/>
          <w:color w:val="EE0000"/>
        </w:rPr>
        <w:t xml:space="preserve"> </w:t>
      </w:r>
      <w:r w:rsidR="009D5B78">
        <w:rPr>
          <w:rFonts w:ascii="Trebuchet MS" w:hAnsi="Trebuchet MS"/>
          <w:color w:val="000000" w:themeColor="text1"/>
        </w:rPr>
        <w:t>(Armstrong, 2020; Parmenter, 2015).</w:t>
      </w:r>
      <w:r w:rsidR="007B0D5A">
        <w:rPr>
          <w:rFonts w:ascii="Trebuchet MS" w:hAnsi="Trebuchet MS"/>
          <w:color w:val="000000" w:themeColor="text1"/>
        </w:rPr>
        <w:t xml:space="preserve"> </w:t>
      </w:r>
      <w:r w:rsidR="007B0D5A" w:rsidRPr="007B0D5A">
        <w:rPr>
          <w:rFonts w:ascii="Trebuchet MS" w:hAnsi="Trebuchet MS"/>
          <w:color w:val="EE0000"/>
        </w:rPr>
        <w:t>The Balanced Scorecard would be a useful method for Eco-Insulate UK as it would allow the organisation to look at their practice holistically, considering more than just how to increase profits.</w:t>
      </w:r>
    </w:p>
    <w:p w14:paraId="1B440BD2" w14:textId="77777777" w:rsidR="00200240" w:rsidRDefault="00200240" w:rsidP="00D12733">
      <w:pPr>
        <w:pStyle w:val="Nornal"/>
        <w:spacing w:after="0"/>
        <w:rPr>
          <w:rFonts w:ascii="Trebuchet MS" w:hAnsi="Trebuchet MS"/>
          <w:color w:val="000000" w:themeColor="text1"/>
        </w:rPr>
      </w:pPr>
    </w:p>
    <w:p w14:paraId="65CF6895" w14:textId="6506116F" w:rsidR="00200240" w:rsidRPr="00D12733" w:rsidRDefault="00200240" w:rsidP="00D12733">
      <w:pPr>
        <w:pStyle w:val="Nornal"/>
        <w:spacing w:after="0"/>
        <w:rPr>
          <w:rFonts w:ascii="Trebuchet MS" w:hAnsi="Trebuchet MS"/>
          <w:color w:val="000000" w:themeColor="text1"/>
        </w:rPr>
      </w:pPr>
      <w:r w:rsidRPr="00200240">
        <w:rPr>
          <w:rFonts w:ascii="Trebuchet MS" w:hAnsi="Trebuchet MS"/>
          <w:color w:val="000000" w:themeColor="text1"/>
        </w:rPr>
        <w:t>Eco-Insulate UK could benefit from benchmarking</w:t>
      </w:r>
      <w:r w:rsidR="007B0D5A" w:rsidRPr="000D307C">
        <w:rPr>
          <w:rFonts w:ascii="Trebuchet MS" w:hAnsi="Trebuchet MS"/>
          <w:color w:val="EE0000"/>
        </w:rPr>
        <w:t xml:space="preserve">, as long as they choose methods selectively to ensure maximum validity and reliability. Combining internal data such as KPIs and exit interviews with external comparisons will create a clearer explanation and possible reward solutions for </w:t>
      </w:r>
      <w:proofErr w:type="spellStart"/>
      <w:r w:rsidR="007B0D5A" w:rsidRPr="000D307C">
        <w:rPr>
          <w:rFonts w:ascii="Trebuchet MS" w:hAnsi="Trebuchet MS"/>
          <w:color w:val="EE0000"/>
        </w:rPr>
        <w:t>it’s</w:t>
      </w:r>
      <w:proofErr w:type="spellEnd"/>
      <w:r w:rsidR="007B0D5A" w:rsidRPr="000D307C">
        <w:rPr>
          <w:rFonts w:ascii="Trebuchet MS" w:hAnsi="Trebuchet MS"/>
          <w:color w:val="EE0000"/>
        </w:rPr>
        <w:t xml:space="preserve"> high turnover.</w:t>
      </w:r>
      <w:r w:rsidRPr="000D307C">
        <w:rPr>
          <w:rFonts w:ascii="Trebuchet MS" w:hAnsi="Trebuchet MS"/>
          <w:color w:val="EE0000"/>
        </w:rPr>
        <w:t xml:space="preserve"> </w:t>
      </w:r>
      <w:r w:rsidRPr="000D307C">
        <w:rPr>
          <w:rFonts w:ascii="Trebuchet MS" w:hAnsi="Trebuchet MS"/>
          <w:strike/>
          <w:color w:val="000000" w:themeColor="text1"/>
        </w:rPr>
        <w:t>its pay and benefits against similar manufacturers to understand why turnover is so high. Gathering internal feedback and external market data would provide insight to develop a more attractive and effective reward strategy.</w:t>
      </w:r>
    </w:p>
    <w:p w14:paraId="361E3200" w14:textId="77777777" w:rsidR="00EF11E9" w:rsidRPr="00E446B9" w:rsidRDefault="00EF11E9" w:rsidP="00B14151">
      <w:pPr>
        <w:pStyle w:val="Nornal"/>
        <w:spacing w:after="0" w:line="240" w:lineRule="auto"/>
        <w:rPr>
          <w:rFonts w:ascii="Trebuchet MS" w:hAnsi="Trebuchet MS"/>
          <w:color w:val="000000" w:themeColor="text1"/>
        </w:rPr>
      </w:pPr>
    </w:p>
    <w:p w14:paraId="23557AD6" w14:textId="2CD24B2E" w:rsidR="00B14151" w:rsidRPr="00B32C48" w:rsidRDefault="00B14151" w:rsidP="00CB3B7E">
      <w:pPr>
        <w:pStyle w:val="Nornal"/>
        <w:numPr>
          <w:ilvl w:val="0"/>
          <w:numId w:val="2"/>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1252E79E" w14:textId="77777777" w:rsidR="00B32C48" w:rsidRDefault="00B32C48" w:rsidP="00B32C48">
      <w:pPr>
        <w:pStyle w:val="Nornal"/>
        <w:spacing w:after="0" w:line="240" w:lineRule="auto"/>
        <w:rPr>
          <w:rFonts w:ascii="Trebuchet MS" w:hAnsi="Trebuchet MS"/>
          <w:color w:val="000000" w:themeColor="text1"/>
        </w:rPr>
      </w:pPr>
    </w:p>
    <w:p w14:paraId="10948772" w14:textId="109E011D" w:rsidR="00083708" w:rsidRPr="0010579B" w:rsidRDefault="00083708" w:rsidP="00083708">
      <w:pPr>
        <w:pStyle w:val="Nornal"/>
        <w:rPr>
          <w:rFonts w:ascii="Trebuchet MS" w:hAnsi="Trebuchet MS"/>
          <w:color w:val="EE0000"/>
        </w:rPr>
      </w:pPr>
      <w:r w:rsidRPr="0010579B">
        <w:rPr>
          <w:rFonts w:ascii="Trebuchet MS" w:hAnsi="Trebuchet MS"/>
        </w:rPr>
        <w:t>Job evaluation refers to the process behind ensuring fair pay structures and banding within an organisation, by determining the worth of the different roles employed into (ACAS, 2021).</w:t>
      </w:r>
      <w:r w:rsidR="00AF667C" w:rsidRPr="0010579B">
        <w:rPr>
          <w:rFonts w:ascii="Trebuchet MS" w:hAnsi="Trebuchet MS"/>
        </w:rPr>
        <w:t xml:space="preserve"> </w:t>
      </w:r>
      <w:r w:rsidR="00AF667C" w:rsidRPr="0010579B">
        <w:rPr>
          <w:rFonts w:ascii="Trebuchet MS" w:hAnsi="Trebuchet MS"/>
          <w:color w:val="EE0000"/>
        </w:rPr>
        <w:t>This is vital for Eco-Insulate UK, where unfair pay concerns is impacting morale and turnover.</w:t>
      </w:r>
    </w:p>
    <w:p w14:paraId="56122C35" w14:textId="77777777" w:rsidR="00D932C3" w:rsidRPr="0010579B" w:rsidRDefault="00D932C3" w:rsidP="00D932C3">
      <w:pPr>
        <w:pStyle w:val="Nornal"/>
        <w:rPr>
          <w:rFonts w:ascii="Trebuchet MS" w:hAnsi="Trebuchet MS"/>
          <w:strike/>
        </w:rPr>
      </w:pPr>
      <w:r w:rsidRPr="0010579B">
        <w:rPr>
          <w:rFonts w:ascii="Trebuchet MS" w:hAnsi="Trebuchet MS"/>
          <w:strike/>
        </w:rPr>
        <w:t xml:space="preserve">One job evaluation approach is analytical, which breaks a role down into </w:t>
      </w:r>
      <w:proofErr w:type="spellStart"/>
      <w:r w:rsidRPr="0010579B">
        <w:rPr>
          <w:rFonts w:ascii="Trebuchet MS" w:hAnsi="Trebuchet MS"/>
          <w:strike/>
        </w:rPr>
        <w:t>it’s</w:t>
      </w:r>
      <w:proofErr w:type="spellEnd"/>
      <w:r w:rsidRPr="0010579B">
        <w:rPr>
          <w:rFonts w:ascii="Trebuchet MS" w:hAnsi="Trebuchet MS"/>
          <w:strike/>
        </w:rPr>
        <w:t xml:space="preserve"> different measurable components. A type of analytical job evaluation is the point-factor method, where points are assigned to different factors of a role, such as the skills, responsibilities and effort required and used. The points are then totalled to create it’s overall worth (Sun and Luo, 2013). As the evaluation is based on the job factors as opposed to the individual </w:t>
      </w:r>
      <w:r w:rsidRPr="0010579B">
        <w:rPr>
          <w:rFonts w:ascii="Trebuchet MS" w:hAnsi="Trebuchet MS"/>
          <w:strike/>
        </w:rPr>
        <w:lastRenderedPageBreak/>
        <w:t xml:space="preserve">workers, this method can be praised for </w:t>
      </w:r>
      <w:proofErr w:type="spellStart"/>
      <w:r w:rsidRPr="0010579B">
        <w:rPr>
          <w:rFonts w:ascii="Trebuchet MS" w:hAnsi="Trebuchet MS"/>
          <w:strike/>
        </w:rPr>
        <w:t>it’s</w:t>
      </w:r>
      <w:proofErr w:type="spellEnd"/>
      <w:r w:rsidRPr="0010579B">
        <w:rPr>
          <w:rFonts w:ascii="Trebuchet MS" w:hAnsi="Trebuchet MS"/>
          <w:strike/>
        </w:rPr>
        <w:t xml:space="preserve"> capacity to avoid favouring or discriminating against individual employees (ACAS, 2021). However, on the same note, it can also be argued to overly ignore an employee’s personal abilities and how these can differ between two employees in the same role.</w:t>
      </w:r>
    </w:p>
    <w:p w14:paraId="1236D03D" w14:textId="77777777" w:rsidR="00D932C3" w:rsidRPr="0010579B" w:rsidRDefault="00D932C3" w:rsidP="00D932C3">
      <w:pPr>
        <w:pStyle w:val="Nornal"/>
        <w:rPr>
          <w:rFonts w:ascii="Trebuchet MS" w:hAnsi="Trebuchet MS"/>
          <w:strike/>
        </w:rPr>
      </w:pPr>
      <w:r w:rsidRPr="0010579B">
        <w:rPr>
          <w:rFonts w:ascii="Trebuchet MS" w:hAnsi="Trebuchet MS"/>
          <w:strike/>
        </w:rPr>
        <w:t>Non-analytical job evaluation, on the other hand, does not go into depth of the different aspects of a role and simply ranks the importance of jobs holistically instead. Job ranking is an example of this, where employer’s rank different roles based on their importance or the value they bring. This method can be far less resource-consuming than the point-factor method, whilst still avoiding bias related to individual employees and their characteristics (ACAS, 2021). However, ranking jobs without looking into their internal factors can be highly subjective and dependant on the thoughts of the evaluators, as it relies less on a measurable criteria (Armstrong and Brown, 2017). This could lead to inconsistencies or unfairness.</w:t>
      </w:r>
    </w:p>
    <w:p w14:paraId="5BDF659D" w14:textId="77777777" w:rsidR="00D932C3" w:rsidRPr="0010579B" w:rsidRDefault="00D932C3" w:rsidP="00D932C3">
      <w:pPr>
        <w:pStyle w:val="Nornal"/>
        <w:rPr>
          <w:rFonts w:ascii="Trebuchet MS" w:hAnsi="Trebuchet MS"/>
          <w:strike/>
        </w:rPr>
      </w:pPr>
      <w:r w:rsidRPr="0010579B">
        <w:rPr>
          <w:rFonts w:ascii="Trebuchet MS" w:hAnsi="Trebuchet MS"/>
          <w:strike/>
        </w:rPr>
        <w:t>Another approach for determining pay structures is market pricing, where an employer compares their job roles to external roles which are similar, through job matching (CIPD, 2025b). This not only ensures consistency, but it also allows organisations to pay in line with, if not more than, their competitors. This can improve recruitment in terms of attraction and retainment (CIPD, 2025b). However, employers using this method should ensure that they gather data from multiple organisations and sources, to ensure they have a clear picture before using it to determine their own pay structure (Armstrong and Brown, 2017).</w:t>
      </w:r>
    </w:p>
    <w:p w14:paraId="6B8A35F9" w14:textId="01335FA7" w:rsidR="00AF667C" w:rsidRPr="0010579B" w:rsidRDefault="00AF667C" w:rsidP="00083708">
      <w:pPr>
        <w:pStyle w:val="Nornal"/>
        <w:rPr>
          <w:rFonts w:ascii="Trebuchet MS" w:hAnsi="Trebuchet MS"/>
          <w:color w:val="EE0000"/>
        </w:rPr>
      </w:pPr>
      <w:r w:rsidRPr="0010579B">
        <w:rPr>
          <w:rFonts w:ascii="Trebuchet MS" w:hAnsi="Trebuchet MS"/>
          <w:color w:val="EE0000"/>
        </w:rPr>
        <w:t>Analytical methods, for example the point-factor approach, are considered formal and systematic. Points are assigned to the different factors of a job role, with a total score then determined (Sun &amp; Luo, 2013). The focus being on the job role rather than the employee</w:t>
      </w:r>
      <w:r w:rsidR="00C60BC9" w:rsidRPr="0010579B">
        <w:rPr>
          <w:rFonts w:ascii="Trebuchet MS" w:hAnsi="Trebuchet MS"/>
          <w:color w:val="EE0000"/>
        </w:rPr>
        <w:t xml:space="preserve"> means that this method can be praised for avoiding bias and promoting transparent and fair pay (ACAS, 2021). However, on the same note, it can also be argued to overly ignore an employee’s personal abilities, particularly impacting the individual value of Eco-Insulate UK’s long serving employees.</w:t>
      </w:r>
    </w:p>
    <w:p w14:paraId="521D77A1" w14:textId="190F6911" w:rsidR="00C60BC9" w:rsidRPr="0010579B" w:rsidRDefault="00C60BC9" w:rsidP="00083708">
      <w:pPr>
        <w:pStyle w:val="Nornal"/>
        <w:rPr>
          <w:rFonts w:ascii="Trebuchet MS" w:hAnsi="Trebuchet MS"/>
          <w:color w:val="EE0000"/>
        </w:rPr>
      </w:pPr>
      <w:r w:rsidRPr="0010579B">
        <w:rPr>
          <w:rFonts w:ascii="Trebuchet MS" w:hAnsi="Trebuchet MS"/>
          <w:color w:val="EE0000"/>
        </w:rPr>
        <w:t>Non-analytical methods, on the other hand, are informal and less resource-consuming</w:t>
      </w:r>
      <w:r w:rsidR="00D1146F" w:rsidRPr="0010579B">
        <w:rPr>
          <w:rFonts w:ascii="Trebuchet MS" w:hAnsi="Trebuchet MS"/>
          <w:color w:val="EE0000"/>
        </w:rPr>
        <w:t xml:space="preserve"> (ACAS, 2021)</w:t>
      </w:r>
      <w:r w:rsidRPr="0010579B">
        <w:rPr>
          <w:rFonts w:ascii="Trebuchet MS" w:hAnsi="Trebuchet MS"/>
          <w:color w:val="EE0000"/>
        </w:rPr>
        <w:t xml:space="preserve">. </w:t>
      </w:r>
      <w:r w:rsidR="00D1146F" w:rsidRPr="0010579B">
        <w:rPr>
          <w:rFonts w:ascii="Trebuchet MS" w:hAnsi="Trebuchet MS"/>
          <w:color w:val="EE0000"/>
        </w:rPr>
        <w:t>Job ranking is an example of this, where employer’s rank different roles based on their importance or the value they bring. Informal methods like these are generally quicker to implement, particularly in smaller teams (which is often where less formal methods work best). However, ranking jobs without looking into their internal factors can be highly subjective and dependant on the thoughts of the evaluators (Armstrong and Brown, 2017). This could lead to inconsistencies or unfairness, which could be particularly problematic in Eco-Insulate UK, where fairness is already doubted by staff.</w:t>
      </w:r>
    </w:p>
    <w:p w14:paraId="677377F4" w14:textId="4A85E28C" w:rsidR="00712760" w:rsidRPr="0010579B" w:rsidRDefault="00712760" w:rsidP="00712760">
      <w:pPr>
        <w:pStyle w:val="Nornal"/>
        <w:rPr>
          <w:rFonts w:ascii="Trebuchet MS" w:hAnsi="Trebuchet MS"/>
          <w:color w:val="EE0000"/>
        </w:rPr>
      </w:pPr>
      <w:r w:rsidRPr="0010579B">
        <w:rPr>
          <w:rFonts w:ascii="Trebuchet MS" w:hAnsi="Trebuchet MS"/>
          <w:color w:val="EE0000"/>
        </w:rPr>
        <w:t xml:space="preserve">Market pricing is another method, </w:t>
      </w:r>
      <w:r w:rsidR="007A55BF" w:rsidRPr="0010579B">
        <w:rPr>
          <w:rFonts w:ascii="Trebuchet MS" w:hAnsi="Trebuchet MS"/>
          <w:color w:val="EE0000"/>
        </w:rPr>
        <w:t>which involves</w:t>
      </w:r>
      <w:r w:rsidRPr="0010579B">
        <w:rPr>
          <w:rFonts w:ascii="Trebuchet MS" w:hAnsi="Trebuchet MS"/>
          <w:color w:val="EE0000"/>
        </w:rPr>
        <w:t xml:space="preserve"> comparing internal roles with similar external ones to ensure pay is </w:t>
      </w:r>
      <w:r w:rsidR="007A55BF" w:rsidRPr="0010579B">
        <w:rPr>
          <w:rFonts w:ascii="Trebuchet MS" w:hAnsi="Trebuchet MS"/>
          <w:color w:val="EE0000"/>
        </w:rPr>
        <w:t xml:space="preserve">consistent and </w:t>
      </w:r>
      <w:r w:rsidRPr="0010579B">
        <w:rPr>
          <w:rFonts w:ascii="Trebuchet MS" w:hAnsi="Trebuchet MS"/>
          <w:color w:val="EE0000"/>
        </w:rPr>
        <w:t>competitive (CIPD, 2025b). For Eco-Insulate UK, benchmarking against other manufacturers could help attract and retain skilled staff. However, this method relies on robust external data and may not reflect internal equity unless combined with other approaches (Armstrong and Brown, 2017).</w:t>
      </w:r>
    </w:p>
    <w:p w14:paraId="53CDAEEB" w14:textId="78B7E5B3" w:rsidR="00712760" w:rsidRPr="0010579B" w:rsidRDefault="007A55BF" w:rsidP="00712760">
      <w:pPr>
        <w:pStyle w:val="Nornal"/>
        <w:rPr>
          <w:rFonts w:ascii="Trebuchet MS" w:hAnsi="Trebuchet MS"/>
        </w:rPr>
      </w:pPr>
      <w:r w:rsidRPr="0010579B">
        <w:rPr>
          <w:rFonts w:ascii="Trebuchet MS" w:hAnsi="Trebuchet MS"/>
          <w:color w:val="EE0000"/>
        </w:rPr>
        <w:t>Many organisations may choose to combine methods, to ensure that they are maintaining fairness internally whilst paying employees in line with the overall labour market (Armstrong and Brown, 2017).</w:t>
      </w:r>
      <w:r w:rsidR="00D932C3" w:rsidRPr="0010579B">
        <w:rPr>
          <w:rFonts w:ascii="Trebuchet MS" w:hAnsi="Trebuchet MS"/>
          <w:color w:val="EE0000"/>
        </w:rPr>
        <w:t xml:space="preserve"> </w:t>
      </w:r>
      <w:r w:rsidR="00712760" w:rsidRPr="0010579B">
        <w:rPr>
          <w:rFonts w:ascii="Trebuchet MS" w:hAnsi="Trebuchet MS"/>
        </w:rPr>
        <w:t>For Eco-Insulate UK, adopting a hybrid approach</w:t>
      </w:r>
      <w:r w:rsidR="00D932C3" w:rsidRPr="0010579B">
        <w:rPr>
          <w:rFonts w:ascii="Trebuchet MS" w:hAnsi="Trebuchet MS"/>
        </w:rPr>
        <w:t xml:space="preserve">, </w:t>
      </w:r>
      <w:r w:rsidR="00712760" w:rsidRPr="0010579B">
        <w:rPr>
          <w:rFonts w:ascii="Trebuchet MS" w:hAnsi="Trebuchet MS"/>
        </w:rPr>
        <w:t>such as combining point-factor analysis with market pricing</w:t>
      </w:r>
      <w:r w:rsidR="00D932C3" w:rsidRPr="0010579B">
        <w:rPr>
          <w:rFonts w:ascii="Trebuchet MS" w:hAnsi="Trebuchet MS"/>
        </w:rPr>
        <w:t xml:space="preserve">, </w:t>
      </w:r>
      <w:r w:rsidR="00712760" w:rsidRPr="0010579B">
        <w:rPr>
          <w:rFonts w:ascii="Trebuchet MS" w:hAnsi="Trebuchet MS"/>
        </w:rPr>
        <w:t xml:space="preserve">could help </w:t>
      </w:r>
      <w:r w:rsidR="00D932C3" w:rsidRPr="0010579B">
        <w:rPr>
          <w:rFonts w:ascii="Trebuchet MS" w:hAnsi="Trebuchet MS"/>
        </w:rPr>
        <w:t xml:space="preserve">implement a more </w:t>
      </w:r>
      <w:r w:rsidR="00D932C3" w:rsidRPr="0010579B">
        <w:rPr>
          <w:rFonts w:ascii="Trebuchet MS" w:hAnsi="Trebuchet MS"/>
        </w:rPr>
        <w:lastRenderedPageBreak/>
        <w:t>transparent</w:t>
      </w:r>
      <w:r w:rsidR="00712760" w:rsidRPr="0010579B">
        <w:rPr>
          <w:rFonts w:ascii="Trebuchet MS" w:hAnsi="Trebuchet MS"/>
        </w:rPr>
        <w:t xml:space="preserve"> reward system. This would </w:t>
      </w:r>
      <w:r w:rsidR="00D932C3" w:rsidRPr="0010579B">
        <w:rPr>
          <w:rFonts w:ascii="Trebuchet MS" w:hAnsi="Trebuchet MS"/>
        </w:rPr>
        <w:t>improve organisational culture and job satisfaction.</w:t>
      </w:r>
      <w:r w:rsidR="00712760" w:rsidRPr="0010579B">
        <w:rPr>
          <w:rFonts w:ascii="Trebuchet MS" w:hAnsi="Trebuchet MS"/>
        </w:rPr>
        <w:t xml:space="preserve"> </w:t>
      </w:r>
    </w:p>
    <w:p w14:paraId="76F042A7" w14:textId="77777777" w:rsidR="00712760" w:rsidRPr="0010579B" w:rsidRDefault="00712760" w:rsidP="00083708">
      <w:pPr>
        <w:pStyle w:val="Nornal"/>
        <w:rPr>
          <w:rFonts w:ascii="Trebuchet MS" w:hAnsi="Trebuchet MS"/>
          <w:strike/>
        </w:rPr>
      </w:pPr>
    </w:p>
    <w:p w14:paraId="21563378" w14:textId="1E257121" w:rsidR="00B14151" w:rsidRPr="0010579B" w:rsidRDefault="00083708" w:rsidP="000806D1">
      <w:pPr>
        <w:pStyle w:val="Nornal"/>
        <w:rPr>
          <w:rFonts w:ascii="Trebuchet MS" w:hAnsi="Trebuchet MS"/>
          <w:strike/>
        </w:rPr>
      </w:pPr>
      <w:r w:rsidRPr="0010579B">
        <w:rPr>
          <w:rFonts w:ascii="Trebuchet MS" w:hAnsi="Trebuchet MS"/>
          <w:strike/>
        </w:rPr>
        <w:t>Eco-Insulate UK’s could introduce structured evaluation methods to help ensure fair pay across roles, particularly between skilled and non-skilled staff, and support a more equitable reward system.</w:t>
      </w:r>
    </w:p>
    <w:p w14:paraId="54884BE7" w14:textId="77777777" w:rsidR="00AF667C" w:rsidRPr="0010579B" w:rsidRDefault="00AF667C" w:rsidP="00802AB8">
      <w:pPr>
        <w:pStyle w:val="Nornal"/>
        <w:spacing w:after="0" w:line="240" w:lineRule="auto"/>
        <w:rPr>
          <w:rFonts w:ascii="Trebuchet MS" w:hAnsi="Trebuchet MS"/>
          <w:color w:val="000000"/>
        </w:rPr>
      </w:pPr>
    </w:p>
    <w:p w14:paraId="03014044" w14:textId="2192783E" w:rsidR="00B14151" w:rsidRDefault="00E62CDF" w:rsidP="00CB3B7E">
      <w:pPr>
        <w:pStyle w:val="Nornal"/>
        <w:numPr>
          <w:ilvl w:val="0"/>
          <w:numId w:val="2"/>
        </w:numPr>
        <w:spacing w:after="0" w:line="240" w:lineRule="auto"/>
        <w:rPr>
          <w:rFonts w:ascii="Trebuchet MS" w:hAnsi="Trebuchet MS"/>
          <w:color w:val="000000" w:themeColor="text1"/>
        </w:rPr>
      </w:pPr>
      <w:r>
        <w:rPr>
          <w:rFonts w:ascii="Trebuchet MS" w:hAnsi="Trebuchet MS"/>
          <w:color w:val="000000" w:themeColor="text1"/>
        </w:rPr>
        <w:t xml:space="preserve"> </w:t>
      </w:r>
      <w:r w:rsidR="00B14151" w:rsidRPr="00E446B9">
        <w:rPr>
          <w:rFonts w:ascii="Trebuchet MS" w:hAnsi="Trebuchet MS"/>
          <w:color w:val="000000" w:themeColor="text1"/>
        </w:rPr>
        <w:t>Explain the legislative requirements that impact reward practice. (AC 3.4)</w:t>
      </w:r>
    </w:p>
    <w:p w14:paraId="3C730E61" w14:textId="77777777" w:rsidR="00065F54" w:rsidRDefault="00065F54" w:rsidP="00065F54">
      <w:pPr>
        <w:pStyle w:val="Nornal"/>
        <w:spacing w:after="0" w:line="240" w:lineRule="auto"/>
        <w:ind w:left="360"/>
        <w:rPr>
          <w:rFonts w:ascii="Trebuchet MS" w:hAnsi="Trebuchet MS"/>
          <w:color w:val="000000" w:themeColor="text1"/>
        </w:rPr>
      </w:pPr>
    </w:p>
    <w:p w14:paraId="57454639" w14:textId="79F234E4" w:rsidR="009E620B" w:rsidRDefault="009E620B" w:rsidP="00065F54">
      <w:pPr>
        <w:pStyle w:val="Nornal"/>
        <w:spacing w:after="0" w:line="240" w:lineRule="auto"/>
        <w:rPr>
          <w:rFonts w:ascii="Trebuchet MS" w:hAnsi="Trebuchet MS"/>
          <w:color w:val="000000" w:themeColor="text1"/>
        </w:rPr>
      </w:pPr>
      <w:r>
        <w:rPr>
          <w:rFonts w:ascii="Trebuchet MS" w:hAnsi="Trebuchet MS"/>
          <w:color w:val="000000" w:themeColor="text1"/>
        </w:rPr>
        <w:t>UK organisations’ reward practices are heavily impacted by legislation that has been implemented to ensure fairness. The Equality</w:t>
      </w:r>
      <w:r w:rsidR="000316DE">
        <w:rPr>
          <w:rFonts w:ascii="Trebuchet MS" w:hAnsi="Trebuchet MS"/>
          <w:color w:val="000000" w:themeColor="text1"/>
        </w:rPr>
        <w:t xml:space="preserve"> Act 2010 states that those performing equal work, regardless of gender or other protected characteristics, should receive equal pay, including additional benefits (EHRC, 2023). Organisations with over 50 employees are therefore required to carry out equal pay reviews to ensure they are aware of and correcting any differences in pay for equal work (EHRC, 2023). Organisations are also required to undertake fair job evaluation to ensure pay structured are fair, and larger organisations are required to carry out gender gap reporting (CIPD, 2023b).</w:t>
      </w:r>
      <w:r w:rsidR="00F20D4F">
        <w:rPr>
          <w:rFonts w:ascii="Trebuchet MS" w:hAnsi="Trebuchet MS"/>
          <w:color w:val="000000" w:themeColor="text1"/>
        </w:rPr>
        <w:t xml:space="preserve"> More recently, there are also developments in a possible act to require reporting of other pay gaps, to tackle inequality across pay for employees who are disabled or part of an ethnic minority group (The Times, 2024).</w:t>
      </w:r>
    </w:p>
    <w:p w14:paraId="4D367E8C" w14:textId="77777777" w:rsidR="000316DE" w:rsidRDefault="000316DE" w:rsidP="00065F54">
      <w:pPr>
        <w:pStyle w:val="Nornal"/>
        <w:spacing w:after="0" w:line="240" w:lineRule="auto"/>
        <w:rPr>
          <w:rFonts w:ascii="Trebuchet MS" w:hAnsi="Trebuchet MS"/>
          <w:color w:val="000000" w:themeColor="text1"/>
        </w:rPr>
      </w:pPr>
    </w:p>
    <w:p w14:paraId="198B940D" w14:textId="3F260EA4" w:rsidR="008F4541" w:rsidRDefault="008F4541" w:rsidP="00065F54">
      <w:pPr>
        <w:pStyle w:val="Nornal"/>
        <w:spacing w:after="0" w:line="240" w:lineRule="auto"/>
        <w:rPr>
          <w:rFonts w:ascii="Trebuchet MS" w:hAnsi="Trebuchet MS"/>
          <w:color w:val="000000" w:themeColor="text1"/>
        </w:rPr>
      </w:pPr>
      <w:r>
        <w:rPr>
          <w:rFonts w:ascii="Trebuchet MS" w:hAnsi="Trebuchet MS"/>
          <w:color w:val="000000" w:themeColor="text1"/>
        </w:rPr>
        <w:t xml:space="preserve">The National Minimum Wage Act 1998 is also impactful on how organisations reward their staff. The National Minimum Wage is a minimum hourly rate, which is mandatory for all employers to comply with and is categorised by age (UK Government, 2025). When the National Minimum Wage is increased, which is often yearly and based on inflation, employers are required to review their pay structures to ensure that they are still adhering. For many organisations with multiple pay levels, this often means that all levels must be increased to ensure that they are </w:t>
      </w:r>
      <w:r w:rsidR="00F20D4F">
        <w:rPr>
          <w:rFonts w:ascii="Trebuchet MS" w:hAnsi="Trebuchet MS"/>
          <w:color w:val="000000" w:themeColor="text1"/>
        </w:rPr>
        <w:t>still maintaining a clear pay structure that is relevant to job roles and responsibilities</w:t>
      </w:r>
      <w:r>
        <w:rPr>
          <w:rFonts w:ascii="Trebuchet MS" w:hAnsi="Trebuchet MS"/>
          <w:color w:val="000000" w:themeColor="text1"/>
        </w:rPr>
        <w:t xml:space="preserve"> (ACAS, 2023). Often this can put strain on organisations, particularly those in the third sector, which can ultimately impact the other financial benefits that they are able to offer employees. This often leads to </w:t>
      </w:r>
      <w:r w:rsidR="00F20D4F">
        <w:rPr>
          <w:rFonts w:ascii="Trebuchet MS" w:hAnsi="Trebuchet MS"/>
          <w:color w:val="000000" w:themeColor="text1"/>
        </w:rPr>
        <w:t>more non-financial benefits being offered, to still aim to promote staff wellbeing and aid recruitment.</w:t>
      </w:r>
    </w:p>
    <w:p w14:paraId="223F3FB4" w14:textId="77777777" w:rsidR="008F4541" w:rsidRDefault="008F4541" w:rsidP="00065F54">
      <w:pPr>
        <w:pStyle w:val="Nornal"/>
        <w:spacing w:after="0" w:line="240" w:lineRule="auto"/>
        <w:rPr>
          <w:rFonts w:ascii="Trebuchet MS" w:hAnsi="Trebuchet MS"/>
          <w:color w:val="000000" w:themeColor="text1"/>
        </w:rPr>
      </w:pPr>
    </w:p>
    <w:p w14:paraId="57F7FF5D" w14:textId="7E70B265" w:rsidR="000316DE" w:rsidRDefault="008F4541" w:rsidP="00065F54">
      <w:pPr>
        <w:pStyle w:val="Nornal"/>
        <w:spacing w:after="0" w:line="240" w:lineRule="auto"/>
        <w:rPr>
          <w:rFonts w:ascii="Trebuchet MS" w:hAnsi="Trebuchet MS"/>
          <w:color w:val="000000" w:themeColor="text1"/>
        </w:rPr>
      </w:pPr>
      <w:r>
        <w:rPr>
          <w:rFonts w:ascii="Trebuchet MS" w:hAnsi="Trebuchet MS"/>
          <w:color w:val="000000" w:themeColor="text1"/>
        </w:rPr>
        <w:t xml:space="preserve">Alongside the National Minimum Wage, many employers in the UK also sign up to the voluntary Living Wage, which is calculated based on the cost of living and is slightly higher than the Minimum Wage. Employers may choose to sign up to this agreement, to demonstrate valuing their employees and to attract and retain staff.  </w:t>
      </w:r>
    </w:p>
    <w:p w14:paraId="7F73F14C" w14:textId="77777777" w:rsidR="00200240" w:rsidRDefault="00200240" w:rsidP="00065F54">
      <w:pPr>
        <w:pStyle w:val="Nornal"/>
        <w:spacing w:after="0" w:line="240" w:lineRule="auto"/>
        <w:rPr>
          <w:rFonts w:ascii="Trebuchet MS" w:hAnsi="Trebuchet MS"/>
          <w:color w:val="000000" w:themeColor="text1"/>
        </w:rPr>
      </w:pPr>
    </w:p>
    <w:p w14:paraId="0AEBB61B" w14:textId="60F642CE" w:rsidR="00200240" w:rsidRDefault="00200240" w:rsidP="00065F54">
      <w:pPr>
        <w:pStyle w:val="Nornal"/>
        <w:spacing w:after="0" w:line="240" w:lineRule="auto"/>
        <w:rPr>
          <w:rFonts w:ascii="Trebuchet MS" w:hAnsi="Trebuchet MS"/>
          <w:color w:val="000000" w:themeColor="text1"/>
        </w:rPr>
      </w:pPr>
      <w:r w:rsidRPr="00200240">
        <w:rPr>
          <w:rFonts w:ascii="Trebuchet MS" w:hAnsi="Trebuchet MS"/>
          <w:color w:val="000000" w:themeColor="text1"/>
        </w:rPr>
        <w:t>Eco-Insulate UK must ensure its reward practices</w:t>
      </w:r>
      <w:r>
        <w:rPr>
          <w:rFonts w:ascii="Trebuchet MS" w:hAnsi="Trebuchet MS"/>
          <w:color w:val="000000" w:themeColor="text1"/>
        </w:rPr>
        <w:t xml:space="preserve"> </w:t>
      </w:r>
      <w:r w:rsidRPr="00200240">
        <w:rPr>
          <w:rFonts w:ascii="Trebuchet MS" w:hAnsi="Trebuchet MS"/>
          <w:color w:val="000000" w:themeColor="text1"/>
        </w:rPr>
        <w:t>comply with equal pay legislation. Conducting regular audits and aligning pay structures with legal standards would reduce risk and promote fairness across the organisation.</w:t>
      </w:r>
    </w:p>
    <w:p w14:paraId="2FEBDA97" w14:textId="77777777" w:rsidR="00BA0A06" w:rsidRDefault="00BA0A06"/>
    <w:p w14:paraId="42D8C1D5" w14:textId="77777777" w:rsidR="00E2161C" w:rsidRDefault="00E2161C">
      <w:pPr>
        <w:spacing w:after="160"/>
        <w:rPr>
          <w:b/>
          <w:bCs/>
          <w:u w:val="single"/>
        </w:rPr>
      </w:pPr>
      <w:r>
        <w:rPr>
          <w:b/>
          <w:bCs/>
          <w:u w:val="single"/>
        </w:rPr>
        <w:br w:type="page"/>
      </w:r>
    </w:p>
    <w:p w14:paraId="10120C33" w14:textId="7F60E25B" w:rsidR="00485554" w:rsidRPr="00485554" w:rsidRDefault="00485554">
      <w:pPr>
        <w:rPr>
          <w:b/>
          <w:bCs/>
          <w:u w:val="single"/>
        </w:rPr>
      </w:pPr>
      <w:r w:rsidRPr="00485554">
        <w:rPr>
          <w:b/>
          <w:bCs/>
          <w:u w:val="single"/>
        </w:rPr>
        <w:lastRenderedPageBreak/>
        <w:t>References</w:t>
      </w:r>
    </w:p>
    <w:p w14:paraId="6FC3AB29" w14:textId="77777777" w:rsidR="00485554" w:rsidRDefault="00485554"/>
    <w:p w14:paraId="20C79FFE" w14:textId="77777777" w:rsidR="00E2161C" w:rsidRPr="00E2161C" w:rsidRDefault="00E2161C" w:rsidP="00E2161C">
      <w:pPr>
        <w:pStyle w:val="Nornal"/>
        <w:spacing w:after="0"/>
      </w:pPr>
      <w:proofErr w:type="spellStart"/>
      <w:r w:rsidRPr="00E2161C">
        <w:t>Acas</w:t>
      </w:r>
      <w:proofErr w:type="spellEnd"/>
      <w:r w:rsidRPr="00E2161C">
        <w:t xml:space="preserve"> (2021). </w:t>
      </w:r>
      <w:r w:rsidRPr="00E2161C">
        <w:rPr>
          <w:i/>
          <w:iCs/>
        </w:rPr>
        <w:t>Job evaluation: considerations and risks advisory booklet</w:t>
      </w:r>
      <w:r w:rsidRPr="00E2161C">
        <w:t xml:space="preserve">. </w:t>
      </w:r>
      <w:proofErr w:type="spellStart"/>
      <w:r w:rsidRPr="00E2161C">
        <w:t>Acas</w:t>
      </w:r>
      <w:proofErr w:type="spellEnd"/>
      <w:r w:rsidRPr="00E2161C">
        <w:t>. Available at: https://www.acas.org.uk/sites/default/files/2021-03/job-evaluation-considerations-and-risks-advisory-booklet.pdf (Accessed: 13 August 2025).</w:t>
      </w:r>
    </w:p>
    <w:p w14:paraId="0585F6FC" w14:textId="77777777" w:rsidR="00E2161C" w:rsidRPr="00E2161C" w:rsidRDefault="00E2161C" w:rsidP="00E2161C">
      <w:pPr>
        <w:pStyle w:val="Nornal"/>
        <w:spacing w:after="0"/>
      </w:pPr>
    </w:p>
    <w:p w14:paraId="25518E3E" w14:textId="77777777" w:rsidR="00E2161C" w:rsidRPr="00E2161C" w:rsidRDefault="00E2161C" w:rsidP="00E2161C">
      <w:pPr>
        <w:pStyle w:val="Nornal"/>
        <w:spacing w:after="0"/>
      </w:pPr>
      <w:proofErr w:type="spellStart"/>
      <w:r w:rsidRPr="00E2161C">
        <w:t>Acas</w:t>
      </w:r>
      <w:proofErr w:type="spellEnd"/>
      <w:r w:rsidRPr="00E2161C">
        <w:t xml:space="preserve">. (2023). </w:t>
      </w:r>
      <w:r w:rsidRPr="00E2161C">
        <w:rPr>
          <w:i/>
          <w:iCs/>
        </w:rPr>
        <w:t>Pay and benefits</w:t>
      </w:r>
      <w:r w:rsidRPr="00E2161C">
        <w:t>. Available at: https://www.acas.org.uk/pay-and-benefits (Accessed: 13 August 2025).</w:t>
      </w:r>
    </w:p>
    <w:p w14:paraId="15E90D90" w14:textId="77777777" w:rsidR="00E2161C" w:rsidRPr="00E2161C" w:rsidRDefault="00E2161C" w:rsidP="00E2161C">
      <w:pPr>
        <w:pStyle w:val="Nornal"/>
        <w:spacing w:after="0"/>
      </w:pPr>
    </w:p>
    <w:p w14:paraId="44CAB87D" w14:textId="77777777" w:rsidR="00E2161C" w:rsidRPr="00E2161C" w:rsidRDefault="00E2161C" w:rsidP="00E2161C">
      <w:pPr>
        <w:pStyle w:val="Nornal"/>
        <w:spacing w:after="0"/>
      </w:pPr>
      <w:proofErr w:type="spellStart"/>
      <w:r w:rsidRPr="00E2161C">
        <w:t>Andelic</w:t>
      </w:r>
      <w:proofErr w:type="spellEnd"/>
      <w:r w:rsidRPr="00E2161C">
        <w:t xml:space="preserve">, N., Allan, J., Bender, K. A., Powell, D. and </w:t>
      </w:r>
      <w:proofErr w:type="spellStart"/>
      <w:r w:rsidRPr="00E2161C">
        <w:t>Theodossiou</w:t>
      </w:r>
      <w:proofErr w:type="spellEnd"/>
      <w:r w:rsidRPr="00E2161C">
        <w:t>, I. (2024). Performance</w:t>
      </w:r>
      <w:r w:rsidRPr="00E2161C">
        <w:rPr>
          <w:rFonts w:ascii="Cambria Math" w:hAnsi="Cambria Math" w:cs="Cambria Math"/>
        </w:rPr>
        <w:t>‐</w:t>
      </w:r>
      <w:r w:rsidRPr="00E2161C">
        <w:t xml:space="preserve">related pay, mental and physiological health. </w:t>
      </w:r>
      <w:r w:rsidRPr="00E2161C">
        <w:rPr>
          <w:i/>
          <w:iCs/>
        </w:rPr>
        <w:t>Industrial Relations: A Journal of Economy and Society</w:t>
      </w:r>
      <w:r w:rsidRPr="00E2161C">
        <w:t xml:space="preserve">, </w:t>
      </w:r>
      <w:r w:rsidRPr="00E2161C">
        <w:rPr>
          <w:i/>
          <w:iCs/>
        </w:rPr>
        <w:t>63</w:t>
      </w:r>
      <w:r w:rsidRPr="00E2161C">
        <w:t>(1), pp.3–25.</w:t>
      </w:r>
    </w:p>
    <w:p w14:paraId="2FCFD7D8" w14:textId="77777777" w:rsidR="00E2161C" w:rsidRPr="00E2161C" w:rsidRDefault="00E2161C" w:rsidP="00E2161C">
      <w:pPr>
        <w:pStyle w:val="Nornal"/>
        <w:spacing w:after="0"/>
      </w:pPr>
    </w:p>
    <w:p w14:paraId="301476B1" w14:textId="77777777" w:rsidR="00E2161C" w:rsidRPr="00E2161C" w:rsidRDefault="00E2161C" w:rsidP="00E2161C">
      <w:pPr>
        <w:pStyle w:val="Nornal"/>
        <w:spacing w:after="0"/>
      </w:pPr>
      <w:r w:rsidRPr="00E2161C">
        <w:t xml:space="preserve">Armstrong, M. and Brown, D. (2017). Job evaluation versus market pricing: competing or combining methods of pay determination? </w:t>
      </w:r>
      <w:r w:rsidRPr="00E2161C">
        <w:rPr>
          <w:i/>
          <w:iCs/>
        </w:rPr>
        <w:t>Compensation &amp; Benefits Review</w:t>
      </w:r>
      <w:r w:rsidRPr="00E2161C">
        <w:t xml:space="preserve">, </w:t>
      </w:r>
      <w:r w:rsidRPr="00E2161C">
        <w:rPr>
          <w:i/>
          <w:iCs/>
        </w:rPr>
        <w:t>49</w:t>
      </w:r>
      <w:r w:rsidRPr="00E2161C">
        <w:t>(3), pp.153–160.</w:t>
      </w:r>
    </w:p>
    <w:p w14:paraId="2FCB7246" w14:textId="77777777" w:rsidR="00E2161C" w:rsidRPr="00E2161C" w:rsidRDefault="00E2161C" w:rsidP="00E2161C">
      <w:pPr>
        <w:pStyle w:val="Nornal"/>
        <w:spacing w:after="0"/>
      </w:pPr>
    </w:p>
    <w:p w14:paraId="1C1A31A1" w14:textId="77777777" w:rsidR="00E2161C" w:rsidRPr="00E2161C" w:rsidRDefault="00E2161C" w:rsidP="00E2161C">
      <w:pPr>
        <w:pStyle w:val="Nornal"/>
        <w:spacing w:after="0"/>
      </w:pPr>
      <w:r w:rsidRPr="00E2161C">
        <w:t xml:space="preserve">Armstrong, M. (2020). </w:t>
      </w:r>
      <w:r w:rsidRPr="00E2161C">
        <w:rPr>
          <w:i/>
          <w:iCs/>
        </w:rPr>
        <w:t>Armstrong’s handbook of human resource management practice</w:t>
      </w:r>
      <w:r w:rsidRPr="00E2161C">
        <w:t xml:space="preserve"> (15th ed.). Kogan Page.</w:t>
      </w:r>
    </w:p>
    <w:p w14:paraId="0CFA31AE" w14:textId="77777777" w:rsidR="00E2161C" w:rsidRPr="00E2161C" w:rsidRDefault="00E2161C" w:rsidP="00E2161C">
      <w:pPr>
        <w:pStyle w:val="Nornal"/>
        <w:spacing w:after="0"/>
      </w:pPr>
    </w:p>
    <w:p w14:paraId="33EEB259" w14:textId="77777777" w:rsidR="00E2161C" w:rsidRPr="00E2161C" w:rsidRDefault="00E2161C" w:rsidP="00E2161C">
      <w:pPr>
        <w:pStyle w:val="Nornal"/>
        <w:spacing w:after="0"/>
      </w:pPr>
      <w:r w:rsidRPr="00E2161C">
        <w:t xml:space="preserve">Bello, B. G., Tula, S. T., </w:t>
      </w:r>
      <w:proofErr w:type="spellStart"/>
      <w:r w:rsidRPr="00E2161C">
        <w:t>Omotoye</w:t>
      </w:r>
      <w:proofErr w:type="spellEnd"/>
      <w:r w:rsidRPr="00E2161C">
        <w:t xml:space="preserve">, G. B., Kess-Momoh, A. J. and </w:t>
      </w:r>
      <w:proofErr w:type="spellStart"/>
      <w:r w:rsidRPr="00E2161C">
        <w:t>Daraojimba</w:t>
      </w:r>
      <w:proofErr w:type="spellEnd"/>
      <w:r w:rsidRPr="00E2161C">
        <w:t xml:space="preserve">, A. I. (2024). Work-life balance and its impact in modern organizations: an HR review. </w:t>
      </w:r>
      <w:r w:rsidRPr="00E2161C">
        <w:rPr>
          <w:i/>
          <w:iCs/>
        </w:rPr>
        <w:t>World Journal of Advanced Research and Reviews</w:t>
      </w:r>
      <w:r w:rsidRPr="00E2161C">
        <w:t xml:space="preserve">, </w:t>
      </w:r>
      <w:r w:rsidRPr="00E2161C">
        <w:rPr>
          <w:i/>
          <w:iCs/>
        </w:rPr>
        <w:t>21</w:t>
      </w:r>
      <w:r w:rsidRPr="00E2161C">
        <w:t>(1), pp.1162–1173.</w:t>
      </w:r>
    </w:p>
    <w:p w14:paraId="4BDE9B1D" w14:textId="77777777" w:rsidR="00E2161C" w:rsidRPr="00E2161C" w:rsidRDefault="00E2161C" w:rsidP="00E2161C">
      <w:pPr>
        <w:pStyle w:val="Nornal"/>
        <w:spacing w:after="0"/>
      </w:pPr>
    </w:p>
    <w:p w14:paraId="673CD766" w14:textId="77777777" w:rsidR="00E2161C" w:rsidRPr="00E2161C" w:rsidRDefault="00E2161C" w:rsidP="00E2161C">
      <w:pPr>
        <w:pStyle w:val="Nornal"/>
        <w:spacing w:after="0"/>
      </w:pPr>
      <w:r w:rsidRPr="00E2161C">
        <w:t xml:space="preserve">Bishnoi, T. and Bishnoi, S. (2022). Workplace policies and gender equity: a strategic approach to talent retention. </w:t>
      </w:r>
      <w:r w:rsidRPr="00E2161C">
        <w:rPr>
          <w:i/>
          <w:iCs/>
        </w:rPr>
        <w:t>Journal of Human Resource Strategies</w:t>
      </w:r>
      <w:r w:rsidRPr="00E2161C">
        <w:t xml:space="preserve">, </w:t>
      </w:r>
      <w:r w:rsidRPr="00E2161C">
        <w:rPr>
          <w:i/>
          <w:iCs/>
        </w:rPr>
        <w:t>14</w:t>
      </w:r>
      <w:r w:rsidRPr="00E2161C">
        <w:t>(2), pp.87–95.</w:t>
      </w:r>
    </w:p>
    <w:p w14:paraId="18F60FF6" w14:textId="77777777" w:rsidR="00E2161C" w:rsidRPr="00E2161C" w:rsidRDefault="00E2161C" w:rsidP="00E2161C">
      <w:pPr>
        <w:pStyle w:val="Nornal"/>
        <w:spacing w:after="0"/>
      </w:pPr>
    </w:p>
    <w:p w14:paraId="24204071" w14:textId="77777777" w:rsidR="00E2161C" w:rsidRPr="00E2161C" w:rsidRDefault="00E2161C" w:rsidP="00E2161C">
      <w:pPr>
        <w:pStyle w:val="Nornal"/>
        <w:spacing w:after="0"/>
      </w:pPr>
      <w:r w:rsidRPr="00E2161C">
        <w:t>Blundell, J. (2021). Wage responses to gender pay gap reporting requirements. [Unpublished].</w:t>
      </w:r>
    </w:p>
    <w:p w14:paraId="63415B77" w14:textId="77777777" w:rsidR="00E2161C" w:rsidRPr="00E2161C" w:rsidRDefault="00E2161C" w:rsidP="00E2161C">
      <w:pPr>
        <w:pStyle w:val="Nornal"/>
        <w:spacing w:after="0"/>
      </w:pPr>
    </w:p>
    <w:p w14:paraId="04550778" w14:textId="77777777" w:rsidR="00E2161C" w:rsidRPr="00E2161C" w:rsidRDefault="00E2161C" w:rsidP="00E2161C">
      <w:pPr>
        <w:pStyle w:val="Nornal"/>
        <w:spacing w:after="0"/>
      </w:pPr>
      <w:r w:rsidRPr="00E2161C">
        <w:t xml:space="preserve">Boxall, P. and Purcell, J. (2016). </w:t>
      </w:r>
      <w:r w:rsidRPr="00E2161C">
        <w:rPr>
          <w:i/>
          <w:iCs/>
        </w:rPr>
        <w:t>Strategy and human resource management</w:t>
      </w:r>
      <w:r w:rsidRPr="00E2161C">
        <w:t xml:space="preserve"> (4th ed.). Palgrave Macmillan.</w:t>
      </w:r>
    </w:p>
    <w:p w14:paraId="7B44BBC8" w14:textId="77777777" w:rsidR="00E2161C" w:rsidRPr="00E2161C" w:rsidRDefault="00E2161C" w:rsidP="00E2161C">
      <w:pPr>
        <w:pStyle w:val="Nornal"/>
        <w:spacing w:after="0"/>
      </w:pPr>
    </w:p>
    <w:p w14:paraId="4D0C46F5" w14:textId="77777777" w:rsidR="00E2161C" w:rsidRPr="00E2161C" w:rsidRDefault="00E2161C" w:rsidP="00E2161C">
      <w:pPr>
        <w:pStyle w:val="Nornal"/>
        <w:spacing w:after="0"/>
      </w:pPr>
      <w:r w:rsidRPr="00E2161C">
        <w:t xml:space="preserve">Camp, R. C. (1989). </w:t>
      </w:r>
      <w:r w:rsidRPr="00E2161C">
        <w:rPr>
          <w:i/>
          <w:iCs/>
        </w:rPr>
        <w:t>Benchmarking: the search for industry best practices that lead to superior performance</w:t>
      </w:r>
      <w:r w:rsidRPr="00E2161C">
        <w:t>. ASQC Quality Press.</w:t>
      </w:r>
    </w:p>
    <w:p w14:paraId="17284AB3" w14:textId="77777777" w:rsidR="00E2161C" w:rsidRPr="00E2161C" w:rsidRDefault="00E2161C" w:rsidP="00E2161C">
      <w:pPr>
        <w:pStyle w:val="Nornal"/>
        <w:spacing w:after="0"/>
      </w:pPr>
    </w:p>
    <w:p w14:paraId="6B0AFFF7" w14:textId="77777777" w:rsidR="00E2161C" w:rsidRPr="00E2161C" w:rsidRDefault="00E2161C" w:rsidP="00E2161C">
      <w:pPr>
        <w:pStyle w:val="Nornal"/>
        <w:spacing w:after="0"/>
      </w:pPr>
      <w:r w:rsidRPr="00E2161C">
        <w:t xml:space="preserve">CIPD. (2022a). </w:t>
      </w:r>
      <w:r w:rsidRPr="00E2161C">
        <w:rPr>
          <w:i/>
          <w:iCs/>
        </w:rPr>
        <w:t>Incentives and recognition: an evidence review – practice summary</w:t>
      </w:r>
      <w:r w:rsidRPr="00E2161C">
        <w:t>. London: CIPD. Available at: https://www.cipd.org/globalassets/media/knowledge/knowledge-hub/evidence-reviews/incentives-recognition-practice-summary_tcm18-105466.pdf (Accessed: 5 August 2025).</w:t>
      </w:r>
    </w:p>
    <w:p w14:paraId="2D9016D1" w14:textId="77777777" w:rsidR="00E2161C" w:rsidRPr="00E2161C" w:rsidRDefault="00E2161C" w:rsidP="00E2161C">
      <w:pPr>
        <w:pStyle w:val="Nornal"/>
        <w:spacing w:after="0"/>
      </w:pPr>
    </w:p>
    <w:p w14:paraId="200A9434" w14:textId="77777777" w:rsidR="00E2161C" w:rsidRPr="00E2161C" w:rsidRDefault="00E2161C" w:rsidP="00E2161C">
      <w:pPr>
        <w:pStyle w:val="Nornal"/>
        <w:spacing w:after="0"/>
      </w:pPr>
      <w:r w:rsidRPr="00E2161C">
        <w:t xml:space="preserve">CIPD. (2022b). </w:t>
      </w:r>
      <w:r w:rsidRPr="00E2161C">
        <w:rPr>
          <w:i/>
          <w:iCs/>
        </w:rPr>
        <w:t>Making reward more accessible and performance management fairer</w:t>
      </w:r>
      <w:r w:rsidRPr="00E2161C">
        <w:t>. Chartered Institute of Personnel and Development.</w:t>
      </w:r>
    </w:p>
    <w:p w14:paraId="21F30E24" w14:textId="77777777" w:rsidR="00E2161C" w:rsidRPr="00E2161C" w:rsidRDefault="00E2161C" w:rsidP="00E2161C">
      <w:pPr>
        <w:pStyle w:val="Nornal"/>
        <w:spacing w:after="0"/>
      </w:pPr>
    </w:p>
    <w:p w14:paraId="50E450E7" w14:textId="77777777" w:rsidR="00E2161C" w:rsidRPr="00E2161C" w:rsidRDefault="00E2161C" w:rsidP="00E2161C">
      <w:pPr>
        <w:pStyle w:val="Nornal"/>
        <w:spacing w:after="0"/>
      </w:pPr>
      <w:r w:rsidRPr="00E2161C">
        <w:t xml:space="preserve">CIPD. (2023a). </w:t>
      </w:r>
      <w:r w:rsidRPr="00E2161C">
        <w:rPr>
          <w:i/>
          <w:iCs/>
        </w:rPr>
        <w:t>Employee benefits and rewards</w:t>
      </w:r>
      <w:r w:rsidRPr="00E2161C">
        <w:t>. Chartered Institute of Personnel and Development. Available at: https://www.cipd.org/uk/knowledge/factsheets/employee-benefits-rewards/ (Accessed: 30 July 2025).</w:t>
      </w:r>
    </w:p>
    <w:p w14:paraId="01A967E3" w14:textId="77777777" w:rsidR="00E2161C" w:rsidRPr="00E2161C" w:rsidRDefault="00E2161C" w:rsidP="00E2161C">
      <w:pPr>
        <w:pStyle w:val="Nornal"/>
        <w:spacing w:after="0"/>
      </w:pPr>
    </w:p>
    <w:p w14:paraId="620088BB" w14:textId="77777777" w:rsidR="00E2161C" w:rsidRPr="00E2161C" w:rsidRDefault="00E2161C" w:rsidP="00E2161C">
      <w:pPr>
        <w:pStyle w:val="Nornal"/>
        <w:spacing w:after="0"/>
      </w:pPr>
      <w:r w:rsidRPr="00E2161C">
        <w:lastRenderedPageBreak/>
        <w:t xml:space="preserve">CIPD. (2023b). </w:t>
      </w:r>
      <w:r w:rsidRPr="00E2161C">
        <w:rPr>
          <w:i/>
          <w:iCs/>
        </w:rPr>
        <w:t>Gender pay gap reporting</w:t>
      </w:r>
      <w:r w:rsidRPr="00E2161C">
        <w:t>. Chartered Institute of Personnel and Development. Available at: https://www.cipd.co.uk/knowledge/fundamentals/emp-law/gender-pay-gap/factsheet (Accessed: 30 July 2025).</w:t>
      </w:r>
    </w:p>
    <w:p w14:paraId="633502FB" w14:textId="77777777" w:rsidR="00E2161C" w:rsidRPr="00E2161C" w:rsidRDefault="00E2161C" w:rsidP="00E2161C">
      <w:pPr>
        <w:pStyle w:val="Nornal"/>
        <w:spacing w:after="0"/>
      </w:pPr>
    </w:p>
    <w:p w14:paraId="498A4D78" w14:textId="77777777" w:rsidR="00E2161C" w:rsidRPr="00E2161C" w:rsidRDefault="00E2161C" w:rsidP="00E2161C">
      <w:pPr>
        <w:pStyle w:val="Nornal"/>
        <w:spacing w:after="0"/>
      </w:pPr>
      <w:r w:rsidRPr="00E2161C">
        <w:t xml:space="preserve">CIPD. (2024a). </w:t>
      </w:r>
      <w:r w:rsidRPr="00E2161C">
        <w:rPr>
          <w:i/>
          <w:iCs/>
        </w:rPr>
        <w:t>Pay structures and pay progression factsheet</w:t>
      </w:r>
      <w:r w:rsidRPr="00E2161C">
        <w:t>. CIPD. Available at: https://www.cipd.org/uk/knowledge/factsheets/pay-structures-factsheet/ (Accessed: 16 July 2025).</w:t>
      </w:r>
    </w:p>
    <w:p w14:paraId="569924CE" w14:textId="77777777" w:rsidR="00E2161C" w:rsidRPr="00E2161C" w:rsidRDefault="00E2161C" w:rsidP="00E2161C">
      <w:pPr>
        <w:pStyle w:val="Nornal"/>
        <w:spacing w:after="0"/>
      </w:pPr>
    </w:p>
    <w:p w14:paraId="59CABEC6" w14:textId="77777777" w:rsidR="00E2161C" w:rsidRPr="00E2161C" w:rsidRDefault="00E2161C" w:rsidP="00E2161C">
      <w:pPr>
        <w:pStyle w:val="Nornal"/>
        <w:spacing w:after="0"/>
      </w:pPr>
      <w:r w:rsidRPr="00E2161C">
        <w:t xml:space="preserve">CIPD. (2024b). </w:t>
      </w:r>
      <w:r w:rsidRPr="00E2161C">
        <w:rPr>
          <w:i/>
          <w:iCs/>
        </w:rPr>
        <w:t>Performance-related pay factsheet</w:t>
      </w:r>
      <w:r w:rsidRPr="00E2161C">
        <w:t>. CIPD. Available at: https://www.cipd.org/uk/knowledge/factsheets/pay-performance-factsheet/ (Accessed: 29 July 2025).</w:t>
      </w:r>
    </w:p>
    <w:p w14:paraId="24347024" w14:textId="77777777" w:rsidR="00E2161C" w:rsidRPr="00E2161C" w:rsidRDefault="00E2161C" w:rsidP="00E2161C">
      <w:pPr>
        <w:pStyle w:val="Nornal"/>
        <w:spacing w:after="0"/>
      </w:pPr>
    </w:p>
    <w:p w14:paraId="52058506" w14:textId="77777777" w:rsidR="00E2161C" w:rsidRPr="00E2161C" w:rsidRDefault="00E2161C" w:rsidP="00E2161C">
      <w:pPr>
        <w:pStyle w:val="Nornal"/>
        <w:spacing w:after="0"/>
      </w:pPr>
      <w:r w:rsidRPr="00E2161C">
        <w:t xml:space="preserve">CIPD. (2025a). </w:t>
      </w:r>
      <w:r w:rsidRPr="00E2161C">
        <w:rPr>
          <w:i/>
          <w:iCs/>
        </w:rPr>
        <w:t>Employee benefits factsheet</w:t>
      </w:r>
      <w:r w:rsidRPr="00E2161C">
        <w:t>. Available at: https://www.cipd.org/uk/knowledge/factsheets/reward-factsheet/#employeebenefits (Accessed: 15 July 2025).</w:t>
      </w:r>
    </w:p>
    <w:p w14:paraId="547666DD" w14:textId="77777777" w:rsidR="00E2161C" w:rsidRPr="00E2161C" w:rsidRDefault="00E2161C" w:rsidP="00E2161C">
      <w:pPr>
        <w:pStyle w:val="Nornal"/>
        <w:spacing w:after="0"/>
      </w:pPr>
    </w:p>
    <w:p w14:paraId="38CD21E1" w14:textId="77777777" w:rsidR="00E2161C" w:rsidRPr="00E2161C" w:rsidRDefault="00E2161C" w:rsidP="00E2161C">
      <w:pPr>
        <w:pStyle w:val="Nornal"/>
        <w:spacing w:after="0"/>
      </w:pPr>
      <w:r w:rsidRPr="00E2161C">
        <w:t xml:space="preserve">CIPD. (2025b). </w:t>
      </w:r>
      <w:r w:rsidRPr="00E2161C">
        <w:rPr>
          <w:i/>
          <w:iCs/>
        </w:rPr>
        <w:t>Market pricing factsheet</w:t>
      </w:r>
      <w:r w:rsidRPr="00E2161C">
        <w:t>. Chartered Institute of Personnel and Development. Available at: https://www.cipd.org/uk/knowledge/factsheets/market-pricing-factsheet/ (Accessed: 13 August 2025).</w:t>
      </w:r>
    </w:p>
    <w:p w14:paraId="2417F62A" w14:textId="77777777" w:rsidR="00E2161C" w:rsidRPr="00E2161C" w:rsidRDefault="00E2161C" w:rsidP="00E2161C">
      <w:pPr>
        <w:pStyle w:val="Nornal"/>
        <w:spacing w:after="0"/>
      </w:pPr>
    </w:p>
    <w:p w14:paraId="30998164" w14:textId="77777777" w:rsidR="00E2161C" w:rsidRPr="00E2161C" w:rsidRDefault="00E2161C" w:rsidP="00E2161C">
      <w:pPr>
        <w:pStyle w:val="Nornal"/>
        <w:spacing w:after="0"/>
      </w:pPr>
      <w:r w:rsidRPr="00E2161C">
        <w:t xml:space="preserve">CIPD. (2025c). </w:t>
      </w:r>
      <w:r w:rsidRPr="00E2161C">
        <w:rPr>
          <w:i/>
          <w:iCs/>
        </w:rPr>
        <w:t>Performance management</w:t>
      </w:r>
      <w:r w:rsidRPr="00E2161C">
        <w:t xml:space="preserve"> [Factsheet]. Chartered Institute of Personnel and Development.</w:t>
      </w:r>
    </w:p>
    <w:p w14:paraId="20F1F92E" w14:textId="77777777" w:rsidR="00E2161C" w:rsidRPr="00E2161C" w:rsidRDefault="00E2161C" w:rsidP="00E2161C">
      <w:pPr>
        <w:pStyle w:val="Nornal"/>
        <w:spacing w:after="0"/>
      </w:pPr>
    </w:p>
    <w:p w14:paraId="0C05AC34" w14:textId="77777777" w:rsidR="00E2161C" w:rsidRPr="00E2161C" w:rsidRDefault="00E2161C" w:rsidP="00E2161C">
      <w:pPr>
        <w:pStyle w:val="Nornal"/>
        <w:spacing w:after="0"/>
      </w:pPr>
      <w:r w:rsidRPr="00E2161C">
        <w:t xml:space="preserve">CIPD. (2025d). </w:t>
      </w:r>
      <w:r w:rsidRPr="00E2161C">
        <w:rPr>
          <w:i/>
          <w:iCs/>
        </w:rPr>
        <w:t>Employee turnover and retention</w:t>
      </w:r>
      <w:r w:rsidRPr="00E2161C">
        <w:t xml:space="preserve"> [Factsheet]. Chartered Institute of Personnel and Development.</w:t>
      </w:r>
    </w:p>
    <w:p w14:paraId="21BB3E3B" w14:textId="77777777" w:rsidR="00E2161C" w:rsidRPr="00E2161C" w:rsidRDefault="00E2161C" w:rsidP="00E2161C">
      <w:pPr>
        <w:pStyle w:val="Nornal"/>
        <w:spacing w:after="0"/>
      </w:pPr>
    </w:p>
    <w:p w14:paraId="50ABF652" w14:textId="77777777" w:rsidR="00E2161C" w:rsidRPr="00E2161C" w:rsidRDefault="00E2161C" w:rsidP="00E2161C">
      <w:pPr>
        <w:pStyle w:val="Nornal"/>
        <w:spacing w:after="0"/>
      </w:pPr>
      <w:proofErr w:type="spellStart"/>
      <w:r w:rsidRPr="00E2161C">
        <w:t>Condly</w:t>
      </w:r>
      <w:proofErr w:type="spellEnd"/>
      <w:r w:rsidRPr="00E2161C">
        <w:t xml:space="preserve">, S. J., Clark, R. E. and </w:t>
      </w:r>
      <w:proofErr w:type="spellStart"/>
      <w:r w:rsidRPr="00E2161C">
        <w:t>Stolovitch</w:t>
      </w:r>
      <w:proofErr w:type="spellEnd"/>
      <w:r w:rsidRPr="00E2161C">
        <w:t xml:space="preserve">, H. D. (2003). The effects of incentives on workplace performance: a meta-analytic review of research studies. </w:t>
      </w:r>
      <w:r w:rsidRPr="00E2161C">
        <w:rPr>
          <w:i/>
          <w:iCs/>
        </w:rPr>
        <w:t>Performance Improvement Quarterly</w:t>
      </w:r>
      <w:r w:rsidRPr="00E2161C">
        <w:t xml:space="preserve">, </w:t>
      </w:r>
      <w:r w:rsidRPr="00E2161C">
        <w:rPr>
          <w:i/>
          <w:iCs/>
        </w:rPr>
        <w:t>16</w:t>
      </w:r>
      <w:r w:rsidRPr="00E2161C">
        <w:t>(3), pp.46–63.</w:t>
      </w:r>
    </w:p>
    <w:p w14:paraId="62813A7B" w14:textId="77777777" w:rsidR="00E2161C" w:rsidRPr="00E2161C" w:rsidRDefault="00E2161C" w:rsidP="00E2161C">
      <w:pPr>
        <w:pStyle w:val="Nornal"/>
        <w:spacing w:after="0"/>
      </w:pPr>
    </w:p>
    <w:p w14:paraId="701580CD" w14:textId="77777777" w:rsidR="00E2161C" w:rsidRPr="00E2161C" w:rsidRDefault="00E2161C" w:rsidP="00E2161C">
      <w:pPr>
        <w:pStyle w:val="Nornal"/>
        <w:spacing w:after="0"/>
      </w:pPr>
      <w:r w:rsidRPr="00E2161C">
        <w:t xml:space="preserve">Edwards, H. (2012). UK NHS workforce reviews. </w:t>
      </w:r>
      <w:r w:rsidRPr="00E2161C">
        <w:rPr>
          <w:i/>
          <w:iCs/>
        </w:rPr>
        <w:t>Ultrasound</w:t>
      </w:r>
      <w:r w:rsidRPr="00E2161C">
        <w:t xml:space="preserve">, </w:t>
      </w:r>
      <w:r w:rsidRPr="00E2161C">
        <w:rPr>
          <w:i/>
          <w:iCs/>
        </w:rPr>
        <w:t>20</w:t>
      </w:r>
      <w:r w:rsidRPr="00E2161C">
        <w:t>(3), pp.129–129.</w:t>
      </w:r>
    </w:p>
    <w:p w14:paraId="03FB3096" w14:textId="77777777" w:rsidR="00E2161C" w:rsidRPr="00E2161C" w:rsidRDefault="00E2161C" w:rsidP="00E2161C">
      <w:pPr>
        <w:pStyle w:val="Nornal"/>
        <w:spacing w:after="0"/>
      </w:pPr>
      <w:r w:rsidRPr="00E2161C">
        <w:t xml:space="preserve">EHRC. (2023). </w:t>
      </w:r>
      <w:r w:rsidRPr="00E2161C">
        <w:rPr>
          <w:i/>
          <w:iCs/>
        </w:rPr>
        <w:t>Equal pay and gender equality</w:t>
      </w:r>
      <w:r w:rsidRPr="00E2161C">
        <w:t>. Equality and Human Rights Commission. Available at: https://www.equalityhumanrights.com/en/advice-and-guidance/equal-pay (Accessed: 13 August 2025).</w:t>
      </w:r>
    </w:p>
    <w:p w14:paraId="4F3B3825" w14:textId="77777777" w:rsidR="00E2161C" w:rsidRPr="00E2161C" w:rsidRDefault="00E2161C" w:rsidP="00E2161C">
      <w:pPr>
        <w:pStyle w:val="Nornal"/>
        <w:spacing w:after="0"/>
      </w:pPr>
    </w:p>
    <w:p w14:paraId="5683A490" w14:textId="77777777" w:rsidR="00E2161C" w:rsidRPr="00E2161C" w:rsidRDefault="00E2161C" w:rsidP="00E2161C">
      <w:pPr>
        <w:pStyle w:val="Nornal"/>
        <w:spacing w:after="0"/>
      </w:pPr>
      <w:r w:rsidRPr="00E2161C">
        <w:t xml:space="preserve">Fisher, C. (2017). Why we should celebrate employees' birthdays. </w:t>
      </w:r>
      <w:r w:rsidRPr="00E2161C">
        <w:rPr>
          <w:i/>
          <w:iCs/>
        </w:rPr>
        <w:t>Forbes</w:t>
      </w:r>
      <w:r w:rsidRPr="00E2161C">
        <w:t>. Available at: https://www.forbes.com/sites/carolinefisher/2017/07/25/why-we-should-celebrate-employees-birthdays/ (Accessed: 5 August 2025).</w:t>
      </w:r>
    </w:p>
    <w:p w14:paraId="5A6BDDB0" w14:textId="77777777" w:rsidR="00E2161C" w:rsidRPr="00E2161C" w:rsidRDefault="00E2161C" w:rsidP="00E2161C">
      <w:pPr>
        <w:pStyle w:val="Nornal"/>
        <w:spacing w:after="0"/>
      </w:pPr>
    </w:p>
    <w:p w14:paraId="134CF963" w14:textId="77777777" w:rsidR="00E2161C" w:rsidRPr="00E2161C" w:rsidRDefault="00E2161C" w:rsidP="00E2161C">
      <w:pPr>
        <w:pStyle w:val="Nornal"/>
        <w:spacing w:after="0"/>
      </w:pPr>
      <w:r w:rsidRPr="00E2161C">
        <w:t xml:space="preserve">Green, C. P. and Heywood, J. S. (2023). Performance pay, work hours and employee health in the UK. </w:t>
      </w:r>
      <w:r w:rsidRPr="00E2161C">
        <w:rPr>
          <w:i/>
          <w:iCs/>
        </w:rPr>
        <w:t>Labour Economics</w:t>
      </w:r>
      <w:r w:rsidRPr="00E2161C">
        <w:t xml:space="preserve">, </w:t>
      </w:r>
      <w:r w:rsidRPr="00E2161C">
        <w:rPr>
          <w:i/>
          <w:iCs/>
        </w:rPr>
        <w:t>84</w:t>
      </w:r>
      <w:r w:rsidRPr="00E2161C">
        <w:t>, Article 102387.</w:t>
      </w:r>
    </w:p>
    <w:p w14:paraId="1CEB76B0" w14:textId="77777777" w:rsidR="00E2161C" w:rsidRPr="00E2161C" w:rsidRDefault="00E2161C" w:rsidP="00E2161C">
      <w:pPr>
        <w:pStyle w:val="Nornal"/>
        <w:spacing w:after="0"/>
      </w:pPr>
    </w:p>
    <w:p w14:paraId="0B0812F9" w14:textId="645165C2" w:rsidR="00E2161C" w:rsidRPr="00E2161C" w:rsidRDefault="00E2161C" w:rsidP="00E2161C">
      <w:pPr>
        <w:pStyle w:val="Nornal"/>
        <w:spacing w:after="0"/>
      </w:pPr>
      <w:proofErr w:type="spellStart"/>
      <w:r w:rsidRPr="00E2161C">
        <w:t>Guilding</w:t>
      </w:r>
      <w:proofErr w:type="spellEnd"/>
      <w:r w:rsidRPr="00E2161C">
        <w:t xml:space="preserve">, C., </w:t>
      </w:r>
      <w:proofErr w:type="spellStart"/>
      <w:r w:rsidRPr="00E2161C">
        <w:t>Lamminmaki</w:t>
      </w:r>
      <w:proofErr w:type="spellEnd"/>
      <w:r w:rsidRPr="00E2161C">
        <w:t xml:space="preserve">, D. and McManus, L. (2014). Staff turnover costs: in search of accountability. </w:t>
      </w:r>
      <w:r w:rsidRPr="00E2161C">
        <w:rPr>
          <w:i/>
          <w:iCs/>
        </w:rPr>
        <w:t>International Journal of Hospitality Management</w:t>
      </w:r>
      <w:r w:rsidRPr="00E2161C">
        <w:t xml:space="preserve">, </w:t>
      </w:r>
      <w:r w:rsidRPr="00E2161C">
        <w:rPr>
          <w:i/>
          <w:iCs/>
        </w:rPr>
        <w:t>36</w:t>
      </w:r>
      <w:r w:rsidRPr="00E2161C">
        <w:t xml:space="preserve">, pp.231–243. </w:t>
      </w:r>
      <w:hyperlink r:id="rId7" w:history="1">
        <w:r w:rsidRPr="00E2161C">
          <w:rPr>
            <w:rStyle w:val="Hyperlink"/>
          </w:rPr>
          <w:t>https://doi.org/10.1016/j.ijhm.2013.09.008</w:t>
        </w:r>
      </w:hyperlink>
    </w:p>
    <w:p w14:paraId="230CEDD0" w14:textId="77777777" w:rsidR="00E2161C" w:rsidRPr="00E2161C" w:rsidRDefault="00E2161C" w:rsidP="00E2161C">
      <w:pPr>
        <w:pStyle w:val="Nornal"/>
        <w:spacing w:after="0"/>
      </w:pPr>
    </w:p>
    <w:p w14:paraId="4FCCA349" w14:textId="77777777" w:rsidR="00E2161C" w:rsidRPr="00E2161C" w:rsidRDefault="00E2161C" w:rsidP="00E2161C">
      <w:pPr>
        <w:pStyle w:val="Nornal"/>
        <w:spacing w:after="0"/>
      </w:pPr>
      <w:r w:rsidRPr="00E2161C">
        <w:t xml:space="preserve">Kang, E. and Lee, H. (2021). Employee compensation strategy as sustainable competitive advantage for HR education practitioners. </w:t>
      </w:r>
      <w:r w:rsidRPr="00E2161C">
        <w:rPr>
          <w:i/>
          <w:iCs/>
        </w:rPr>
        <w:t>Sustainability</w:t>
      </w:r>
      <w:r w:rsidRPr="00E2161C">
        <w:t xml:space="preserve">, </w:t>
      </w:r>
      <w:r w:rsidRPr="00E2161C">
        <w:rPr>
          <w:i/>
          <w:iCs/>
        </w:rPr>
        <w:t>13</w:t>
      </w:r>
      <w:r w:rsidRPr="00E2161C">
        <w:t>(3), Article 1049.</w:t>
      </w:r>
    </w:p>
    <w:p w14:paraId="3C633A7F" w14:textId="77777777" w:rsidR="00E2161C" w:rsidRPr="00E2161C" w:rsidRDefault="00E2161C" w:rsidP="00E2161C">
      <w:pPr>
        <w:pStyle w:val="Nornal"/>
        <w:spacing w:after="0"/>
      </w:pPr>
    </w:p>
    <w:p w14:paraId="78A116A3" w14:textId="77777777" w:rsidR="00E2161C" w:rsidRPr="00E2161C" w:rsidRDefault="00E2161C" w:rsidP="00E2161C">
      <w:pPr>
        <w:pStyle w:val="Nornal"/>
        <w:spacing w:after="0"/>
      </w:pPr>
      <w:r w:rsidRPr="00E2161C">
        <w:lastRenderedPageBreak/>
        <w:t xml:space="preserve">Kaplan, R. S. and Norton, D. P. (1996). </w:t>
      </w:r>
      <w:r w:rsidRPr="00E2161C">
        <w:rPr>
          <w:i/>
          <w:iCs/>
        </w:rPr>
        <w:t>The balanced scorecard: translating strategy into action</w:t>
      </w:r>
      <w:r w:rsidRPr="00E2161C">
        <w:t>. Harvard Business School Press.</w:t>
      </w:r>
    </w:p>
    <w:p w14:paraId="3DF979BF" w14:textId="77777777" w:rsidR="00E2161C" w:rsidRPr="00E2161C" w:rsidRDefault="00E2161C" w:rsidP="00E2161C">
      <w:pPr>
        <w:pStyle w:val="Nornal"/>
        <w:spacing w:after="0"/>
      </w:pPr>
    </w:p>
    <w:p w14:paraId="56EE535D" w14:textId="77777777" w:rsidR="00E2161C" w:rsidRPr="00E2161C" w:rsidRDefault="00E2161C" w:rsidP="00E2161C">
      <w:pPr>
        <w:pStyle w:val="Nornal"/>
        <w:spacing w:after="0"/>
      </w:pPr>
      <w:r w:rsidRPr="00E2161C">
        <w:t xml:space="preserve">Manganelli, L., Thibault-Landry, A., Forest, J. and Carpentier, J. (2018). Self-determination theory can help you generate performance and well-being in the workplace: a review of the literature. </w:t>
      </w:r>
      <w:r w:rsidRPr="00E2161C">
        <w:rPr>
          <w:i/>
          <w:iCs/>
        </w:rPr>
        <w:t>Advances in Developing Human Resources</w:t>
      </w:r>
      <w:r w:rsidRPr="00E2161C">
        <w:t xml:space="preserve">, </w:t>
      </w:r>
      <w:r w:rsidRPr="00E2161C">
        <w:rPr>
          <w:i/>
          <w:iCs/>
        </w:rPr>
        <w:t>20</w:t>
      </w:r>
      <w:r w:rsidRPr="00E2161C">
        <w:t>(2), pp.227–240.</w:t>
      </w:r>
    </w:p>
    <w:p w14:paraId="6F150582" w14:textId="77777777" w:rsidR="00E2161C" w:rsidRPr="00E2161C" w:rsidRDefault="00E2161C" w:rsidP="00E2161C">
      <w:pPr>
        <w:pStyle w:val="Nornal"/>
        <w:spacing w:after="0"/>
      </w:pPr>
    </w:p>
    <w:p w14:paraId="10010336" w14:textId="77777777" w:rsidR="00E2161C" w:rsidRPr="00E2161C" w:rsidRDefault="00E2161C" w:rsidP="00E2161C">
      <w:pPr>
        <w:pStyle w:val="Nornal"/>
        <w:spacing w:after="0"/>
      </w:pPr>
      <w:r w:rsidRPr="00E2161C">
        <w:t xml:space="preserve">Manzoor, F., Wei, L. and Asif, M. (2021). Intrinsic rewards and employee’s performance with the mediating mechanism of employee’s motivation. </w:t>
      </w:r>
      <w:r w:rsidRPr="00E2161C">
        <w:rPr>
          <w:i/>
          <w:iCs/>
        </w:rPr>
        <w:t>Frontiers in Psychology</w:t>
      </w:r>
      <w:r w:rsidRPr="00E2161C">
        <w:t xml:space="preserve">, </w:t>
      </w:r>
      <w:r w:rsidRPr="00E2161C">
        <w:rPr>
          <w:i/>
          <w:iCs/>
        </w:rPr>
        <w:t>12</w:t>
      </w:r>
      <w:r w:rsidRPr="00E2161C">
        <w:t>, Article 563070. Available at: https://www.frontiersin.org/journals/psychology/articles/10.3389/fpsyg.2021.563070 (Accessed: 15 July 2025).</w:t>
      </w:r>
    </w:p>
    <w:p w14:paraId="484B6A5C" w14:textId="77777777" w:rsidR="00E2161C" w:rsidRPr="00E2161C" w:rsidRDefault="00E2161C" w:rsidP="00E2161C">
      <w:pPr>
        <w:pStyle w:val="Nornal"/>
        <w:spacing w:after="0"/>
      </w:pPr>
    </w:p>
    <w:p w14:paraId="11E4DBBA" w14:textId="77777777" w:rsidR="00E2161C" w:rsidRPr="00E2161C" w:rsidRDefault="00E2161C" w:rsidP="00E2161C">
      <w:pPr>
        <w:pStyle w:val="Nornal"/>
        <w:spacing w:after="0"/>
      </w:pPr>
      <w:r w:rsidRPr="00E2161C">
        <w:t xml:space="preserve">Neely, A., Gregory, M. and Platts, K. (2002). Performance measurement system design: a literature review and research agenda. </w:t>
      </w:r>
      <w:r w:rsidRPr="00E2161C">
        <w:rPr>
          <w:i/>
          <w:iCs/>
        </w:rPr>
        <w:t>International Journal of Operations &amp; Production Management</w:t>
      </w:r>
      <w:r w:rsidRPr="00E2161C">
        <w:t xml:space="preserve">, </w:t>
      </w:r>
      <w:r w:rsidRPr="00E2161C">
        <w:rPr>
          <w:i/>
          <w:iCs/>
        </w:rPr>
        <w:t>25</w:t>
      </w:r>
      <w:r w:rsidRPr="00E2161C">
        <w:t>(12), pp.1228–1263.</w:t>
      </w:r>
    </w:p>
    <w:p w14:paraId="5BC9B2FC" w14:textId="77777777" w:rsidR="00E2161C" w:rsidRPr="00E2161C" w:rsidRDefault="00E2161C" w:rsidP="00E2161C">
      <w:pPr>
        <w:pStyle w:val="Nornal"/>
        <w:spacing w:after="0"/>
      </w:pPr>
    </w:p>
    <w:p w14:paraId="13CE2F63" w14:textId="77777777" w:rsidR="00E2161C" w:rsidRPr="00E2161C" w:rsidRDefault="00E2161C" w:rsidP="00E2161C">
      <w:pPr>
        <w:pStyle w:val="Nornal"/>
        <w:spacing w:after="0"/>
      </w:pPr>
      <w:r w:rsidRPr="00E2161C">
        <w:t xml:space="preserve">Parmenter, D. (2015). </w:t>
      </w:r>
      <w:r w:rsidRPr="00E2161C">
        <w:rPr>
          <w:i/>
          <w:iCs/>
        </w:rPr>
        <w:t>Key performance indicators: developing, implementing, and using winning KPIs</w:t>
      </w:r>
      <w:r w:rsidRPr="00E2161C">
        <w:t xml:space="preserve"> (3rd ed.). Wiley.</w:t>
      </w:r>
    </w:p>
    <w:p w14:paraId="379F49EC" w14:textId="77777777" w:rsidR="00E2161C" w:rsidRPr="00E2161C" w:rsidRDefault="00E2161C" w:rsidP="00E2161C">
      <w:pPr>
        <w:pStyle w:val="Nornal"/>
        <w:spacing w:after="0"/>
      </w:pPr>
    </w:p>
    <w:p w14:paraId="67FCA102" w14:textId="77777777" w:rsidR="00E2161C" w:rsidRPr="00E2161C" w:rsidRDefault="00E2161C" w:rsidP="00E2161C">
      <w:pPr>
        <w:pStyle w:val="Nornal"/>
        <w:spacing w:after="0"/>
      </w:pPr>
      <w:r w:rsidRPr="00E2161C">
        <w:t xml:space="preserve">Patton, M. Q. (2002). </w:t>
      </w:r>
      <w:r w:rsidRPr="00E2161C">
        <w:rPr>
          <w:i/>
          <w:iCs/>
        </w:rPr>
        <w:t>Qualitative research &amp; evaluation methods</w:t>
      </w:r>
      <w:r w:rsidRPr="00E2161C">
        <w:t xml:space="preserve"> (3rd ed.). Sage Publications.</w:t>
      </w:r>
    </w:p>
    <w:p w14:paraId="188BE64D" w14:textId="77777777" w:rsidR="00E2161C" w:rsidRPr="00E2161C" w:rsidRDefault="00E2161C" w:rsidP="00E2161C">
      <w:pPr>
        <w:pStyle w:val="Nornal"/>
        <w:spacing w:after="0"/>
      </w:pPr>
    </w:p>
    <w:p w14:paraId="61B9C4D5" w14:textId="77777777" w:rsidR="00E2161C" w:rsidRPr="00E2161C" w:rsidRDefault="00E2161C" w:rsidP="00E2161C">
      <w:pPr>
        <w:pStyle w:val="Nornal"/>
        <w:spacing w:after="0"/>
      </w:pPr>
      <w:r w:rsidRPr="00E2161C">
        <w:t xml:space="preserve">People Management. (2023). Why recognition and reward in 2023? </w:t>
      </w:r>
      <w:r w:rsidRPr="00E2161C">
        <w:rPr>
          <w:i/>
          <w:iCs/>
        </w:rPr>
        <w:t>People Management</w:t>
      </w:r>
      <w:r w:rsidRPr="00E2161C">
        <w:t>. Available at: https://www.peoplemanagement.co.uk/article/182361/why-recognition-and-reward-in-2023 (Accessed: 13 August 2025).</w:t>
      </w:r>
    </w:p>
    <w:p w14:paraId="4C2C04F3" w14:textId="77777777" w:rsidR="00E2161C" w:rsidRPr="00E2161C" w:rsidRDefault="00E2161C" w:rsidP="00E2161C">
      <w:pPr>
        <w:pStyle w:val="Nornal"/>
        <w:spacing w:after="0"/>
      </w:pPr>
    </w:p>
    <w:p w14:paraId="2EC109EE" w14:textId="77777777" w:rsidR="00E2161C" w:rsidRPr="00E2161C" w:rsidRDefault="00E2161C" w:rsidP="00E2161C">
      <w:pPr>
        <w:pStyle w:val="Nornal"/>
        <w:spacing w:after="0"/>
      </w:pPr>
      <w:proofErr w:type="spellStart"/>
      <w:r w:rsidRPr="00E2161C">
        <w:t>Prouska</w:t>
      </w:r>
      <w:proofErr w:type="spellEnd"/>
      <w:r w:rsidRPr="00E2161C">
        <w:t xml:space="preserve">, R., </w:t>
      </w:r>
      <w:proofErr w:type="spellStart"/>
      <w:r w:rsidRPr="00E2161C">
        <w:t>Psychogios</w:t>
      </w:r>
      <w:proofErr w:type="spellEnd"/>
      <w:r w:rsidRPr="00E2161C">
        <w:t xml:space="preserve">, A. and Szamosi, L. (2021). The dark side of pay-for-performance: a systematic review and agenda for future research. </w:t>
      </w:r>
      <w:r w:rsidRPr="00E2161C">
        <w:rPr>
          <w:i/>
          <w:iCs/>
        </w:rPr>
        <w:t>Human Resource Management Review</w:t>
      </w:r>
      <w:r w:rsidRPr="00E2161C">
        <w:t xml:space="preserve">, </w:t>
      </w:r>
      <w:r w:rsidRPr="00E2161C">
        <w:rPr>
          <w:i/>
          <w:iCs/>
        </w:rPr>
        <w:t>31</w:t>
      </w:r>
      <w:r w:rsidRPr="00E2161C">
        <w:t>(3), Article 100770.</w:t>
      </w:r>
    </w:p>
    <w:p w14:paraId="0C4B5AF7" w14:textId="77777777" w:rsidR="00E2161C" w:rsidRPr="00E2161C" w:rsidRDefault="00E2161C" w:rsidP="00E2161C">
      <w:pPr>
        <w:pStyle w:val="Nornal"/>
        <w:spacing w:after="0"/>
      </w:pPr>
    </w:p>
    <w:p w14:paraId="3EA6AE2D" w14:textId="77777777" w:rsidR="00E2161C" w:rsidRPr="00E2161C" w:rsidRDefault="00E2161C" w:rsidP="00E2161C">
      <w:pPr>
        <w:pStyle w:val="Nornal"/>
        <w:spacing w:after="0"/>
      </w:pPr>
      <w:r w:rsidRPr="00E2161C">
        <w:t xml:space="preserve">Rajesh, E., Verma, A., Bhandari, M., Agarwal, K. and </w:t>
      </w:r>
      <w:proofErr w:type="spellStart"/>
      <w:r w:rsidRPr="00E2161C">
        <w:t>Shreevamshi</w:t>
      </w:r>
      <w:proofErr w:type="spellEnd"/>
      <w:r w:rsidRPr="00E2161C">
        <w:t xml:space="preserve"> (2024). Intrinsic &amp; extrinsic motivation &amp; its impact on organizational performance at Rajkot city: a review. </w:t>
      </w:r>
      <w:r w:rsidRPr="00E2161C">
        <w:rPr>
          <w:i/>
          <w:iCs/>
        </w:rPr>
        <w:t>Journal of Informatics Education and Research</w:t>
      </w:r>
      <w:r w:rsidRPr="00E2161C">
        <w:t xml:space="preserve">, </w:t>
      </w:r>
      <w:r w:rsidRPr="00E2161C">
        <w:rPr>
          <w:i/>
          <w:iCs/>
        </w:rPr>
        <w:t>4</w:t>
      </w:r>
      <w:r w:rsidRPr="00E2161C">
        <w:t>(2), pp.2754–2758. Available at: https://jier.org/index.php/journal/article/view/1185 (Accessed: 15 July 2025).</w:t>
      </w:r>
    </w:p>
    <w:p w14:paraId="023567D2" w14:textId="77777777" w:rsidR="00E2161C" w:rsidRPr="00E2161C" w:rsidRDefault="00E2161C" w:rsidP="00E2161C">
      <w:pPr>
        <w:pStyle w:val="Nornal"/>
        <w:spacing w:after="0"/>
      </w:pPr>
    </w:p>
    <w:p w14:paraId="1B74CF77" w14:textId="77777777" w:rsidR="00E2161C" w:rsidRPr="00E2161C" w:rsidRDefault="00E2161C" w:rsidP="00E2161C">
      <w:pPr>
        <w:pStyle w:val="Nornal"/>
        <w:spacing w:after="0"/>
      </w:pPr>
      <w:r w:rsidRPr="00E2161C">
        <w:t xml:space="preserve">Reena, B. and Bonjour, R. H. (2010). Motivation: extrinsic and intrinsic. </w:t>
      </w:r>
      <w:r w:rsidRPr="00E2161C">
        <w:rPr>
          <w:i/>
          <w:iCs/>
        </w:rPr>
        <w:t>Language in India</w:t>
      </w:r>
      <w:r w:rsidRPr="00E2161C">
        <w:t xml:space="preserve">, </w:t>
      </w:r>
      <w:r w:rsidRPr="00E2161C">
        <w:rPr>
          <w:i/>
          <w:iCs/>
        </w:rPr>
        <w:t>10</w:t>
      </w:r>
      <w:r w:rsidRPr="00E2161C">
        <w:t>(12).</w:t>
      </w:r>
    </w:p>
    <w:p w14:paraId="474167A0" w14:textId="77777777" w:rsidR="00E2161C" w:rsidRPr="00E2161C" w:rsidRDefault="00E2161C" w:rsidP="00E2161C">
      <w:pPr>
        <w:pStyle w:val="Nornal"/>
        <w:spacing w:after="0"/>
      </w:pPr>
    </w:p>
    <w:p w14:paraId="6B47B6E9" w14:textId="77777777" w:rsidR="00E2161C" w:rsidRPr="00E2161C" w:rsidRDefault="00E2161C" w:rsidP="00E2161C">
      <w:pPr>
        <w:pStyle w:val="Nornal"/>
        <w:spacing w:after="0"/>
      </w:pPr>
      <w:r w:rsidRPr="00E2161C">
        <w:t xml:space="preserve">Reid, E. and Martin, K. (2024). Recruitment marketing in charities: challenges and opportunities. In </w:t>
      </w:r>
      <w:r w:rsidRPr="00E2161C">
        <w:rPr>
          <w:i/>
          <w:iCs/>
        </w:rPr>
        <w:t>The future of charity marketing</w:t>
      </w:r>
      <w:r w:rsidRPr="00E2161C">
        <w:t>, pp.111–122.</w:t>
      </w:r>
    </w:p>
    <w:p w14:paraId="0C8DFF01" w14:textId="77777777" w:rsidR="00E2161C" w:rsidRPr="00E2161C" w:rsidRDefault="00E2161C" w:rsidP="00E2161C">
      <w:pPr>
        <w:pStyle w:val="Nornal"/>
        <w:spacing w:after="0"/>
      </w:pPr>
    </w:p>
    <w:p w14:paraId="3940E8B4" w14:textId="77777777" w:rsidR="00E2161C" w:rsidRPr="00E2161C" w:rsidRDefault="00E2161C" w:rsidP="00E2161C">
      <w:pPr>
        <w:pStyle w:val="Nornal"/>
        <w:spacing w:after="0"/>
      </w:pPr>
      <w:r w:rsidRPr="00E2161C">
        <w:t xml:space="preserve">Salimi, M. and Della Torre, E. (2022). Warm glow or extra charge? The hidden costs of performance related pay for employee wellbeing. </w:t>
      </w:r>
      <w:r w:rsidRPr="00E2161C">
        <w:rPr>
          <w:i/>
          <w:iCs/>
        </w:rPr>
        <w:t>Academy of Management Proceedings</w:t>
      </w:r>
      <w:r w:rsidRPr="00E2161C">
        <w:t xml:space="preserve">, </w:t>
      </w:r>
      <w:r w:rsidRPr="00E2161C">
        <w:rPr>
          <w:i/>
          <w:iCs/>
        </w:rPr>
        <w:t>2022</w:t>
      </w:r>
      <w:r w:rsidRPr="00E2161C">
        <w:t>(1), Article 10362.</w:t>
      </w:r>
    </w:p>
    <w:p w14:paraId="68B8D5F9" w14:textId="77777777" w:rsidR="00E2161C" w:rsidRPr="00E2161C" w:rsidRDefault="00E2161C" w:rsidP="00E2161C">
      <w:pPr>
        <w:pStyle w:val="Nornal"/>
        <w:spacing w:after="0"/>
      </w:pPr>
    </w:p>
    <w:p w14:paraId="0A2C1623" w14:textId="77777777" w:rsidR="00E2161C" w:rsidRPr="00E2161C" w:rsidRDefault="00E2161C" w:rsidP="00E2161C">
      <w:pPr>
        <w:pStyle w:val="Nornal"/>
        <w:spacing w:after="0"/>
      </w:pPr>
      <w:r w:rsidRPr="00E2161C">
        <w:t xml:space="preserve">Saunders, M., Lewis, P. and Thornhill, A. (2019). </w:t>
      </w:r>
      <w:r w:rsidRPr="00E2161C">
        <w:rPr>
          <w:i/>
          <w:iCs/>
        </w:rPr>
        <w:t>Research methods for business students</w:t>
      </w:r>
      <w:r w:rsidRPr="00E2161C">
        <w:t xml:space="preserve"> (8th ed.). Pearson.</w:t>
      </w:r>
    </w:p>
    <w:p w14:paraId="4151E9B1" w14:textId="77777777" w:rsidR="00E2161C" w:rsidRPr="00E2161C" w:rsidRDefault="00E2161C" w:rsidP="00E2161C">
      <w:pPr>
        <w:pStyle w:val="Nornal"/>
        <w:spacing w:after="0"/>
      </w:pPr>
    </w:p>
    <w:p w14:paraId="03F0463F" w14:textId="77777777" w:rsidR="00E2161C" w:rsidRPr="00E2161C" w:rsidRDefault="00E2161C" w:rsidP="00E2161C">
      <w:pPr>
        <w:pStyle w:val="Nornal"/>
        <w:spacing w:after="0"/>
      </w:pPr>
      <w:r w:rsidRPr="00E2161C">
        <w:lastRenderedPageBreak/>
        <w:t xml:space="preserve">Sun, X. and Luo, N. (2013). Study on the effectiveness of point-factor job evaluation system in operation position. </w:t>
      </w:r>
      <w:r w:rsidRPr="00E2161C">
        <w:rPr>
          <w:i/>
          <w:iCs/>
        </w:rPr>
        <w:t>Communications in Information Science and Management Engineering</w:t>
      </w:r>
      <w:r w:rsidRPr="00E2161C">
        <w:t xml:space="preserve">, </w:t>
      </w:r>
      <w:r w:rsidRPr="00E2161C">
        <w:rPr>
          <w:i/>
          <w:iCs/>
        </w:rPr>
        <w:t>3</w:t>
      </w:r>
      <w:r w:rsidRPr="00E2161C">
        <w:t>(3), pp.154.</w:t>
      </w:r>
    </w:p>
    <w:p w14:paraId="2FFA8119" w14:textId="77777777" w:rsidR="00E2161C" w:rsidRPr="00E2161C" w:rsidRDefault="00E2161C" w:rsidP="00E2161C">
      <w:pPr>
        <w:pStyle w:val="Nornal"/>
        <w:spacing w:after="0"/>
      </w:pPr>
    </w:p>
    <w:p w14:paraId="33C39C2E" w14:textId="77777777" w:rsidR="00E2161C" w:rsidRPr="00E2161C" w:rsidRDefault="00E2161C" w:rsidP="00E2161C">
      <w:pPr>
        <w:pStyle w:val="Nornal"/>
        <w:spacing w:after="0"/>
      </w:pPr>
      <w:r w:rsidRPr="00E2161C">
        <w:t xml:space="preserve">Taylor, S. and Woodhams, C. (2022). </w:t>
      </w:r>
      <w:r w:rsidRPr="00E2161C">
        <w:rPr>
          <w:i/>
          <w:iCs/>
        </w:rPr>
        <w:t>Human resource management: people and organisations</w:t>
      </w:r>
      <w:r w:rsidRPr="00E2161C">
        <w:t xml:space="preserve"> (3rd ed.). London: CIPD / Kogan Page.</w:t>
      </w:r>
    </w:p>
    <w:p w14:paraId="02EE04EF" w14:textId="77777777" w:rsidR="00E2161C" w:rsidRPr="00E2161C" w:rsidRDefault="00E2161C" w:rsidP="00E2161C">
      <w:pPr>
        <w:pStyle w:val="Nornal"/>
        <w:spacing w:after="0"/>
      </w:pPr>
    </w:p>
    <w:p w14:paraId="724B5A83" w14:textId="77777777" w:rsidR="00E2161C" w:rsidRPr="00E2161C" w:rsidRDefault="00E2161C" w:rsidP="00E2161C">
      <w:pPr>
        <w:pStyle w:val="Nornal"/>
        <w:spacing w:after="0"/>
      </w:pPr>
      <w:r w:rsidRPr="00E2161C">
        <w:t xml:space="preserve">The Times. (2024). Proposed pay gap reporting for ethnic minorities and disabled staff. </w:t>
      </w:r>
      <w:r w:rsidRPr="00E2161C">
        <w:rPr>
          <w:i/>
          <w:iCs/>
        </w:rPr>
        <w:t>The Times</w:t>
      </w:r>
      <w:r w:rsidRPr="00E2161C">
        <w:t>. Available at: https://www.thetimes.co.uk/article/proposed-pay-gap-reporting-2024 (Accessed: 13 August 2025).</w:t>
      </w:r>
    </w:p>
    <w:p w14:paraId="3AF7D52C" w14:textId="77777777" w:rsidR="00E2161C" w:rsidRPr="00E2161C" w:rsidRDefault="00E2161C" w:rsidP="00E2161C">
      <w:pPr>
        <w:pStyle w:val="Nornal"/>
        <w:spacing w:after="0"/>
      </w:pPr>
    </w:p>
    <w:p w14:paraId="4FDC5092" w14:textId="77777777" w:rsidR="00E2161C" w:rsidRPr="00E2161C" w:rsidRDefault="00E2161C" w:rsidP="00E2161C">
      <w:pPr>
        <w:pStyle w:val="Nornal"/>
        <w:spacing w:after="0"/>
      </w:pPr>
      <w:r w:rsidRPr="00E2161C">
        <w:t xml:space="preserve">UK Government. (2025). </w:t>
      </w:r>
      <w:r w:rsidRPr="00E2161C">
        <w:rPr>
          <w:i/>
          <w:iCs/>
        </w:rPr>
        <w:t>National Minimum Wage and National Living Wage rates</w:t>
      </w:r>
      <w:r w:rsidRPr="00E2161C">
        <w:t>. Available at: https://www.gov.uk/national-minimum-wage-rates (Accessed: 13 August 2025).</w:t>
      </w:r>
    </w:p>
    <w:p w14:paraId="78E1143D" w14:textId="77777777" w:rsidR="00E2161C" w:rsidRPr="00E2161C" w:rsidRDefault="00E2161C" w:rsidP="00E2161C">
      <w:pPr>
        <w:pStyle w:val="Nornal"/>
        <w:spacing w:after="0"/>
      </w:pPr>
    </w:p>
    <w:p w14:paraId="520BC9FA" w14:textId="77777777" w:rsidR="00E2161C" w:rsidRPr="00E2161C" w:rsidRDefault="00E2161C" w:rsidP="00E2161C">
      <w:pPr>
        <w:pStyle w:val="Nornal"/>
        <w:spacing w:after="0"/>
      </w:pPr>
      <w:r w:rsidRPr="00E2161C">
        <w:t>UK Parliament. (2023). Written question and answer: London Weighting. Available at: https://questions-statements.parliament.uk/written-questions/detail/2023-07-19/195142/ (Accessed: 8 August 2025).</w:t>
      </w:r>
    </w:p>
    <w:p w14:paraId="20898E74" w14:textId="77777777" w:rsidR="00E2161C" w:rsidRPr="00E2161C" w:rsidRDefault="00E2161C" w:rsidP="00E2161C">
      <w:pPr>
        <w:pStyle w:val="Nornal"/>
        <w:spacing w:after="0"/>
      </w:pPr>
    </w:p>
    <w:p w14:paraId="29506CF7" w14:textId="77777777" w:rsidR="00E2161C" w:rsidRPr="00E2161C" w:rsidRDefault="00E2161C" w:rsidP="00E2161C">
      <w:pPr>
        <w:pStyle w:val="Nornal"/>
        <w:spacing w:after="0"/>
      </w:pPr>
      <w:r w:rsidRPr="00E2161C">
        <w:t xml:space="preserve">UNISON. (2019). </w:t>
      </w:r>
      <w:r w:rsidRPr="00E2161C">
        <w:rPr>
          <w:i/>
          <w:iCs/>
        </w:rPr>
        <w:t>Pay structures</w:t>
      </w:r>
      <w:r w:rsidRPr="00E2161C">
        <w:t>. UNISON. Available at: https://www.unison.org.uk/content/uploads/2019/05/Pay-structures-v2.pdf (Accessed: 16 July 2025).</w:t>
      </w:r>
    </w:p>
    <w:p w14:paraId="1CC3E82C" w14:textId="77777777" w:rsidR="00E2161C" w:rsidRPr="00E2161C" w:rsidRDefault="00E2161C" w:rsidP="00E2161C">
      <w:pPr>
        <w:pStyle w:val="Nornal"/>
        <w:spacing w:after="0"/>
      </w:pPr>
    </w:p>
    <w:p w14:paraId="0D70FDD9" w14:textId="77777777" w:rsidR="00E2161C" w:rsidRPr="00E2161C" w:rsidRDefault="00E2161C" w:rsidP="00E2161C">
      <w:pPr>
        <w:pStyle w:val="Nornal"/>
        <w:spacing w:after="0"/>
      </w:pPr>
      <w:r w:rsidRPr="00E2161C">
        <w:t xml:space="preserve">Vander Weerdt, D., Martens, E. and De Kock, J. (2023). The productivity impact of paid sick leave: a meta-analysis. </w:t>
      </w:r>
      <w:r w:rsidRPr="00E2161C">
        <w:rPr>
          <w:i/>
          <w:iCs/>
        </w:rPr>
        <w:t>International Journal of Workplace Health Management</w:t>
      </w:r>
      <w:r w:rsidRPr="00E2161C">
        <w:t xml:space="preserve">, </w:t>
      </w:r>
      <w:r w:rsidRPr="00E2161C">
        <w:rPr>
          <w:i/>
          <w:iCs/>
        </w:rPr>
        <w:t>16</w:t>
      </w:r>
      <w:r w:rsidRPr="00E2161C">
        <w:t>(1), pp.22–38.</w:t>
      </w:r>
    </w:p>
    <w:p w14:paraId="693D972C" w14:textId="77777777" w:rsidR="00E2161C" w:rsidRPr="00E2161C" w:rsidRDefault="00E2161C" w:rsidP="00E2161C">
      <w:pPr>
        <w:pStyle w:val="Nornal"/>
        <w:spacing w:after="0"/>
      </w:pPr>
    </w:p>
    <w:p w14:paraId="42C73790" w14:textId="77777777" w:rsidR="00E2161C" w:rsidRPr="00E2161C" w:rsidRDefault="00E2161C" w:rsidP="00E2161C">
      <w:pPr>
        <w:pStyle w:val="Nornal"/>
        <w:spacing w:after="0"/>
      </w:pPr>
      <w:r w:rsidRPr="00E2161C">
        <w:t xml:space="preserve">Vroom, V., Porter, L. and Lawler, E. (2015). Expectancy theories. In </w:t>
      </w:r>
      <w:r w:rsidRPr="00E2161C">
        <w:rPr>
          <w:i/>
          <w:iCs/>
        </w:rPr>
        <w:t xml:space="preserve">Organizational </w:t>
      </w:r>
      <w:proofErr w:type="spellStart"/>
      <w:r w:rsidRPr="00E2161C">
        <w:rPr>
          <w:i/>
          <w:iCs/>
        </w:rPr>
        <w:t>behavior</w:t>
      </w:r>
      <w:proofErr w:type="spellEnd"/>
      <w:r w:rsidRPr="00E2161C">
        <w:rPr>
          <w:i/>
          <w:iCs/>
        </w:rPr>
        <w:t xml:space="preserve"> 1</w:t>
      </w:r>
      <w:r w:rsidRPr="00E2161C">
        <w:t>, pp.94–113. Routledge.</w:t>
      </w:r>
    </w:p>
    <w:p w14:paraId="559E2407" w14:textId="77777777" w:rsidR="009D5B78" w:rsidRPr="00E2161C" w:rsidRDefault="009D5B78" w:rsidP="00485554">
      <w:pPr>
        <w:pStyle w:val="Nornal"/>
        <w:spacing w:after="0" w:line="240" w:lineRule="auto"/>
        <w:rPr>
          <w:rFonts w:ascii="Trebuchet MS" w:hAnsi="Trebuchet MS"/>
          <w:color w:val="000000"/>
        </w:rPr>
      </w:pPr>
    </w:p>
    <w:p w14:paraId="2043F6A0" w14:textId="77777777" w:rsidR="00485554" w:rsidRPr="00E2161C" w:rsidRDefault="00485554"/>
    <w:p w14:paraId="12C24C13" w14:textId="77777777" w:rsidR="00485554" w:rsidRPr="00E2161C" w:rsidRDefault="00485554"/>
    <w:sectPr w:rsidR="00485554" w:rsidRPr="00E216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38022" w14:textId="77777777" w:rsidR="00E12ADC" w:rsidRDefault="00E12ADC" w:rsidP="00A978DA">
      <w:pPr>
        <w:spacing w:line="240" w:lineRule="auto"/>
      </w:pPr>
      <w:r>
        <w:separator/>
      </w:r>
    </w:p>
  </w:endnote>
  <w:endnote w:type="continuationSeparator" w:id="0">
    <w:p w14:paraId="4F00B4B1" w14:textId="77777777" w:rsidR="00E12ADC" w:rsidRDefault="00E12ADC" w:rsidP="00A978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FD2D2" w14:textId="77777777" w:rsidR="00E12ADC" w:rsidRDefault="00E12ADC" w:rsidP="00A978DA">
      <w:pPr>
        <w:spacing w:line="240" w:lineRule="auto"/>
      </w:pPr>
      <w:r>
        <w:separator/>
      </w:r>
    </w:p>
  </w:footnote>
  <w:footnote w:type="continuationSeparator" w:id="0">
    <w:p w14:paraId="2089FCB5" w14:textId="77777777" w:rsidR="00E12ADC" w:rsidRDefault="00E12ADC" w:rsidP="00A978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69287EB6"/>
    <w:multiLevelType w:val="hybridMultilevel"/>
    <w:tmpl w:val="729644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0356007">
    <w:abstractNumId w:val="0"/>
  </w:num>
  <w:num w:numId="2" w16cid:durableId="10392355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151"/>
    <w:rsid w:val="000316DE"/>
    <w:rsid w:val="00040B48"/>
    <w:rsid w:val="00053754"/>
    <w:rsid w:val="0006052B"/>
    <w:rsid w:val="000620DE"/>
    <w:rsid w:val="00065F54"/>
    <w:rsid w:val="000671F6"/>
    <w:rsid w:val="000806D1"/>
    <w:rsid w:val="00083708"/>
    <w:rsid w:val="00084AEE"/>
    <w:rsid w:val="00086623"/>
    <w:rsid w:val="000869CE"/>
    <w:rsid w:val="000B2800"/>
    <w:rsid w:val="000C348D"/>
    <w:rsid w:val="000D307C"/>
    <w:rsid w:val="000F23C5"/>
    <w:rsid w:val="000F2B17"/>
    <w:rsid w:val="000F61D8"/>
    <w:rsid w:val="0010579B"/>
    <w:rsid w:val="00136EDD"/>
    <w:rsid w:val="00165C23"/>
    <w:rsid w:val="00177A39"/>
    <w:rsid w:val="00185DCC"/>
    <w:rsid w:val="00192005"/>
    <w:rsid w:val="001B5B4D"/>
    <w:rsid w:val="001C0475"/>
    <w:rsid w:val="00200240"/>
    <w:rsid w:val="00214C97"/>
    <w:rsid w:val="00232F5D"/>
    <w:rsid w:val="00234A2B"/>
    <w:rsid w:val="00236721"/>
    <w:rsid w:val="00262048"/>
    <w:rsid w:val="002640B0"/>
    <w:rsid w:val="00287428"/>
    <w:rsid w:val="00296490"/>
    <w:rsid w:val="002B0847"/>
    <w:rsid w:val="002C14A1"/>
    <w:rsid w:val="002E0A11"/>
    <w:rsid w:val="00327376"/>
    <w:rsid w:val="00346CB0"/>
    <w:rsid w:val="003539E3"/>
    <w:rsid w:val="00365153"/>
    <w:rsid w:val="00375589"/>
    <w:rsid w:val="003756F8"/>
    <w:rsid w:val="00375845"/>
    <w:rsid w:val="0037654B"/>
    <w:rsid w:val="003F1DC9"/>
    <w:rsid w:val="004049C0"/>
    <w:rsid w:val="0042363F"/>
    <w:rsid w:val="00445140"/>
    <w:rsid w:val="004508C6"/>
    <w:rsid w:val="00466A21"/>
    <w:rsid w:val="00476015"/>
    <w:rsid w:val="00485554"/>
    <w:rsid w:val="00491418"/>
    <w:rsid w:val="004B635A"/>
    <w:rsid w:val="004E17C2"/>
    <w:rsid w:val="004E6979"/>
    <w:rsid w:val="004F288C"/>
    <w:rsid w:val="004F32F5"/>
    <w:rsid w:val="005364E5"/>
    <w:rsid w:val="00571A21"/>
    <w:rsid w:val="00573803"/>
    <w:rsid w:val="005A5F4D"/>
    <w:rsid w:val="00607861"/>
    <w:rsid w:val="006155EA"/>
    <w:rsid w:val="006220A5"/>
    <w:rsid w:val="00670727"/>
    <w:rsid w:val="006C21E7"/>
    <w:rsid w:val="006E0B2D"/>
    <w:rsid w:val="006E21D6"/>
    <w:rsid w:val="006E3560"/>
    <w:rsid w:val="006E718A"/>
    <w:rsid w:val="007003BA"/>
    <w:rsid w:val="00712760"/>
    <w:rsid w:val="007133D4"/>
    <w:rsid w:val="007143C6"/>
    <w:rsid w:val="00742308"/>
    <w:rsid w:val="00750700"/>
    <w:rsid w:val="00781699"/>
    <w:rsid w:val="00786F97"/>
    <w:rsid w:val="007A55BF"/>
    <w:rsid w:val="007B0D5A"/>
    <w:rsid w:val="007D5C1E"/>
    <w:rsid w:val="007D68B0"/>
    <w:rsid w:val="00802AB8"/>
    <w:rsid w:val="00824868"/>
    <w:rsid w:val="0085795A"/>
    <w:rsid w:val="0086697C"/>
    <w:rsid w:val="00885FEF"/>
    <w:rsid w:val="008E06CA"/>
    <w:rsid w:val="008E3E98"/>
    <w:rsid w:val="008E49B7"/>
    <w:rsid w:val="008F4541"/>
    <w:rsid w:val="00902800"/>
    <w:rsid w:val="0091375E"/>
    <w:rsid w:val="00927C9E"/>
    <w:rsid w:val="00946F72"/>
    <w:rsid w:val="009D5B78"/>
    <w:rsid w:val="009E620B"/>
    <w:rsid w:val="009F351F"/>
    <w:rsid w:val="00A52D52"/>
    <w:rsid w:val="00A81A72"/>
    <w:rsid w:val="00A83C37"/>
    <w:rsid w:val="00A8454C"/>
    <w:rsid w:val="00A84EA1"/>
    <w:rsid w:val="00A978DA"/>
    <w:rsid w:val="00AA0D16"/>
    <w:rsid w:val="00AA2CD6"/>
    <w:rsid w:val="00AB02C6"/>
    <w:rsid w:val="00AB2FF2"/>
    <w:rsid w:val="00AB3DEB"/>
    <w:rsid w:val="00AC1209"/>
    <w:rsid w:val="00AC64D2"/>
    <w:rsid w:val="00AE671F"/>
    <w:rsid w:val="00AF6098"/>
    <w:rsid w:val="00AF667C"/>
    <w:rsid w:val="00B14151"/>
    <w:rsid w:val="00B14A52"/>
    <w:rsid w:val="00B213D7"/>
    <w:rsid w:val="00B23574"/>
    <w:rsid w:val="00B2547B"/>
    <w:rsid w:val="00B30E13"/>
    <w:rsid w:val="00B32C48"/>
    <w:rsid w:val="00B45D04"/>
    <w:rsid w:val="00B837E6"/>
    <w:rsid w:val="00BA0A06"/>
    <w:rsid w:val="00BA7F89"/>
    <w:rsid w:val="00C60BC9"/>
    <w:rsid w:val="00C70ABE"/>
    <w:rsid w:val="00C85EDF"/>
    <w:rsid w:val="00CB3B7E"/>
    <w:rsid w:val="00CC7033"/>
    <w:rsid w:val="00CD706B"/>
    <w:rsid w:val="00CE1036"/>
    <w:rsid w:val="00CF46C6"/>
    <w:rsid w:val="00D104A1"/>
    <w:rsid w:val="00D1146F"/>
    <w:rsid w:val="00D12733"/>
    <w:rsid w:val="00D628A7"/>
    <w:rsid w:val="00D932C3"/>
    <w:rsid w:val="00D94E0F"/>
    <w:rsid w:val="00D94F28"/>
    <w:rsid w:val="00DA0523"/>
    <w:rsid w:val="00DD3DC7"/>
    <w:rsid w:val="00DF65F2"/>
    <w:rsid w:val="00E10DEE"/>
    <w:rsid w:val="00E12ADC"/>
    <w:rsid w:val="00E2161C"/>
    <w:rsid w:val="00E62CDF"/>
    <w:rsid w:val="00E70E18"/>
    <w:rsid w:val="00E83C2B"/>
    <w:rsid w:val="00E95E27"/>
    <w:rsid w:val="00EA53C4"/>
    <w:rsid w:val="00EC6EC9"/>
    <w:rsid w:val="00ED08D1"/>
    <w:rsid w:val="00EE17E2"/>
    <w:rsid w:val="00EF11E9"/>
    <w:rsid w:val="00EF14EF"/>
    <w:rsid w:val="00EF7E34"/>
    <w:rsid w:val="00F20D4F"/>
    <w:rsid w:val="00F20F58"/>
    <w:rsid w:val="00F47ABE"/>
    <w:rsid w:val="00F55C55"/>
    <w:rsid w:val="00F62E4D"/>
    <w:rsid w:val="00F769C0"/>
    <w:rsid w:val="00F857FC"/>
    <w:rsid w:val="00F93F35"/>
    <w:rsid w:val="00FB586A"/>
    <w:rsid w:val="00FE7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AF42B"/>
  <w15:chartTrackingRefBased/>
  <w15:docId w15:val="{C49CC586-4F77-43F2-B7F9-5AEC4E3B9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14151"/>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B141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41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41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41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41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415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15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15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15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1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41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41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41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41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41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1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1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151"/>
    <w:rPr>
      <w:rFonts w:eastAsiaTheme="majorEastAsia" w:cstheme="majorBidi"/>
      <w:color w:val="272727" w:themeColor="text1" w:themeTint="D8"/>
    </w:rPr>
  </w:style>
  <w:style w:type="paragraph" w:styleId="Title">
    <w:name w:val="Title"/>
    <w:basedOn w:val="Normal"/>
    <w:next w:val="Normal"/>
    <w:link w:val="TitleChar"/>
    <w:uiPriority w:val="10"/>
    <w:qFormat/>
    <w:rsid w:val="00B141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1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1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1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151"/>
    <w:pPr>
      <w:spacing w:before="160"/>
      <w:jc w:val="center"/>
    </w:pPr>
    <w:rPr>
      <w:i/>
      <w:iCs/>
      <w:color w:val="404040" w:themeColor="text1" w:themeTint="BF"/>
    </w:rPr>
  </w:style>
  <w:style w:type="character" w:customStyle="1" w:styleId="QuoteChar">
    <w:name w:val="Quote Char"/>
    <w:basedOn w:val="DefaultParagraphFont"/>
    <w:link w:val="Quote"/>
    <w:uiPriority w:val="29"/>
    <w:rsid w:val="00B14151"/>
    <w:rPr>
      <w:i/>
      <w:iCs/>
      <w:color w:val="404040" w:themeColor="text1" w:themeTint="BF"/>
    </w:rPr>
  </w:style>
  <w:style w:type="paragraph" w:styleId="ListParagraph">
    <w:name w:val="List Paragraph"/>
    <w:basedOn w:val="Normal"/>
    <w:link w:val="ListParagraphChar"/>
    <w:uiPriority w:val="34"/>
    <w:qFormat/>
    <w:rsid w:val="00B14151"/>
    <w:pPr>
      <w:ind w:left="720"/>
      <w:contextualSpacing/>
    </w:pPr>
  </w:style>
  <w:style w:type="character" w:styleId="IntenseEmphasis">
    <w:name w:val="Intense Emphasis"/>
    <w:basedOn w:val="DefaultParagraphFont"/>
    <w:uiPriority w:val="21"/>
    <w:qFormat/>
    <w:rsid w:val="00B14151"/>
    <w:rPr>
      <w:i/>
      <w:iCs/>
      <w:color w:val="0F4761" w:themeColor="accent1" w:themeShade="BF"/>
    </w:rPr>
  </w:style>
  <w:style w:type="paragraph" w:styleId="IntenseQuote">
    <w:name w:val="Intense Quote"/>
    <w:basedOn w:val="Normal"/>
    <w:next w:val="Normal"/>
    <w:link w:val="IntenseQuoteChar"/>
    <w:uiPriority w:val="30"/>
    <w:qFormat/>
    <w:rsid w:val="00B141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4151"/>
    <w:rPr>
      <w:i/>
      <w:iCs/>
      <w:color w:val="0F4761" w:themeColor="accent1" w:themeShade="BF"/>
    </w:rPr>
  </w:style>
  <w:style w:type="character" w:styleId="IntenseReference">
    <w:name w:val="Intense Reference"/>
    <w:basedOn w:val="DefaultParagraphFont"/>
    <w:uiPriority w:val="32"/>
    <w:qFormat/>
    <w:rsid w:val="00B14151"/>
    <w:rPr>
      <w:b/>
      <w:bCs/>
      <w:smallCaps/>
      <w:color w:val="0F4761" w:themeColor="accent1" w:themeShade="BF"/>
      <w:spacing w:val="5"/>
    </w:rPr>
  </w:style>
  <w:style w:type="paragraph" w:customStyle="1" w:styleId="Nornal">
    <w:name w:val="Nornal"/>
    <w:basedOn w:val="Normal"/>
    <w:link w:val="NornalChar"/>
    <w:qFormat/>
    <w:rsid w:val="00B14151"/>
    <w:pPr>
      <w:spacing w:after="160" w:line="264" w:lineRule="auto"/>
    </w:pPr>
    <w:rPr>
      <w:rFonts w:cs="Arial"/>
      <w:szCs w:val="22"/>
    </w:rPr>
  </w:style>
  <w:style w:type="character" w:customStyle="1" w:styleId="NornalChar">
    <w:name w:val="Nornal Char"/>
    <w:basedOn w:val="DefaultParagraphFont"/>
    <w:link w:val="Nornal"/>
    <w:rsid w:val="00B14151"/>
    <w:rPr>
      <w:rFonts w:ascii="Arial" w:hAnsi="Arial" w:cs="Arial"/>
      <w:kern w:val="0"/>
      <w14:ligatures w14:val="none"/>
    </w:rPr>
  </w:style>
  <w:style w:type="paragraph" w:customStyle="1" w:styleId="Listparag">
    <w:name w:val="List parag"/>
    <w:basedOn w:val="ListParagraph"/>
    <w:link w:val="ListparagChar"/>
    <w:qFormat/>
    <w:rsid w:val="00B14151"/>
    <w:pPr>
      <w:spacing w:after="120" w:line="264" w:lineRule="auto"/>
      <w:ind w:left="0"/>
      <w:contextualSpacing w:val="0"/>
    </w:pPr>
    <w:rPr>
      <w:rFonts w:eastAsia="Times New Roman" w:cstheme="minorHAnsi"/>
      <w:color w:val="000000"/>
      <w:lang w:eastAsia="en-GB"/>
    </w:rPr>
  </w:style>
  <w:style w:type="character" w:customStyle="1" w:styleId="ListParagraphChar">
    <w:name w:val="List Paragraph Char"/>
    <w:basedOn w:val="DefaultParagraphFont"/>
    <w:link w:val="ListParagraph"/>
    <w:uiPriority w:val="34"/>
    <w:rsid w:val="00B14151"/>
  </w:style>
  <w:style w:type="character" w:customStyle="1" w:styleId="ListparagChar">
    <w:name w:val="List parag Char"/>
    <w:basedOn w:val="ListParagraphChar"/>
    <w:link w:val="Listparag"/>
    <w:rsid w:val="00B14151"/>
    <w:rPr>
      <w:rFonts w:eastAsia="Times New Roman" w:cstheme="minorHAnsi"/>
      <w:color w:val="000000"/>
      <w:kern w:val="0"/>
      <w:lang w:eastAsia="en-GB"/>
      <w14:ligatures w14:val="none"/>
    </w:rPr>
  </w:style>
  <w:style w:type="character" w:styleId="Strong">
    <w:name w:val="Strong"/>
    <w:basedOn w:val="DefaultParagraphFont"/>
    <w:uiPriority w:val="22"/>
    <w:qFormat/>
    <w:rsid w:val="00EC6EC9"/>
    <w:rPr>
      <w:b/>
      <w:bCs/>
    </w:rPr>
  </w:style>
  <w:style w:type="character" w:styleId="Emphasis">
    <w:name w:val="Emphasis"/>
    <w:basedOn w:val="DefaultParagraphFont"/>
    <w:uiPriority w:val="20"/>
    <w:qFormat/>
    <w:rsid w:val="00EC6EC9"/>
    <w:rPr>
      <w:i/>
      <w:iCs/>
    </w:rPr>
  </w:style>
  <w:style w:type="character" w:styleId="Hyperlink">
    <w:name w:val="Hyperlink"/>
    <w:basedOn w:val="DefaultParagraphFont"/>
    <w:uiPriority w:val="99"/>
    <w:unhideWhenUsed/>
    <w:rsid w:val="00EC6EC9"/>
    <w:rPr>
      <w:color w:val="0000FF"/>
      <w:u w:val="single"/>
    </w:rPr>
  </w:style>
  <w:style w:type="character" w:styleId="UnresolvedMention">
    <w:name w:val="Unresolved Mention"/>
    <w:basedOn w:val="DefaultParagraphFont"/>
    <w:uiPriority w:val="99"/>
    <w:semiHidden/>
    <w:unhideWhenUsed/>
    <w:rsid w:val="00EC6EC9"/>
    <w:rPr>
      <w:color w:val="605E5C"/>
      <w:shd w:val="clear" w:color="auto" w:fill="E1DFDD"/>
    </w:rPr>
  </w:style>
  <w:style w:type="paragraph" w:styleId="Header">
    <w:name w:val="header"/>
    <w:basedOn w:val="Normal"/>
    <w:link w:val="HeaderChar"/>
    <w:uiPriority w:val="99"/>
    <w:unhideWhenUsed/>
    <w:rsid w:val="00A978DA"/>
    <w:pPr>
      <w:tabs>
        <w:tab w:val="center" w:pos="4513"/>
        <w:tab w:val="right" w:pos="9026"/>
      </w:tabs>
      <w:spacing w:line="240" w:lineRule="auto"/>
    </w:pPr>
  </w:style>
  <w:style w:type="character" w:customStyle="1" w:styleId="HeaderChar">
    <w:name w:val="Header Char"/>
    <w:basedOn w:val="DefaultParagraphFont"/>
    <w:link w:val="Header"/>
    <w:uiPriority w:val="99"/>
    <w:rsid w:val="00A978DA"/>
    <w:rPr>
      <w:rFonts w:ascii="Arial" w:hAnsi="Arial"/>
      <w:kern w:val="0"/>
      <w:szCs w:val="24"/>
      <w14:ligatures w14:val="none"/>
    </w:rPr>
  </w:style>
  <w:style w:type="paragraph" w:styleId="Footer">
    <w:name w:val="footer"/>
    <w:basedOn w:val="Normal"/>
    <w:link w:val="FooterChar"/>
    <w:uiPriority w:val="99"/>
    <w:unhideWhenUsed/>
    <w:rsid w:val="00A978DA"/>
    <w:pPr>
      <w:tabs>
        <w:tab w:val="center" w:pos="4513"/>
        <w:tab w:val="right" w:pos="9026"/>
      </w:tabs>
      <w:spacing w:line="240" w:lineRule="auto"/>
    </w:pPr>
  </w:style>
  <w:style w:type="character" w:customStyle="1" w:styleId="FooterChar">
    <w:name w:val="Footer Char"/>
    <w:basedOn w:val="DefaultParagraphFont"/>
    <w:link w:val="Footer"/>
    <w:uiPriority w:val="99"/>
    <w:rsid w:val="00A978DA"/>
    <w:rPr>
      <w:rFonts w:ascii="Arial" w:hAnsi="Arial"/>
      <w:kern w:val="0"/>
      <w:szCs w:val="24"/>
      <w14:ligatures w14:val="none"/>
    </w:rPr>
  </w:style>
  <w:style w:type="character" w:styleId="FollowedHyperlink">
    <w:name w:val="FollowedHyperlink"/>
    <w:basedOn w:val="DefaultParagraphFont"/>
    <w:uiPriority w:val="99"/>
    <w:semiHidden/>
    <w:unhideWhenUsed/>
    <w:rsid w:val="00B14A52"/>
    <w:rPr>
      <w:color w:val="96607D" w:themeColor="followedHyperlink"/>
      <w:u w:val="single"/>
    </w:rPr>
  </w:style>
  <w:style w:type="paragraph" w:customStyle="1" w:styleId="Body">
    <w:name w:val="Body"/>
    <w:rsid w:val="00E2161C"/>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8030924">
      <w:bodyDiv w:val="1"/>
      <w:marLeft w:val="0"/>
      <w:marRight w:val="0"/>
      <w:marTop w:val="0"/>
      <w:marBottom w:val="0"/>
      <w:divBdr>
        <w:top w:val="none" w:sz="0" w:space="0" w:color="auto"/>
        <w:left w:val="none" w:sz="0" w:space="0" w:color="auto"/>
        <w:bottom w:val="none" w:sz="0" w:space="0" w:color="auto"/>
        <w:right w:val="none" w:sz="0" w:space="0" w:color="auto"/>
      </w:divBdr>
    </w:div>
    <w:div w:id="1822188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ijhm.2013.09.0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6050</Words>
  <Characters>34487</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Gardner</dc:creator>
  <cp:keywords/>
  <dc:description/>
  <cp:lastModifiedBy>Chloe Gardner</cp:lastModifiedBy>
  <cp:revision>92</cp:revision>
  <dcterms:created xsi:type="dcterms:W3CDTF">2025-07-10T12:54:00Z</dcterms:created>
  <dcterms:modified xsi:type="dcterms:W3CDTF">2025-08-26T14:38:00Z</dcterms:modified>
</cp:coreProperties>
</file>