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D570D8">
        <w:tc>
          <w:tcPr>
            <w:tcW w:w="9922" w:type="dxa"/>
            <w:shd w:val="clear" w:color="auto" w:fill="C0C0C0"/>
          </w:tcPr>
          <w:p w14:paraId="4A9088E2" w14:textId="77777777" w:rsidR="00763CB3" w:rsidRPr="00876921" w:rsidRDefault="00763CB3" w:rsidP="00D570D8">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476A1778" w:rsidR="00763CB3" w:rsidRPr="00876921" w:rsidRDefault="00916EB0"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Sarah Robson</w:t>
            </w:r>
          </w:p>
        </w:tc>
        <w:tc>
          <w:tcPr>
            <w:tcW w:w="2272" w:type="dxa"/>
            <w:shd w:val="clear" w:color="auto" w:fill="D9D9D9"/>
          </w:tcPr>
          <w:p w14:paraId="3C49D852"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64710707" w:rsidR="00763CB3" w:rsidRPr="00876921" w:rsidRDefault="00916EB0"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2023856</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1147EB2" w:rsidR="00763CB3" w:rsidRPr="00876921" w:rsidRDefault="00916EB0"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D570D8">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D570D8">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C371E55" w:rsidR="00763CB3" w:rsidRPr="00876921" w:rsidRDefault="00250EE0"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Pr="00250EE0">
              <w:rPr>
                <w:rFonts w:ascii="Arial" w:eastAsia="Times New Roman" w:hAnsi="Arial" w:cs="Arial"/>
                <w:b/>
                <w:vertAlign w:val="superscript"/>
                <w:lang w:eastAsia="en-GB"/>
              </w:rPr>
              <w:t>th</w:t>
            </w:r>
            <w:r>
              <w:rPr>
                <w:rFonts w:ascii="Arial" w:eastAsia="Times New Roman" w:hAnsi="Arial" w:cs="Arial"/>
                <w:b/>
                <w:lang w:eastAsia="en-GB"/>
              </w:rPr>
              <w:t xml:space="preserve"> September</w:t>
            </w:r>
            <w:r w:rsidR="001C5AD4">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D570D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D570D8">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D570D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D570D8">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44" w:type="dxa"/>
            <w:gridSpan w:val="3"/>
            <w:shd w:val="clear" w:color="auto" w:fill="auto"/>
          </w:tcPr>
          <w:p w14:paraId="5D8D14B6" w14:textId="77777777" w:rsidR="00763CB3" w:rsidRDefault="00763CB3" w:rsidP="00D570D8">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D570D8">
            <w:pPr>
              <w:spacing w:before="120" w:after="120" w:line="240" w:lineRule="auto"/>
              <w:jc w:val="both"/>
              <w:rPr>
                <w:rFonts w:ascii="Arial" w:eastAsia="Times New Roman" w:hAnsi="Arial" w:cs="Arial"/>
                <w:lang w:eastAsia="en-GB"/>
              </w:rPr>
            </w:pPr>
          </w:p>
          <w:p w14:paraId="5ED81115" w14:textId="77777777" w:rsidR="00763CB3" w:rsidRDefault="00763CB3" w:rsidP="00D570D8">
            <w:pPr>
              <w:spacing w:before="120" w:after="120" w:line="240" w:lineRule="auto"/>
              <w:jc w:val="both"/>
              <w:rPr>
                <w:rFonts w:ascii="Arial" w:eastAsia="Times New Roman" w:hAnsi="Arial" w:cs="Arial"/>
                <w:lang w:eastAsia="en-GB"/>
              </w:rPr>
            </w:pPr>
          </w:p>
          <w:p w14:paraId="7C5C595B" w14:textId="77777777" w:rsidR="00763CB3" w:rsidRDefault="00763CB3" w:rsidP="00D570D8">
            <w:pPr>
              <w:spacing w:before="120" w:after="120" w:line="240" w:lineRule="auto"/>
              <w:jc w:val="both"/>
              <w:rPr>
                <w:rFonts w:ascii="Arial" w:eastAsia="Times New Roman" w:hAnsi="Arial" w:cs="Arial"/>
                <w:lang w:eastAsia="en-GB"/>
              </w:rPr>
            </w:pPr>
          </w:p>
          <w:p w14:paraId="1FE262E3" w14:textId="77777777" w:rsidR="00763CB3" w:rsidRDefault="00763CB3" w:rsidP="00D570D8">
            <w:pPr>
              <w:spacing w:before="120" w:after="120" w:line="240" w:lineRule="auto"/>
              <w:jc w:val="both"/>
              <w:rPr>
                <w:rFonts w:ascii="Arial" w:eastAsia="Times New Roman" w:hAnsi="Arial" w:cs="Arial"/>
                <w:lang w:eastAsia="en-GB"/>
              </w:rPr>
            </w:pPr>
          </w:p>
          <w:p w14:paraId="35664576" w14:textId="77777777" w:rsidR="00763CB3" w:rsidRDefault="00763CB3" w:rsidP="00D570D8">
            <w:pPr>
              <w:spacing w:before="120" w:after="120" w:line="240" w:lineRule="auto"/>
              <w:jc w:val="both"/>
              <w:rPr>
                <w:rFonts w:ascii="Arial" w:eastAsia="Times New Roman" w:hAnsi="Arial" w:cs="Arial"/>
                <w:lang w:eastAsia="en-GB"/>
              </w:rPr>
            </w:pPr>
          </w:p>
          <w:p w14:paraId="672540FE" w14:textId="77777777" w:rsidR="00763CB3" w:rsidRDefault="00763CB3" w:rsidP="00D570D8">
            <w:pPr>
              <w:spacing w:before="120" w:after="120" w:line="240" w:lineRule="auto"/>
              <w:jc w:val="both"/>
              <w:rPr>
                <w:rFonts w:ascii="Arial" w:eastAsia="Times New Roman" w:hAnsi="Arial" w:cs="Arial"/>
                <w:lang w:eastAsia="en-GB"/>
              </w:rPr>
            </w:pPr>
          </w:p>
          <w:p w14:paraId="4A88CCA7" w14:textId="77777777" w:rsidR="00763CB3" w:rsidRDefault="00763CB3" w:rsidP="00D570D8">
            <w:pPr>
              <w:spacing w:before="120" w:after="120" w:line="240" w:lineRule="auto"/>
              <w:jc w:val="both"/>
              <w:rPr>
                <w:rFonts w:ascii="Arial" w:eastAsia="Times New Roman" w:hAnsi="Arial" w:cs="Arial"/>
                <w:lang w:eastAsia="en-GB"/>
              </w:rPr>
            </w:pPr>
          </w:p>
          <w:p w14:paraId="4DDF27A4" w14:textId="77777777" w:rsidR="00763CB3" w:rsidRDefault="00763CB3" w:rsidP="00D570D8">
            <w:pPr>
              <w:spacing w:before="120" w:after="120" w:line="240" w:lineRule="auto"/>
              <w:jc w:val="both"/>
              <w:rPr>
                <w:rFonts w:ascii="Arial" w:eastAsia="Times New Roman" w:hAnsi="Arial" w:cs="Arial"/>
                <w:lang w:eastAsia="en-GB"/>
              </w:rPr>
            </w:pPr>
          </w:p>
          <w:p w14:paraId="043D0307" w14:textId="77777777" w:rsidR="00763CB3" w:rsidRDefault="00763CB3" w:rsidP="00D570D8">
            <w:pPr>
              <w:spacing w:before="120" w:after="120" w:line="240" w:lineRule="auto"/>
              <w:jc w:val="both"/>
              <w:rPr>
                <w:rFonts w:ascii="Arial" w:eastAsia="Times New Roman" w:hAnsi="Arial" w:cs="Arial"/>
                <w:lang w:eastAsia="en-GB"/>
              </w:rPr>
            </w:pPr>
          </w:p>
          <w:p w14:paraId="163A6606" w14:textId="77777777" w:rsidR="00763CB3" w:rsidRDefault="00763CB3" w:rsidP="00D570D8">
            <w:pPr>
              <w:spacing w:before="120" w:after="120" w:line="240" w:lineRule="auto"/>
              <w:jc w:val="both"/>
              <w:rPr>
                <w:rFonts w:ascii="Arial" w:eastAsia="Times New Roman" w:hAnsi="Arial" w:cs="Arial"/>
                <w:lang w:eastAsia="en-GB"/>
              </w:rPr>
            </w:pPr>
          </w:p>
          <w:p w14:paraId="6DA6307A" w14:textId="33A9DAC4" w:rsidR="00763CB3" w:rsidRPr="00876921" w:rsidRDefault="00763CB3" w:rsidP="00D570D8">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D570D8">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D570D8">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D570D8">
        <w:tc>
          <w:tcPr>
            <w:tcW w:w="9781" w:type="dxa"/>
            <w:shd w:val="clear" w:color="auto" w:fill="C0C0C0"/>
          </w:tcPr>
          <w:p w14:paraId="728EF9A5" w14:textId="77777777" w:rsidR="00763CB3" w:rsidRPr="00876921" w:rsidRDefault="00763CB3" w:rsidP="00D570D8">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2D656E61" w14:textId="63F32465" w:rsidR="00916EB0" w:rsidRPr="00916EB0" w:rsidRDefault="00464DEA" w:rsidP="00916EB0">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6CEAE526"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According to the Oxford Dictionary Cybercrime is defined as being ‘Criminal activities carried out by means of computers or the internet’  and it is accepted that there are two categories; cyber- enabled crimes and cyber- dependent crimes. The former are tradition types of crime that can be enhanced by technology such as fraud whilst the latter cannot occur without the internet such as malware and this will be the focus of this review.</w:t>
      </w:r>
    </w:p>
    <w:p w14:paraId="0A65DD04" w14:textId="77777777" w:rsidR="00916EB0" w:rsidRPr="00916EB0" w:rsidRDefault="00916EB0" w:rsidP="00916EB0">
      <w:pPr>
        <w:rPr>
          <w:rFonts w:ascii="Calibri body" w:eastAsia="Times New Roman" w:hAnsi="Calibri body" w:cs="Times New Roman"/>
        </w:rPr>
      </w:pPr>
    </w:p>
    <w:p w14:paraId="00DC9FD3"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According to Action Fraud (actionfraud.police.uk) between the years 2020-2021 there were 31,322 reports of cybercrime, with £9.6m losses. The hacking of social media and email proved to be the most frequent receiving 13, 948 reports, computer viruses/ malware/ spy wear received 7,794 reports followed by hacking of personal files with 5, 587 reports. As well as the impact this has on the individual victims, what is of major concern is the ease in which offenders can access their victims and the low detection and conviction rate that results from it. According to the report only 2% of outcomes were judicial outcomes. This indicates the complexity of tracing and prosecuting cyber criminals.</w:t>
      </w:r>
    </w:p>
    <w:p w14:paraId="2AEC0C10" w14:textId="77777777" w:rsidR="00916EB0" w:rsidRPr="00916EB0" w:rsidRDefault="00916EB0" w:rsidP="00916EB0">
      <w:pPr>
        <w:rPr>
          <w:rFonts w:ascii="Calibri body" w:eastAsia="Times New Roman" w:hAnsi="Calibri body" w:cs="Times New Roman"/>
        </w:rPr>
      </w:pPr>
    </w:p>
    <w:p w14:paraId="3C97944F"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 xml:space="preserve">Hacking is defined as ‘the unauthorised use of or access into computers or networks by using security vulnerabilities or bypassing usual security steps to gain access’ </w:t>
      </w:r>
      <w:hyperlink r:id="rId12" w:history="1">
        <w:r w:rsidRPr="00D570D8">
          <w:rPr>
            <w:rFonts w:ascii="Calibri body" w:eastAsia="Times New Roman" w:hAnsi="Calibri body" w:cs="Times New Roman"/>
          </w:rPr>
          <w:t>(cps.gov.uk)</w:t>
        </w:r>
      </w:hyperlink>
      <w:r w:rsidRPr="00916EB0">
        <w:rPr>
          <w:rFonts w:ascii="Calibri body" w:eastAsia="Times New Roman" w:hAnsi="Calibri body" w:cs="Times New Roman"/>
        </w:rPr>
        <w:t>. This can involve accessing and disrupting websites and gathering information such as personal details and data of the victim or causing a denial-of-service attack (DoS) which effectively prevents operation of the network. On 12</w:t>
      </w:r>
      <w:r w:rsidRPr="00916EB0">
        <w:rPr>
          <w:rFonts w:ascii="Calibri body" w:eastAsia="Times New Roman" w:hAnsi="Calibri body" w:cs="Times New Roman"/>
          <w:vertAlign w:val="superscript"/>
        </w:rPr>
        <w:t>th</w:t>
      </w:r>
      <w:r w:rsidRPr="00916EB0">
        <w:rPr>
          <w:rFonts w:ascii="Calibri body" w:eastAsia="Times New Roman" w:hAnsi="Calibri body" w:cs="Times New Roman"/>
        </w:rPr>
        <w:t xml:space="preserve"> May 2017 ransomware ‘WannaCry’ was used to hack and install a virus in the NHS network resulting in the inability to use computer systems holding personal data on patients, cancellation of operations and essential appointments the malware spreading through the NHS broadband system between sites. Whilst hacking offenders do so for financial gain, as in this case,    (usually targeting individuals) this incident highlights the national and personal impact that can occur from it </w:t>
      </w:r>
      <w:hyperlink r:id="rId13" w:history="1">
        <w:r w:rsidRPr="00D570D8">
          <w:rPr>
            <w:rFonts w:ascii="Calibri body" w:eastAsia="Times New Roman" w:hAnsi="Calibri body" w:cs="Times New Roman"/>
          </w:rPr>
          <w:t>(acronis.com)</w:t>
        </w:r>
      </w:hyperlink>
      <w:r w:rsidRPr="00916EB0">
        <w:rPr>
          <w:rFonts w:ascii="Calibri body" w:eastAsia="Times New Roman" w:hAnsi="Calibri body" w:cs="Times New Roman"/>
        </w:rPr>
        <w:t>. As well as the hackers committing an offence the NHS would have been under a legal obligation to report any data breach due to the Data Protection Act 2018 which implemented the EU’s General Data Protection Regulation (GDPR) due to the sensitive information retained by the NHS. Whilst this situation feels as though it is a rarity the National Crime Agency (NCA) confirms that ransomware is the most common cyber extortion method in the UK.</w:t>
      </w:r>
    </w:p>
    <w:p w14:paraId="1E217F85" w14:textId="77777777" w:rsidR="00916EB0" w:rsidRPr="00916EB0" w:rsidRDefault="00916EB0" w:rsidP="00916EB0">
      <w:pPr>
        <w:rPr>
          <w:rFonts w:ascii="Calibri body" w:eastAsia="Times New Roman" w:hAnsi="Calibri body" w:cs="Times New Roman"/>
        </w:rPr>
      </w:pPr>
    </w:p>
    <w:p w14:paraId="0625C0D3"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Locating the offending hacker is a complex process. An internet Protocol (IP) Addresses is numerical value that is linked to a network device such as a laptop or phone. A negligible number of cybercrime offenders allow their IP addresses to be traceable and use a Virtual Privacy Network (VPN) that masks the IP address, a proxy server, or ‘Tor’- a free network that uses layers of encryption to mask the IP address (Avast.com). These are often used for legitimate reasons, such as safety and privacy and to avoid advertising algorithms. IP masking is effectively adopting a false IP address- which is incredibly hard to trace and represents a huge challenge for investigators.</w:t>
      </w:r>
    </w:p>
    <w:p w14:paraId="71631845" w14:textId="77777777" w:rsidR="00916EB0" w:rsidRPr="00916EB0" w:rsidRDefault="00916EB0" w:rsidP="00916EB0">
      <w:pPr>
        <w:rPr>
          <w:rFonts w:ascii="Calibri body" w:eastAsia="Times New Roman" w:hAnsi="Calibri body" w:cs="Times New Roman"/>
        </w:rPr>
      </w:pPr>
    </w:p>
    <w:p w14:paraId="01A7030F"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One of the reasons this cybercrime is complex is the speed at which information technology evolves. Once police investigators are proficient at infiltrating one method of hacking, new systems develop giving criminal’s new opportunities. Charlie McCurdie in ‘The cybercrime landscape and our policing response’</w:t>
      </w:r>
      <w:r w:rsidRPr="00916EB0">
        <w:rPr>
          <w:rFonts w:ascii="Calibri body" w:eastAsia="Times New Roman" w:hAnsi="Calibri body" w:cs="Times New Roman"/>
          <w:b/>
          <w:bCs/>
        </w:rPr>
        <w:t xml:space="preserve"> </w:t>
      </w:r>
      <w:r w:rsidRPr="00916EB0">
        <w:rPr>
          <w:rFonts w:ascii="Calibri body" w:eastAsia="Times New Roman" w:hAnsi="Calibri body" w:cs="Times New Roman"/>
        </w:rPr>
        <w:t>states that</w:t>
      </w:r>
      <w:r w:rsidRPr="00916EB0">
        <w:rPr>
          <w:rFonts w:ascii="Calibri body" w:eastAsia="Times New Roman" w:hAnsi="Calibri body" w:cs="Times New Roman"/>
          <w:b/>
          <w:bCs/>
        </w:rPr>
        <w:t xml:space="preserve"> ‘</w:t>
      </w:r>
      <w:r w:rsidRPr="00916EB0">
        <w:rPr>
          <w:rFonts w:ascii="Calibri body" w:eastAsia="Times New Roman" w:hAnsi="Calibri body" w:cs="Times New Roman"/>
        </w:rPr>
        <w:t>the scale, speed and sophistication of global cybercrime is such that law enforcement cannot provide an appropriate response alone’ so individuals need to. The internet itself is an enabler of cybercrime. According to The Defence Works ‘malware and phishing kits are available for a few pounds, allowing even novices to enter the world of cybercrime’ meaning limited IT knowledge is required, increasing the number of potential cybercriminals. (</w:t>
      </w:r>
      <w:hyperlink r:id="rId14" w:history="1">
        <w:r w:rsidRPr="00D570D8">
          <w:rPr>
            <w:rFonts w:ascii="Calibri body" w:eastAsia="Times New Roman" w:hAnsi="Calibri body" w:cs="Times New Roman"/>
          </w:rPr>
          <w:t>(thedefenceworks.com)</w:t>
        </w:r>
      </w:hyperlink>
      <w:r w:rsidRPr="00916EB0">
        <w:rPr>
          <w:rFonts w:ascii="Calibri body" w:eastAsia="Times New Roman" w:hAnsi="Calibri body" w:cs="Times New Roman"/>
        </w:rPr>
        <w:t>. The COVID-19 crisis led to an increase in cybercrime due to people working from home without office server security, and online shopping as well as an increase of denial-of-service attacks in the UK.</w:t>
      </w:r>
      <w:r w:rsidRPr="00916EB0">
        <w:rPr>
          <w:rFonts w:ascii="Calibri body" w:eastAsia="Times New Roman" w:hAnsi="Calibri body" w:cs="Open Sans"/>
          <w:color w:val="333333"/>
          <w:sz w:val="26"/>
          <w:szCs w:val="26"/>
        </w:rPr>
        <w:t xml:space="preserve"> </w:t>
      </w:r>
      <w:r w:rsidRPr="00916EB0">
        <w:rPr>
          <w:rFonts w:ascii="Calibri body" w:eastAsia="Times New Roman" w:hAnsi="Calibri body" w:cs="Times New Roman"/>
        </w:rPr>
        <w:t>Collier (</w:t>
      </w:r>
      <w:hyperlink r:id="rId15" w:history="1">
        <w:r w:rsidRPr="00D570D8">
          <w:rPr>
            <w:rFonts w:ascii="Calibri body" w:eastAsia="Times New Roman" w:hAnsi="Calibri body" w:cs="Times New Roman"/>
            <w:u w:val="single"/>
          </w:rPr>
          <w:t>2020</w:t>
        </w:r>
      </w:hyperlink>
      <w:r w:rsidRPr="00916EB0">
        <w:rPr>
          <w:rFonts w:ascii="Calibri body" w:eastAsia="Times New Roman" w:hAnsi="Calibri body" w:cs="Times New Roman"/>
        </w:rPr>
        <w:t>) again confirming the adaptability of cyber-criminals and the pre-emptive approach required of the police and legislature. Budget cuts over the last few years have put further strain on forces and as a result on the investigation of internet dependent crime. Rick Sarre in ‘Responding to cybercrime: current trends’ states ‘In the short term, criminal justice responses are usually a case of ‘too little, too late’, assuming that police can detect the behaviour at all. It is rarely the case that they can thwart it ahead of time.’</w:t>
      </w:r>
    </w:p>
    <w:p w14:paraId="7F2D10D1" w14:textId="77777777" w:rsidR="00916EB0" w:rsidRPr="00916EB0" w:rsidRDefault="00916EB0" w:rsidP="00916EB0">
      <w:pPr>
        <w:rPr>
          <w:rFonts w:ascii="Calibri body" w:eastAsia="Times New Roman" w:hAnsi="Calibri body" w:cs="Times New Roman"/>
        </w:rPr>
      </w:pPr>
    </w:p>
    <w:p w14:paraId="7EEB0EDF"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Cybercriminals have appeared to tap into the psychology of victims. Phishing emails are innocent looking emails, often appearing to be from an individual’s bank, tracking for a parcel etc. and contain a link. Once this link has been pressed by the victim, the cybercriminal has access to personal information via malware. According to the article ‘What we think we know about cybersecurity: an investigation of the relationship between perceived knowledge, internet trust, and protection motivation in a cybercrime context</w:t>
      </w:r>
      <w:r w:rsidRPr="00916EB0">
        <w:rPr>
          <w:rFonts w:ascii="Calibri body" w:eastAsia="Times New Roman" w:hAnsi="Calibri body" w:cs="Times New Roman"/>
          <w:b/>
          <w:bCs/>
        </w:rPr>
        <w:t>’</w:t>
      </w:r>
      <w:r w:rsidRPr="00916EB0">
        <w:rPr>
          <w:rFonts w:ascii="Calibri body" w:eastAsia="Times New Roman" w:hAnsi="Calibri body" w:cs="Times New Roman"/>
        </w:rPr>
        <w:t xml:space="preserve"> internet users have a tendency to be overoptimistic regarding their own online safety as stated by Campbell </w:t>
      </w:r>
      <w:hyperlink r:id="rId16" w:history="1">
        <w:r w:rsidRPr="00916EB0">
          <w:rPr>
            <w:rFonts w:ascii="Calibri body" w:eastAsia="Times New Roman" w:hAnsi="Calibri body" w:cs="Times New Roman"/>
          </w:rPr>
          <w:t>2007</w:t>
        </w:r>
      </w:hyperlink>
      <w:r w:rsidRPr="00916EB0">
        <w:rPr>
          <w:rFonts w:ascii="Calibri body" w:eastAsia="Times New Roman" w:hAnsi="Calibri body" w:cs="Times New Roman"/>
        </w:rPr>
        <w:t>; Cho, Lee, and Chung </w:t>
      </w:r>
      <w:hyperlink r:id="rId17" w:history="1">
        <w:r w:rsidRPr="00916EB0">
          <w:rPr>
            <w:rFonts w:ascii="Calibri body" w:eastAsia="Times New Roman" w:hAnsi="Calibri body" w:cs="Times New Roman"/>
          </w:rPr>
          <w:t>2010</w:t>
        </w:r>
      </w:hyperlink>
      <w:r w:rsidRPr="00916EB0">
        <w:rPr>
          <w:rFonts w:ascii="Calibri body" w:eastAsia="Times New Roman" w:hAnsi="Calibri body" w:cs="Times New Roman"/>
        </w:rPr>
        <w:t>; Wash and Rader </w:t>
      </w:r>
      <w:hyperlink r:id="rId18" w:history="1">
        <w:r w:rsidRPr="00916EB0">
          <w:rPr>
            <w:rFonts w:ascii="Calibri body" w:eastAsia="Times New Roman" w:hAnsi="Calibri body" w:cs="Times New Roman"/>
          </w:rPr>
          <w:t>2015</w:t>
        </w:r>
      </w:hyperlink>
      <w:r w:rsidRPr="00916EB0">
        <w:rPr>
          <w:rFonts w:ascii="Calibri body" w:eastAsia="Times New Roman" w:hAnsi="Calibri body" w:cs="Times New Roman"/>
        </w:rPr>
        <w:t>. This results in people actually performing fewer security behaviours according to Cain, Edwards and Still </w:t>
      </w:r>
      <w:hyperlink r:id="rId19" w:history="1">
        <w:r w:rsidRPr="00916EB0">
          <w:rPr>
            <w:rFonts w:ascii="Calibri body" w:eastAsia="Times New Roman" w:hAnsi="Calibri body" w:cs="Times New Roman"/>
          </w:rPr>
          <w:t>2018</w:t>
        </w:r>
      </w:hyperlink>
      <w:r w:rsidRPr="00916EB0">
        <w:rPr>
          <w:rFonts w:ascii="Calibri body" w:eastAsia="Times New Roman" w:hAnsi="Calibri body" w:cs="Times New Roman"/>
        </w:rPr>
        <w:t>, meaning that the user is the weak link by enabling infiltration by cybercriminals. </w:t>
      </w:r>
    </w:p>
    <w:p w14:paraId="1AA66A70" w14:textId="77777777" w:rsidR="00916EB0" w:rsidRPr="00916EB0" w:rsidRDefault="00916EB0" w:rsidP="00916EB0">
      <w:pPr>
        <w:rPr>
          <w:rFonts w:ascii="Calibri body" w:eastAsia="Times New Roman" w:hAnsi="Calibri body" w:cs="Times New Roman"/>
        </w:rPr>
      </w:pPr>
    </w:p>
    <w:p w14:paraId="7D4E140A"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 xml:space="preserve">Cybersecurity expert Daniela Oliveria states that by appealing to biases individuals stay in automatic mode, trusting the email and making “fast, not thoughtful decisions.” She refers to mental shortcuts that phishers manipulate to get the desired response; the ‘psychological principles of influence’ which were identified by the psychologist Robert Cialdini. These shortcuts form biases such as the authority of the sender, commitment, reciprocation, social proof, and scarcity, thus explaining why an individual may click on a link they believe to be from TV licensing for example (the most reports phishing hook (action fraud), </w:t>
      </w:r>
      <w:hyperlink r:id="rId20" w:history="1">
        <w:r w:rsidRPr="00916EB0">
          <w:rPr>
            <w:rFonts w:ascii="Calibri body" w:eastAsia="Times New Roman" w:hAnsi="Calibri body" w:cs="Times New Roman"/>
          </w:rPr>
          <w:t>Why we fall for phishing emails — and how we can protect ourselves | (ted.com)</w:t>
        </w:r>
      </w:hyperlink>
      <w:r w:rsidRPr="00916EB0">
        <w:rPr>
          <w:rFonts w:ascii="Calibri body" w:eastAsia="Times New Roman" w:hAnsi="Calibri body" w:cs="Times New Roman"/>
        </w:rPr>
        <w:t xml:space="preserve">. </w:t>
      </w:r>
    </w:p>
    <w:p w14:paraId="3763BD2B" w14:textId="77777777" w:rsidR="00916EB0" w:rsidRPr="00916EB0" w:rsidRDefault="00916EB0" w:rsidP="00916EB0">
      <w:pPr>
        <w:rPr>
          <w:rFonts w:ascii="Calibri body" w:eastAsia="Times New Roman" w:hAnsi="Calibri body" w:cs="Times New Roman"/>
        </w:rPr>
      </w:pPr>
    </w:p>
    <w:p w14:paraId="085CE614"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 xml:space="preserve">The National Cyber Security Centre has issued guidance for small businesses and organisations including the public sector such as the NHS </w:t>
      </w:r>
      <w:hyperlink r:id="rId21" w:history="1">
        <w:r w:rsidRPr="00916EB0">
          <w:rPr>
            <w:rFonts w:ascii="Calibri body" w:eastAsia="Times New Roman" w:hAnsi="Calibri body" w:cs="Times New Roman"/>
          </w:rPr>
          <w:t>(NCSC.GOV.UK</w:t>
        </w:r>
      </w:hyperlink>
      <w:r w:rsidRPr="00916EB0">
        <w:rPr>
          <w:rFonts w:ascii="Calibri body" w:eastAsia="Times New Roman" w:hAnsi="Calibri body" w:cs="Times New Roman"/>
        </w:rPr>
        <w:t xml:space="preserve">) but individuals are often unaware. In fact, Action Fraud has identified that 90% of victims are individuals, between 20-and 39 years of age. This is the age group that has grown up alongside technology who are presumed to be most aware of the risk, further indicating the challenges facing the police in educating potential victims. The Computer Misuse Act 1990  </w:t>
      </w:r>
      <w:hyperlink r:id="rId22" w:history="1">
        <w:r w:rsidRPr="00916EB0">
          <w:rPr>
            <w:rFonts w:ascii="Calibri body" w:eastAsia="Times New Roman" w:hAnsi="Calibri body" w:cs="Times New Roman"/>
          </w:rPr>
          <w:t>(legislation.gov.uk)</w:t>
        </w:r>
      </w:hyperlink>
      <w:r w:rsidRPr="00916EB0">
        <w:rPr>
          <w:rFonts w:ascii="Calibri body" w:eastAsia="Times New Roman" w:hAnsi="Calibri body" w:cs="Times New Roman"/>
          <w:color w:val="0563C1" w:themeColor="hyperlink"/>
          <w:u w:val="single"/>
        </w:rPr>
        <w:t xml:space="preserve"> </w:t>
      </w:r>
      <w:r w:rsidRPr="00916EB0">
        <w:rPr>
          <w:rFonts w:ascii="Calibri body" w:eastAsia="Times New Roman" w:hAnsi="Calibri body" w:cs="Times New Roman"/>
        </w:rPr>
        <w:t>makes it an offence to gain unauthorised access to computer material (Section 1), to do so with intent to commit or facilitate the commission of further offences (Section  2), with intent to impair or be reckless as to the impairment of the operation of the computer etc. The law states that the maximum sentence of imprisonment is two years (Section 1 offence) whilst if it can be proven there is intent to commit a further offence (for example theft or diverting of funds) the maximum is five years imprisonment. Phishing is covered by the CMA 1990 but can also be classified as fraud by misrepresentation under the Fraud Act 2006 (legislation.gov.uk) where the email claims to be from a legitimate company and attracts a maximum penalty of ten years imprisonment.</w:t>
      </w:r>
    </w:p>
    <w:p w14:paraId="6EF33D5E" w14:textId="77777777" w:rsidR="00916EB0" w:rsidRPr="00916EB0" w:rsidRDefault="00916EB0" w:rsidP="00916EB0">
      <w:pPr>
        <w:rPr>
          <w:rFonts w:ascii="Calibri body" w:eastAsia="Times New Roman" w:hAnsi="Calibri body" w:cs="Times New Roman"/>
        </w:rPr>
      </w:pPr>
    </w:p>
    <w:p w14:paraId="04863085"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 xml:space="preserve">Hackers are clearly not deterred by these penalties, what is of concern is the number of victims who fail to report. The Office of National Statistics ‘Crime in England and Wales: year ending 2022 </w:t>
      </w:r>
      <w:hyperlink r:id="rId23" w:anchor="computer-misuse" w:history="1">
        <w:r w:rsidRPr="00916EB0">
          <w:rPr>
            <w:rFonts w:ascii="Calibri body" w:eastAsia="Times New Roman" w:hAnsi="Calibri body" w:cs="Times New Roman"/>
          </w:rPr>
          <w:t>(ons.gov.uk)</w:t>
        </w:r>
      </w:hyperlink>
      <w:r w:rsidRPr="00916EB0">
        <w:rPr>
          <w:rFonts w:ascii="Calibri body" w:eastAsia="Times New Roman" w:hAnsi="Calibri body" w:cs="Times New Roman"/>
        </w:rPr>
        <w:t xml:space="preserve"> looked at the </w:t>
      </w:r>
      <w:r w:rsidRPr="00916EB0">
        <w:rPr>
          <w:rFonts w:ascii="Calibri body" w:eastAsia="Times New Roman" w:hAnsi="Calibri body" w:cs="Times New Roman"/>
        </w:rPr>
        <w:lastRenderedPageBreak/>
        <w:t xml:space="preserve">Telephone-operated Crime Survey for England and Wales (TCSEW) which records incidents of cybercrime that have been unreported. Estimates from the TCSEW ‘showed that computer misuse offences increased by 89% in the year ending March 2022 (to 1.6 million offences), compared with the year ending March 2020. The biggest increase was seen in “Unauthorised access to personal information (including hacking) offences. ‘In contrast the ONS confirmed that The National Fraud Intelligence Bureau (NFIB) reported a 5% decrease in computer misuse offences referred by Action Fraud (from 30,467 to 28,886 offences) for the year ending March 2022 compared with the year ending March 2021. This indicates that there is an increased need for public relations between police and the public to reduce the perception of foolishness or embarrassment of victims to cybercrime. This may be due to individuals’ perception that they are ‘tech savvy’ and links back to the younger demographic being most at risk. It has been suggested that any future campaigns should stress that every user is at risk and provide “vivid, relatable, self-relevant messages (e.g. through media coverage) might serve as a form of indirect experience of cybercrime, which might highlight the personal vulnerability of every internet user” as stated Cho, H., J.-S. Lee, and S. Chung. 2010. </w:t>
      </w:r>
    </w:p>
    <w:p w14:paraId="2B000B0D" w14:textId="77777777" w:rsidR="00916EB0" w:rsidRPr="00916EB0" w:rsidRDefault="00916EB0" w:rsidP="00916EB0">
      <w:pPr>
        <w:rPr>
          <w:rFonts w:ascii="Calibri body" w:eastAsia="Times New Roman" w:hAnsi="Calibri body" w:cs="Times New Roman"/>
        </w:rPr>
      </w:pPr>
    </w:p>
    <w:p w14:paraId="3BB4B60F"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This approach is also endorsed by Jacqueline M Drew and Lucy Farrell (2018) whose research determined that ‘a victim-centric policing approach should be seen as a viable and preferred alternative to policing cyber fraud given the nature of these crimes. Police agencies should feel justified in investing in the development and provision of cyber fraud crime prevention education given the positive and impactful outcomes that are likely to be achieved.’</w:t>
      </w:r>
    </w:p>
    <w:p w14:paraId="1EB92A1A" w14:textId="77777777" w:rsidR="00916EB0" w:rsidRPr="00916EB0" w:rsidRDefault="00916EB0" w:rsidP="00916EB0">
      <w:pPr>
        <w:rPr>
          <w:rFonts w:ascii="Calibri body" w:eastAsia="Times New Roman" w:hAnsi="Calibri body" w:cs="Times New Roman"/>
        </w:rPr>
      </w:pPr>
    </w:p>
    <w:p w14:paraId="4090FA51"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 xml:space="preserve">Cybercrime a daily threat as most individuals use the internet on a daily basis. The police need to be aware of and updated on its impact and mechanisms. In October 2019, Her Majesty’s Inspectorate of Constabulary and Fire and Rescue Services (HMICFRS) inspected the police response to cyber-dependent crime </w:t>
      </w:r>
      <w:hyperlink r:id="rId24" w:history="1">
        <w:r w:rsidRPr="00916EB0">
          <w:rPr>
            <w:rFonts w:ascii="Calibri body" w:eastAsia="Times New Roman" w:hAnsi="Calibri body" w:cs="Times New Roman"/>
          </w:rPr>
          <w:t>(justiceinspectorates.gov.uk)</w:t>
        </w:r>
      </w:hyperlink>
      <w:r w:rsidRPr="00916EB0">
        <w:rPr>
          <w:rFonts w:ascii="Calibri body" w:eastAsia="Times New Roman" w:hAnsi="Calibri body" w:cs="Times New Roman"/>
        </w:rPr>
        <w:t xml:space="preserve"> and found that whilst a National Cyber Security Strategy (NCSS) is in place, when individual police forces were inspected, the threat from cyber-dependent crime is often not fully understood and were rarely seen as a priority. Best practice was not shared between forces and individual forces specialist resources varied. The internet is a worldwide resource, so it is ridiculous that the same investigation structure and focus does not span all forty-three forces. Under the NCSS, in 2016, forces who adopted the agreed model could apply for centrally funded grants. However, this funding is no longer available, ending in 2022 and now cybercrime comes under the forces general budget. The 2019 report concluded that only one of the forces they inspected had plans that ‘guaranteed the sustaining of current resources.’ The report was also told that “resources were matched to budget and not the level of demand. For example, the current budget allows the employment of seventy-nine staff within the Action Fraud call centre. Senior managers are aware that these staffing levels will result in 40 percent of callers hanging up before their call is answered. This means that approximately 20,000 calls per month are going unanswered”. In addition, lack of expertise within the police can be an issue. The report concluded that to improve the situation Chief Constables should review the use of cyber specials and volunteers who had gained expertise in cyber security from academia and the private sector. Unless the resources match the need, there is a lack of focus on cybercrime which contributes to the complexity of these crimes. </w:t>
      </w:r>
    </w:p>
    <w:p w14:paraId="14DFCB39" w14:textId="77777777" w:rsidR="00916EB0" w:rsidRPr="00916EB0" w:rsidRDefault="00916EB0" w:rsidP="00916EB0">
      <w:pPr>
        <w:rPr>
          <w:rFonts w:ascii="Calibri body" w:eastAsia="Times New Roman" w:hAnsi="Calibri body" w:cs="Times New Roman"/>
        </w:rPr>
      </w:pPr>
    </w:p>
    <w:p w14:paraId="6883FC5B" w14:textId="77777777" w:rsidR="00916EB0" w:rsidRPr="00916EB0" w:rsidRDefault="00916EB0" w:rsidP="00916EB0">
      <w:pPr>
        <w:rPr>
          <w:rFonts w:ascii="Calibri body" w:eastAsia="Times New Roman" w:hAnsi="Calibri body" w:cs="Times New Roman"/>
        </w:rPr>
      </w:pPr>
      <w:r w:rsidRPr="00916EB0">
        <w:rPr>
          <w:rFonts w:ascii="Calibri body" w:eastAsia="Times New Roman" w:hAnsi="Calibri body" w:cs="Times New Roman"/>
        </w:rPr>
        <w:t xml:space="preserve">To conclude it appears that cybercrime is an ever-increasing challenge for the police service to overcome. Research has shown that additional resources need to be directed towards educating the public about the types of cybercrime and the risks of falling victim to it, to reduce the stigma of becoming a victim and in addition the police service need to create their own awareness with external help from the formal agencies and technological experts in order to help combat cybercrime. </w:t>
      </w:r>
    </w:p>
    <w:p w14:paraId="2A75272C" w14:textId="77777777" w:rsidR="00916EB0" w:rsidRPr="00916EB0" w:rsidRDefault="00916EB0" w:rsidP="00916EB0">
      <w:pPr>
        <w:rPr>
          <w:rFonts w:ascii="Calibri body" w:eastAsia="Times New Roman" w:hAnsi="Calibri body" w:cs="Times New Roman"/>
        </w:rPr>
      </w:pPr>
    </w:p>
    <w:p w14:paraId="11077CAB" w14:textId="00933406" w:rsidR="00E36D1D" w:rsidRPr="00D570D8" w:rsidRDefault="00916EB0" w:rsidP="00916EB0">
      <w:pPr>
        <w:rPr>
          <w:rFonts w:ascii="Calibri body" w:eastAsia="Times New Roman" w:hAnsi="Calibri body" w:cs="Times New Roman"/>
        </w:rPr>
      </w:pPr>
      <w:r w:rsidRPr="00916EB0">
        <w:rPr>
          <w:rFonts w:ascii="Calibri body" w:eastAsia="Times New Roman" w:hAnsi="Calibri body" w:cs="Times New Roman"/>
        </w:rPr>
        <w:t>Word count: 1906</w:t>
      </w:r>
    </w:p>
    <w:p w14:paraId="2A3F7929" w14:textId="574C4B85" w:rsidR="00916EB0" w:rsidRDefault="00916EB0" w:rsidP="00916EB0">
      <w:pPr>
        <w:rPr>
          <w:rFonts w:eastAsia="Times New Roman" w:cs="Times New Roman"/>
        </w:rPr>
      </w:pPr>
    </w:p>
    <w:p w14:paraId="24FA0343" w14:textId="36012E21" w:rsidR="00916EB0" w:rsidRDefault="00916EB0" w:rsidP="00916EB0">
      <w:pPr>
        <w:rPr>
          <w:rFonts w:eastAsia="Times New Roman" w:cs="Times New Roman"/>
        </w:rPr>
      </w:pPr>
    </w:p>
    <w:p w14:paraId="66538952" w14:textId="3B01F94E" w:rsidR="00916EB0" w:rsidRDefault="00916EB0" w:rsidP="00916EB0">
      <w:pPr>
        <w:rPr>
          <w:rFonts w:eastAsia="Times New Roman" w:cs="Times New Roman"/>
        </w:rPr>
      </w:pPr>
    </w:p>
    <w:p w14:paraId="55C601CC" w14:textId="552B1FF9" w:rsidR="00916EB0" w:rsidRDefault="00916EB0" w:rsidP="00916EB0">
      <w:pPr>
        <w:rPr>
          <w:rFonts w:eastAsia="Times New Roman" w:cs="Times New Roman"/>
        </w:rPr>
      </w:pPr>
    </w:p>
    <w:p w14:paraId="72767ADB" w14:textId="31A0F310" w:rsidR="00916EB0" w:rsidRDefault="00916EB0" w:rsidP="00916EB0">
      <w:pPr>
        <w:rPr>
          <w:rFonts w:eastAsia="Times New Roman" w:cs="Times New Roman"/>
        </w:rPr>
      </w:pPr>
    </w:p>
    <w:p w14:paraId="06997ABE" w14:textId="039810BF" w:rsidR="00916EB0" w:rsidRDefault="00916EB0" w:rsidP="00916EB0">
      <w:pPr>
        <w:rPr>
          <w:rFonts w:eastAsia="Times New Roman" w:cs="Times New Roman"/>
        </w:rPr>
      </w:pPr>
    </w:p>
    <w:p w14:paraId="7BC72CAD" w14:textId="3E44F847" w:rsidR="00916EB0" w:rsidRDefault="00916EB0" w:rsidP="00916EB0">
      <w:pPr>
        <w:rPr>
          <w:rFonts w:eastAsia="Times New Roman" w:cs="Times New Roman"/>
        </w:rPr>
      </w:pPr>
    </w:p>
    <w:p w14:paraId="76F58705" w14:textId="04C3677F" w:rsidR="00916EB0" w:rsidRDefault="00916EB0" w:rsidP="00916EB0">
      <w:pPr>
        <w:rPr>
          <w:rFonts w:eastAsia="Times New Roman" w:cs="Times New Roman"/>
        </w:rPr>
      </w:pPr>
    </w:p>
    <w:p w14:paraId="57662231" w14:textId="7DC922CB" w:rsidR="00916EB0" w:rsidRDefault="00916EB0" w:rsidP="00916EB0">
      <w:pPr>
        <w:rPr>
          <w:rFonts w:eastAsia="Times New Roman" w:cs="Times New Roman"/>
        </w:rPr>
      </w:pPr>
    </w:p>
    <w:p w14:paraId="2848C055" w14:textId="37AA6C5F" w:rsidR="00916EB0" w:rsidRDefault="00916EB0" w:rsidP="00916EB0">
      <w:pPr>
        <w:rPr>
          <w:rFonts w:eastAsia="Times New Roman" w:cs="Times New Roman"/>
        </w:rPr>
      </w:pPr>
    </w:p>
    <w:p w14:paraId="200C3B46" w14:textId="1654CEC0" w:rsidR="00916EB0" w:rsidRDefault="00916EB0" w:rsidP="00916EB0">
      <w:pPr>
        <w:rPr>
          <w:rFonts w:eastAsia="Times New Roman" w:cs="Times New Roman"/>
        </w:rPr>
      </w:pPr>
    </w:p>
    <w:p w14:paraId="4E8C640E" w14:textId="3CF2FDD5" w:rsidR="00916EB0" w:rsidRDefault="00916EB0" w:rsidP="00916EB0">
      <w:pPr>
        <w:rPr>
          <w:rFonts w:eastAsia="Times New Roman" w:cs="Times New Roman"/>
        </w:rPr>
      </w:pPr>
    </w:p>
    <w:p w14:paraId="5100BC27" w14:textId="4EFF3672" w:rsidR="00916EB0" w:rsidRDefault="00916EB0" w:rsidP="00916EB0">
      <w:pPr>
        <w:rPr>
          <w:rFonts w:eastAsia="Times New Roman" w:cs="Times New Roman"/>
        </w:rPr>
      </w:pPr>
    </w:p>
    <w:p w14:paraId="2FD892F3" w14:textId="3F85999F" w:rsidR="00916EB0" w:rsidRDefault="00916EB0" w:rsidP="00916EB0">
      <w:pPr>
        <w:rPr>
          <w:rFonts w:eastAsia="Times New Roman" w:cs="Times New Roman"/>
        </w:rPr>
      </w:pPr>
    </w:p>
    <w:p w14:paraId="036339EA" w14:textId="3E260596" w:rsidR="00916EB0" w:rsidRDefault="00916EB0" w:rsidP="00916EB0">
      <w:pPr>
        <w:rPr>
          <w:rFonts w:eastAsia="Times New Roman" w:cs="Times New Roman"/>
        </w:rPr>
      </w:pPr>
    </w:p>
    <w:p w14:paraId="53B114C5" w14:textId="01A496EC" w:rsidR="00916EB0" w:rsidRDefault="00916EB0" w:rsidP="00916EB0">
      <w:pPr>
        <w:rPr>
          <w:rFonts w:eastAsia="Times New Roman" w:cs="Times New Roman"/>
        </w:rPr>
      </w:pPr>
    </w:p>
    <w:p w14:paraId="223E8E9D" w14:textId="520AD70B" w:rsidR="00916EB0" w:rsidRDefault="00916EB0" w:rsidP="00916EB0">
      <w:pPr>
        <w:rPr>
          <w:rFonts w:eastAsia="Times New Roman" w:cs="Times New Roman"/>
        </w:rPr>
      </w:pPr>
    </w:p>
    <w:p w14:paraId="04E8A10F" w14:textId="7BF3DA96" w:rsidR="00916EB0" w:rsidRDefault="00916EB0" w:rsidP="00916EB0">
      <w:pPr>
        <w:rPr>
          <w:rFonts w:eastAsia="Times New Roman" w:cs="Times New Roman"/>
        </w:rPr>
      </w:pPr>
    </w:p>
    <w:p w14:paraId="5515B4C9" w14:textId="1D23C136" w:rsidR="00916EB0" w:rsidRDefault="00916EB0" w:rsidP="00916EB0">
      <w:pPr>
        <w:rPr>
          <w:rFonts w:eastAsia="Times New Roman" w:cs="Times New Roman"/>
        </w:rPr>
      </w:pPr>
    </w:p>
    <w:p w14:paraId="7FB7E46B" w14:textId="1F118908" w:rsidR="00916EB0" w:rsidRDefault="00916EB0" w:rsidP="00916EB0">
      <w:pPr>
        <w:rPr>
          <w:rFonts w:eastAsia="Times New Roman" w:cs="Times New Roman"/>
        </w:rPr>
      </w:pPr>
    </w:p>
    <w:p w14:paraId="7EC2CDD8" w14:textId="6C22F6DB" w:rsidR="00916EB0" w:rsidRDefault="00916EB0" w:rsidP="00916EB0">
      <w:pPr>
        <w:rPr>
          <w:rFonts w:eastAsia="Times New Roman" w:cs="Times New Roman"/>
        </w:rPr>
      </w:pPr>
    </w:p>
    <w:p w14:paraId="1465244D" w14:textId="27B70CC7" w:rsidR="00916EB0" w:rsidRDefault="00916EB0" w:rsidP="00916EB0">
      <w:pPr>
        <w:rPr>
          <w:rFonts w:eastAsia="Times New Roman" w:cs="Times New Roman"/>
        </w:rPr>
      </w:pPr>
    </w:p>
    <w:p w14:paraId="3471EAC3" w14:textId="74FF492F" w:rsidR="00916EB0" w:rsidRDefault="00916EB0" w:rsidP="00916EB0">
      <w:pPr>
        <w:rPr>
          <w:rFonts w:eastAsia="Times New Roman" w:cs="Times New Roman"/>
        </w:rPr>
      </w:pPr>
    </w:p>
    <w:p w14:paraId="00A77A2D" w14:textId="13A69368" w:rsidR="00916EB0" w:rsidRDefault="00916EB0" w:rsidP="00916EB0">
      <w:pPr>
        <w:rPr>
          <w:rFonts w:eastAsia="Times New Roman" w:cs="Times New Roman"/>
        </w:rPr>
      </w:pPr>
    </w:p>
    <w:p w14:paraId="7871B114" w14:textId="4A8A9E74" w:rsidR="00916EB0" w:rsidRDefault="00916EB0" w:rsidP="00916EB0">
      <w:pPr>
        <w:rPr>
          <w:rFonts w:eastAsia="Times New Roman" w:cs="Times New Roman"/>
        </w:rPr>
      </w:pPr>
    </w:p>
    <w:p w14:paraId="42EDB05E" w14:textId="7C420963" w:rsidR="00916EB0" w:rsidRDefault="00916EB0" w:rsidP="00916EB0">
      <w:pPr>
        <w:rPr>
          <w:rFonts w:eastAsia="Times New Roman" w:cs="Times New Roman"/>
        </w:rPr>
      </w:pPr>
    </w:p>
    <w:p w14:paraId="3A84CF2D" w14:textId="70ED52B4" w:rsidR="00916EB0" w:rsidRPr="00916EB0" w:rsidRDefault="00916EB0" w:rsidP="00916EB0">
      <w:pPr>
        <w:rPr>
          <w:rFonts w:eastAsia="Times New Roman" w:cs="Times New Roman"/>
        </w:rPr>
      </w:pPr>
    </w:p>
    <w:p w14:paraId="5AD09709" w14:textId="77777777" w:rsidR="00E36D1D" w:rsidRPr="00916EB0" w:rsidRDefault="00E36D1D" w:rsidP="00916EB0">
      <w:pPr>
        <w:spacing w:after="0" w:line="480" w:lineRule="auto"/>
        <w:rPr>
          <w:rFonts w:ascii="Trebuchet MS" w:eastAsia="Times New Roman" w:hAnsi="Trebuchet MS" w:cs="Arial"/>
          <w:sz w:val="24"/>
          <w:szCs w:val="24"/>
          <w:lang w:eastAsia="en-GB"/>
        </w:rPr>
      </w:pPr>
    </w:p>
    <w:p w14:paraId="317A24D3" w14:textId="77777777" w:rsidR="00D570D8" w:rsidRDefault="00D570D8" w:rsidP="00D570D8">
      <w:pPr>
        <w:pStyle w:val="ListParagraph"/>
        <w:spacing w:after="0" w:line="480" w:lineRule="auto"/>
        <w:rPr>
          <w:rFonts w:ascii="Trebuchet MS" w:eastAsia="Times New Roman" w:hAnsi="Trebuchet MS" w:cs="Arial"/>
          <w:sz w:val="24"/>
          <w:szCs w:val="24"/>
          <w:lang w:eastAsia="en-GB"/>
        </w:rPr>
      </w:pPr>
    </w:p>
    <w:p w14:paraId="3901FFD0" w14:textId="77777777" w:rsidR="00D570D8" w:rsidRDefault="00D570D8" w:rsidP="00D570D8">
      <w:pPr>
        <w:pStyle w:val="ListParagraph"/>
        <w:spacing w:after="0" w:line="480" w:lineRule="auto"/>
        <w:rPr>
          <w:rFonts w:ascii="Trebuchet MS" w:eastAsia="Times New Roman" w:hAnsi="Trebuchet MS" w:cs="Arial"/>
          <w:sz w:val="24"/>
          <w:szCs w:val="24"/>
          <w:lang w:eastAsia="en-GB"/>
        </w:rPr>
      </w:pPr>
    </w:p>
    <w:p w14:paraId="64D942FF" w14:textId="77777777" w:rsidR="00D570D8" w:rsidRDefault="00D570D8" w:rsidP="00D570D8">
      <w:pPr>
        <w:pStyle w:val="ListParagraph"/>
        <w:spacing w:after="0" w:line="480" w:lineRule="auto"/>
        <w:rPr>
          <w:rFonts w:ascii="Trebuchet MS" w:eastAsia="Times New Roman" w:hAnsi="Trebuchet MS" w:cs="Arial"/>
          <w:sz w:val="24"/>
          <w:szCs w:val="24"/>
          <w:lang w:eastAsia="en-GB"/>
        </w:rPr>
      </w:pPr>
    </w:p>
    <w:p w14:paraId="3A22598B" w14:textId="77777777" w:rsidR="00D570D8" w:rsidRDefault="00D570D8" w:rsidP="00D570D8">
      <w:pPr>
        <w:pStyle w:val="ListParagraph"/>
        <w:spacing w:after="0" w:line="480" w:lineRule="auto"/>
        <w:rPr>
          <w:rFonts w:ascii="Trebuchet MS" w:eastAsia="Times New Roman" w:hAnsi="Trebuchet MS" w:cs="Arial"/>
          <w:sz w:val="24"/>
          <w:szCs w:val="24"/>
          <w:lang w:eastAsia="en-GB"/>
        </w:rPr>
      </w:pPr>
    </w:p>
    <w:p w14:paraId="444D01C0" w14:textId="1795A2D5" w:rsidR="00464DEA" w:rsidRDefault="00464DEA" w:rsidP="00D570D8">
      <w:pPr>
        <w:pStyle w:val="ListParagraph"/>
        <w:spacing w:after="0" w:line="480" w:lineRule="auto"/>
        <w:rPr>
          <w:rFonts w:ascii="Trebuchet MS" w:eastAsia="Times New Roman" w:hAnsi="Trebuchet MS" w:cs="Arial"/>
          <w:sz w:val="24"/>
          <w:szCs w:val="24"/>
          <w:lang w:eastAsia="en-GB"/>
        </w:rPr>
      </w:pPr>
      <w:r w:rsidRPr="00D570D8">
        <w:rPr>
          <w:rFonts w:ascii="Trebuchet MS" w:eastAsia="Times New Roman" w:hAnsi="Trebuchet MS" w:cs="Arial"/>
          <w:sz w:val="24"/>
          <w:szCs w:val="24"/>
          <w:lang w:eastAsia="en-GB"/>
        </w:rPr>
        <w:t>Assess the role of community policing in fostering and maintaining community cohesion. (2000 words)</w:t>
      </w:r>
    </w:p>
    <w:p w14:paraId="62947748" w14:textId="77777777" w:rsidR="00D570D8" w:rsidRPr="00D570D8" w:rsidRDefault="00D570D8" w:rsidP="00D570D8">
      <w:pPr>
        <w:pStyle w:val="ListParagraph"/>
        <w:spacing w:after="0" w:line="480" w:lineRule="auto"/>
        <w:rPr>
          <w:rFonts w:ascii="Trebuchet MS" w:eastAsia="Times New Roman" w:hAnsi="Trebuchet MS" w:cs="Arial"/>
          <w:sz w:val="24"/>
          <w:szCs w:val="24"/>
          <w:lang w:eastAsia="en-GB"/>
        </w:rPr>
      </w:pPr>
    </w:p>
    <w:p w14:paraId="1C189BB0" w14:textId="77777777" w:rsidR="00EA3CED" w:rsidRPr="00EA3CED" w:rsidRDefault="00EA3CED" w:rsidP="00D570D8">
      <w:pPr>
        <w:pStyle w:val="ListParagraph"/>
        <w:rPr>
          <w:rFonts w:eastAsia="Times New Roman" w:cs="Times New Roman"/>
        </w:rPr>
      </w:pPr>
      <w:r w:rsidRPr="00EA3CED">
        <w:rPr>
          <w:rFonts w:eastAsia="Times New Roman" w:cs="Times New Roman"/>
        </w:rPr>
        <w:t>The police service was created in 1829 with the purpose of reducing crime and protecting the public and as a result the service requires society’s trust and cooperation. As described within the Policing Vision 2025 ‘policing can be traced back to the Peelian principles; the emphasis on prevention and the recognition that the police are part of the community and that their power depends on public approval, are as important today as they were at the inception of the police service’  (College Of Policing, 2017).</w:t>
      </w:r>
    </w:p>
    <w:p w14:paraId="1BC16C93" w14:textId="77777777" w:rsidR="00D570D8" w:rsidRDefault="00D570D8" w:rsidP="00D570D8">
      <w:pPr>
        <w:pStyle w:val="ListParagraph"/>
        <w:rPr>
          <w:rFonts w:eastAsia="Times New Roman" w:cs="Times New Roman"/>
        </w:rPr>
      </w:pPr>
    </w:p>
    <w:p w14:paraId="2559DD3D" w14:textId="553635F9" w:rsidR="00EA3CED" w:rsidRPr="00D570D8" w:rsidRDefault="00EA3CED" w:rsidP="00D570D8">
      <w:pPr>
        <w:pStyle w:val="ListParagraph"/>
        <w:rPr>
          <w:rFonts w:eastAsia="Times New Roman" w:cs="Times New Roman"/>
        </w:rPr>
      </w:pPr>
      <w:r w:rsidRPr="00D570D8">
        <w:rPr>
          <w:rFonts w:eastAsia="Times New Roman" w:cs="Times New Roman"/>
        </w:rPr>
        <w:t xml:space="preserve">According to Trojanowicz and Carter (1988) ‘community policing is a proactive, decentralized approach designed to reduce crime, disorder and fear of crime by involving officers in the same community over a long term’. This approach helps to allow relationships to form between the police and communities and assists in fostering a positive approach in engagement between both parties which in turn enhances upon the trust of our communities within the police force resulting within its members providing information to help assist the police in the disruption and management of crime and disorder in their areas. </w:t>
      </w:r>
    </w:p>
    <w:p w14:paraId="07359ACF" w14:textId="77777777" w:rsidR="00D570D8" w:rsidRDefault="00D570D8" w:rsidP="00D570D8">
      <w:pPr>
        <w:pStyle w:val="ListParagraph"/>
        <w:rPr>
          <w:rFonts w:eastAsia="Times New Roman" w:cs="Calibri"/>
          <w:bCs/>
          <w:lang w:eastAsia="en-GB"/>
        </w:rPr>
      </w:pPr>
    </w:p>
    <w:p w14:paraId="43FCE21B" w14:textId="36D0E6DE" w:rsidR="00EA3CED" w:rsidRPr="00D570D8" w:rsidRDefault="00EA3CED" w:rsidP="00D570D8">
      <w:pPr>
        <w:pStyle w:val="ListParagraph"/>
        <w:rPr>
          <w:rFonts w:eastAsia="Times New Roman" w:cs="Times New Roman"/>
        </w:rPr>
      </w:pPr>
      <w:r w:rsidRPr="00D570D8">
        <w:rPr>
          <w:rFonts w:eastAsia="Times New Roman" w:cs="Calibri"/>
          <w:bCs/>
          <w:lang w:eastAsia="en-GB"/>
        </w:rPr>
        <w:t>Community engagement plays a crucial and integral role within effective modern-day policing. Positive interactions and involvement between the police and their local communities also helps to increase police knowledge on their local communities and increases their level of understanding on what the community expectations from the police which are ultimately in turn impacts upon the way in which the police make their suitable and informed decisions that involve their communities. This approach not only builds upon relationships being built between the police and their local communities but also provides a sense of responsibility between both parties.</w:t>
      </w:r>
    </w:p>
    <w:p w14:paraId="032057C7" w14:textId="77777777" w:rsidR="00D570D8" w:rsidRDefault="00D570D8" w:rsidP="00D570D8">
      <w:pPr>
        <w:pStyle w:val="ListParagraph"/>
        <w:rPr>
          <w:rFonts w:eastAsia="Times New Roman" w:cs="Times New Roman"/>
        </w:rPr>
      </w:pPr>
    </w:p>
    <w:p w14:paraId="21CE7616" w14:textId="2DDC9A83" w:rsidR="00EA3CED" w:rsidRPr="00D570D8" w:rsidRDefault="00EA3CED" w:rsidP="00D570D8">
      <w:pPr>
        <w:pStyle w:val="ListParagraph"/>
        <w:rPr>
          <w:rFonts w:eastAsia="Times New Roman" w:cs="Calibri"/>
          <w:bCs/>
          <w:lang w:eastAsia="en-GB"/>
        </w:rPr>
      </w:pPr>
      <w:r w:rsidRPr="00D570D8">
        <w:rPr>
          <w:rFonts w:eastAsia="Times New Roman" w:cs="Times New Roman"/>
        </w:rPr>
        <w:t>Under section 34 of the Police Reform and Social Responsibility Act 2011, Chief Officers make arrangements in each neighbourhood to obtain the views of the public on crime and disorder in the local area, provide local information about crime and policing, and hold regular public meetings. This legislation also subscribes to Problem-orientated policing (POP) and the 4 step SARA model of to ‘scanning’ and identifying potential disorder; ‘analysing’ the risk by gathering information and intelligence regarding the underlying causes of the issues; ‘responding’ by developing tailored activities to address the identified causes and ‘assessing’ the impact and success of the response as outlined by the College of Policing, 2017. It can be seen that community involvement and support in this problem-solving approach, particularly the scanning and analysis stage of the approach is of upmost importance as the community are best placed to observe and identify issues in their locality.</w:t>
      </w:r>
    </w:p>
    <w:p w14:paraId="7000046B" w14:textId="77777777" w:rsidR="00D570D8" w:rsidRDefault="00D570D8" w:rsidP="00D570D8">
      <w:pPr>
        <w:pStyle w:val="ListParagraph"/>
        <w:rPr>
          <w:rFonts w:eastAsia="Times New Roman" w:cs="Times New Roman"/>
        </w:rPr>
      </w:pPr>
    </w:p>
    <w:p w14:paraId="54CFB5EF" w14:textId="2487276B" w:rsidR="00EA3CED" w:rsidRPr="00D570D8" w:rsidRDefault="00EA3CED" w:rsidP="00D570D8">
      <w:pPr>
        <w:pStyle w:val="ListParagraph"/>
        <w:rPr>
          <w:rFonts w:eastAsia="Times New Roman" w:cs="Times New Roman"/>
        </w:rPr>
      </w:pPr>
      <w:r w:rsidRPr="00D570D8">
        <w:rPr>
          <w:rFonts w:eastAsia="Times New Roman" w:cs="Times New Roman"/>
        </w:rPr>
        <w:t xml:space="preserve">Encouraging and involving communities into engaging within police activity helps to foster and maintain cohesion as it helps to bring communities and the police together, it builds upon the relationship between both parties and involves co-operative working and trust. The building of such meaningful relationships between the police and community helps to build upon social responsibility and increases community respect to abide by the law. Community engagement is also incredibly important because it increases the effectiveness of policing as it helps increase public confidence and engagement resulting in more information being passed over to the police when crime and disorder is committed within our </w:t>
      </w:r>
      <w:r w:rsidRPr="00D570D8">
        <w:rPr>
          <w:rFonts w:eastAsia="Times New Roman" w:cs="Times New Roman"/>
        </w:rPr>
        <w:lastRenderedPageBreak/>
        <w:t xml:space="preserve">communities which enhances upon public safeguarding measures being implemented as stated by Weston and Turner (2017). </w:t>
      </w:r>
    </w:p>
    <w:p w14:paraId="3F8370C2" w14:textId="77777777" w:rsidR="00EA3CED" w:rsidRPr="00EA3CED" w:rsidRDefault="00EA3CED" w:rsidP="00D570D8">
      <w:pPr>
        <w:pStyle w:val="ListParagraph"/>
        <w:rPr>
          <w:rFonts w:eastAsia="Times New Roman" w:cs="Times New Roman"/>
        </w:rPr>
      </w:pPr>
    </w:p>
    <w:p w14:paraId="3089A1A3" w14:textId="77777777" w:rsidR="00EA3CED" w:rsidRPr="00EA3CED" w:rsidRDefault="00EA3CED" w:rsidP="00D570D8">
      <w:pPr>
        <w:pStyle w:val="ListParagraph"/>
        <w:rPr>
          <w:rFonts w:eastAsia="Times New Roman" w:cs="Times New Roman"/>
        </w:rPr>
      </w:pPr>
      <w:r w:rsidRPr="00EA3CED">
        <w:rPr>
          <w:rFonts w:eastAsia="Times New Roman" w:cs="Times New Roman"/>
        </w:rPr>
        <w:t xml:space="preserve">The difference between the two types of policing, and advantage of the latter has been identified by </w:t>
      </w:r>
      <w:hyperlink r:id="rId25" w:history="1">
        <w:r w:rsidRPr="00EA3CED">
          <w:rPr>
            <w:rFonts w:eastAsia="Times New Roman" w:cs="Times New Roman"/>
          </w:rPr>
          <w:t>Yili Xu</w:t>
        </w:r>
      </w:hyperlink>
      <w:r w:rsidRPr="00EA3CED">
        <w:rPr>
          <w:rFonts w:eastAsia="Times New Roman" w:cs="Times New Roman"/>
        </w:rPr>
        <w:t>, </w:t>
      </w:r>
      <w:hyperlink r:id="rId26" w:history="1">
        <w:r w:rsidRPr="00EA3CED">
          <w:rPr>
            <w:rFonts w:eastAsia="Times New Roman" w:cs="Times New Roman"/>
          </w:rPr>
          <w:t>Mora L. Fiedler</w:t>
        </w:r>
      </w:hyperlink>
      <w:r w:rsidRPr="00EA3CED">
        <w:rPr>
          <w:rFonts w:eastAsia="Times New Roman" w:cs="Times New Roman"/>
        </w:rPr>
        <w:t>, </w:t>
      </w:r>
      <w:hyperlink r:id="rId27" w:history="1">
        <w:r w:rsidRPr="00EA3CED">
          <w:rPr>
            <w:rFonts w:eastAsia="Times New Roman" w:cs="Times New Roman"/>
          </w:rPr>
          <w:t>Karl H. Flaming</w:t>
        </w:r>
      </w:hyperlink>
      <w:r w:rsidRPr="00EA3CED">
        <w:rPr>
          <w:rFonts w:eastAsia="Times New Roman" w:cs="Times New Roman"/>
        </w:rPr>
        <w:t xml:space="preserve"> (2005)</w:t>
      </w:r>
      <w:r w:rsidRPr="00EA3CED">
        <w:rPr>
          <w:rFonts w:eastAsia="Times New Roman" w:cs="Times New Roman"/>
          <w:b/>
          <w:bCs/>
        </w:rPr>
        <w:t>. ‘</w:t>
      </w:r>
      <w:r w:rsidRPr="00EA3CED">
        <w:rPr>
          <w:rFonts w:eastAsia="Times New Roman" w:cs="Times New Roman"/>
        </w:rPr>
        <w:t xml:space="preserve">Traditional policing is incident-oriented. Such an approach does not change the total number of criminals in society at any given time except changing their locations (i.e. moving some of them from the streets to prisons). This practice requires that someone has become a victim before the police act. The police will not take action against disorderly behaviour until it has escalated into a criminal act, nor will they address the social conditions that spawn crimes. In this sense, the traditional approach is </w:t>
      </w:r>
      <w:r w:rsidRPr="00EA3CED">
        <w:rPr>
          <w:rFonts w:eastAsia="Times New Roman" w:cs="Times New Roman"/>
          <w:color w:val="000000" w:themeColor="text1"/>
        </w:rPr>
        <w:t>institutionally</w:t>
      </w:r>
      <w:r w:rsidRPr="00EA3CED">
        <w:rPr>
          <w:rFonts w:eastAsia="Times New Roman" w:cs="Times New Roman"/>
        </w:rPr>
        <w:t xml:space="preserve"> indifferent before an individual has turned into a criminal, a crime has been actualized, or someone has been victimized. However, if responding to incidents is all that the police do, the community problems that cause or explain many of these incidents will never be addressed and so the incidents will continue and their number will perhaps increase’. </w:t>
      </w:r>
    </w:p>
    <w:p w14:paraId="40EFF3F7" w14:textId="77777777" w:rsidR="00D570D8" w:rsidRDefault="00D570D8" w:rsidP="00D570D8">
      <w:pPr>
        <w:pStyle w:val="ListParagraph"/>
        <w:rPr>
          <w:rFonts w:eastAsia="Times New Roman" w:cs="Times New Roman"/>
        </w:rPr>
      </w:pPr>
    </w:p>
    <w:p w14:paraId="553E73B5" w14:textId="271A8F16" w:rsidR="00EA3CED" w:rsidRPr="00D570D8" w:rsidRDefault="00EA3CED" w:rsidP="00D570D8">
      <w:pPr>
        <w:pStyle w:val="ListParagraph"/>
        <w:rPr>
          <w:rFonts w:eastAsia="Times New Roman" w:cs="Times New Roman"/>
        </w:rPr>
      </w:pPr>
      <w:r w:rsidRPr="00D570D8">
        <w:rPr>
          <w:rFonts w:eastAsia="Times New Roman" w:cs="Times New Roman"/>
        </w:rPr>
        <w:t>There is also a broken window theory which was developed by George L. Kelling and James Q. Wilson. In relation to crime their theory believes that if an issue such as a criminal activity in a given locality is not dealt with, the community’s attitude to the issue and it’s environment is negatively affected and the criminal activity therefore increases. Community support of the COP and SARS model attempts to deal with the criminal issue before escalation both on a targeted response and community cohesion basis. The Cardiff Community Engagement Experiment was created to assess the positive impact of police community engagement. The experiment was city wide and used interviews and procedures to collect information and intelligence from communities rather than public surveys that had been previously used for police and community contact. One clear example of its value was regarding disorder around a local supermarket. ’In the qualitative material collected during the interviews, there were several mentions made by separate individual respondents that a lot of the issues congregated around the local supermarket. The store in question had a car park with no lighting and was not covered by any CCTV cameras. It also contained quite a lot of overgrown weeds and shrubs. As a consequence, local young people hung out there, creating a nuisance of themselves by engaging in lots of relatively minor forms of antisocial behaviour. It was also sometimes used by local drug users as a space where they could inject themselves out of the public view. Armed with this community intelligence, the police responsible for the local area devised a multi-​dimensional response. This included adopting a more assertive intervention posture in respect of some of the recurrent antisocial behaviour issues in the area, by, for instance, taking out Anti-​ Social Behaviour Orders in respect of a small number of individuals whose behaviour was especially problematic. In addition, they also leveraged a series of situational crime prevention measures. Quite creatively, members of the Neighbourhood Policing Team took the community intelligence analysis to the managers of the supermarket to try and persuade them to do something. It worked. The car park was tidied up and lighting and security cameras installed. Staff in the shop took greater ‘ownership’ of the public spaces surrounding the store, for instance sweeping up litter and so forth. At the same time, they tightened up on selling alcohol to people who appeared underage. Collectively, these changes had a</w:t>
      </w:r>
      <w:r w:rsidRPr="00D570D8">
        <w:rPr>
          <w:rFonts w:eastAsia="Times New Roman" w:cs="Times New Roman"/>
          <w:color w:val="000000" w:themeColor="text1"/>
        </w:rPr>
        <w:t xml:space="preserve"> visible </w:t>
      </w:r>
      <w:r w:rsidRPr="00D570D8">
        <w:rPr>
          <w:rFonts w:eastAsia="Times New Roman" w:cs="Times New Roman"/>
        </w:rPr>
        <w:t xml:space="preserve">impact upon the local disorder problems. Over a period of three months, public calls to the police to report incidents of antisocial behaviour declined dramatically. Even more interestingly, the manager of the store reported to police that they had seen a marked increase in their ‘footfall statistics’ as explained by Innes, Martin, et al. This clearly indicates that police action was a direct result of community intelligence obtained by the police, who in turn provided information to the community who were then willing and able to support this police initiatives with aimsof reducing crime and disorder. Crime was reduced, the physical environment improved, law abiding members of society who had been reassured returned to frequenting the area, replacing the criminal element. </w:t>
      </w:r>
    </w:p>
    <w:p w14:paraId="1A175628" w14:textId="77777777" w:rsidR="00D570D8" w:rsidRDefault="00D570D8" w:rsidP="00D570D8">
      <w:pPr>
        <w:pStyle w:val="ListParagraph"/>
        <w:rPr>
          <w:rFonts w:eastAsia="Times New Roman" w:cs="Times New Roman"/>
        </w:rPr>
      </w:pPr>
    </w:p>
    <w:p w14:paraId="3FCD3F07" w14:textId="10F4CADE" w:rsidR="00EA3CED" w:rsidRPr="00D570D8" w:rsidRDefault="00EA3CED" w:rsidP="00D570D8">
      <w:pPr>
        <w:pStyle w:val="ListParagraph"/>
        <w:rPr>
          <w:rFonts w:eastAsia="Times New Roman" w:cs="Times New Roman"/>
        </w:rPr>
      </w:pPr>
      <w:r w:rsidRPr="00D570D8">
        <w:rPr>
          <w:rFonts w:eastAsia="Times New Roman" w:cs="Times New Roman"/>
        </w:rPr>
        <w:t xml:space="preserve">Research has been conducted into the effectiveness on community policing and problem solving has been identified as being more effective approach towards crime reduction than police presence in areas of high </w:t>
      </w:r>
      <w:r w:rsidRPr="00D570D8">
        <w:rPr>
          <w:rFonts w:eastAsia="Times New Roman" w:cs="Times New Roman"/>
        </w:rPr>
        <w:lastRenderedPageBreak/>
        <w:t xml:space="preserve">crime as highlighted by Braga, Welsh, B. C., &amp; Schnell, C. (2015). In addition, whilst targeted police presence can reassure the public in the short term, for example if there has been an increase in sexual attacks a report, based upon the study of A randomized controlled trial of different policing strategies at hot spots of violent crime shows that problem solving has a longer-term impact and is ‘particularly effective when it is focused on particular types of crime rather than total crime’ as stated by Weisburd, Telep, C. W., Hinkle, J. C., &amp; Eck, J. E. (2010). </w:t>
      </w:r>
    </w:p>
    <w:p w14:paraId="563A02DD" w14:textId="77777777" w:rsidR="00D570D8" w:rsidRDefault="00D570D8" w:rsidP="00D570D8">
      <w:pPr>
        <w:pStyle w:val="ListParagraph"/>
        <w:rPr>
          <w:rFonts w:eastAsia="Times New Roman" w:cs="Times New Roman"/>
        </w:rPr>
      </w:pPr>
    </w:p>
    <w:p w14:paraId="1D1B6720" w14:textId="74B1709C" w:rsidR="00EA3CED" w:rsidRPr="00D570D8" w:rsidRDefault="00EA3CED" w:rsidP="00D570D8">
      <w:pPr>
        <w:pStyle w:val="ListParagraph"/>
        <w:rPr>
          <w:rFonts w:eastAsia="Times New Roman" w:cs="Times New Roman"/>
        </w:rPr>
      </w:pPr>
      <w:r w:rsidRPr="00D570D8">
        <w:rPr>
          <w:rFonts w:eastAsia="Times New Roman" w:cs="Times New Roman"/>
        </w:rPr>
        <w:t>One issue that is important to community cohesion and relationship is the perception of the police and the force and powers they use so that the public understand the reason for police actions. If understood there is  accebetterptance. This is particularly important in areas where there are minorities who have a historic distrust of the police as reported within the The Independent Report on Crime and Policing (Gov.UK). The updated 28th April 2021 addition notes that ‘ The Crime Survey of England and Wales shows that in the year ending March 2020, 84% of people in the Asian Other ethnic group, 81% of Bangladeshi people and 69% of Black African people and had confidence in their local police. These 3 groups experienced among the highest rates of stop and search in the same year.</w:t>
      </w:r>
      <w:r w:rsidRPr="00D570D8">
        <w:rPr>
          <w:rFonts w:eastAsia="Times New Roman" w:cs="Times New Roman"/>
          <w:vertAlign w:val="superscript"/>
        </w:rPr>
        <w:t xml:space="preserve"> </w:t>
      </w:r>
      <w:r w:rsidRPr="00D570D8">
        <w:rPr>
          <w:rFonts w:eastAsia="Times New Roman" w:cs="Times New Roman"/>
        </w:rPr>
        <w:t xml:space="preserve">However, there is a noticeable drop in confidence for Black Caribbean people (54%), who also experienced the highest rates of stop and search in the same year. This lack of confidence appears to stem from different experiences, and the intergenerational memory that members of Black Caribbean communities in particular, have of unfair and excessive policing in the past’ (GOV.UK). In ‘State of Policing – The Annual Assessment of Policing in England and Wales 2021 Her Majesty’s Chief Inspector of Constabulary’ Sir Thomas Windsor affirms this identifying that  ‘The degree of public acceptance of the use of police powers, and the extent to which communities will support the police in the ways I have described, is, to a material extent, a function of the trust and confidence of communities, and whether the police officer in that community resembles and has a natural affinity with the people of that community. And therefore, consistent with the principle of merit I have described, the police should significantly intensify the steps they are taking to inform and encourage members of the parts of communities who are not proportionately represented in the police about the attractions of a police career’ (justiceinspectorates.gov.uk). </w:t>
      </w:r>
    </w:p>
    <w:p w14:paraId="50DDF920" w14:textId="77777777" w:rsidR="00D570D8" w:rsidRDefault="00D570D8" w:rsidP="00D570D8">
      <w:pPr>
        <w:pStyle w:val="ListParagraph"/>
        <w:rPr>
          <w:rFonts w:eastAsia="Times New Roman" w:cs="Times New Roman"/>
        </w:rPr>
      </w:pPr>
    </w:p>
    <w:p w14:paraId="3F4FF497" w14:textId="061AE55E" w:rsidR="00EA3CED" w:rsidRPr="00D570D8" w:rsidRDefault="00EA3CED" w:rsidP="00D570D8">
      <w:pPr>
        <w:pStyle w:val="ListParagraph"/>
        <w:rPr>
          <w:rFonts w:eastAsia="Times New Roman" w:cs="Times New Roman"/>
        </w:rPr>
      </w:pPr>
      <w:r w:rsidRPr="00D570D8">
        <w:rPr>
          <w:rFonts w:eastAsia="Times New Roman" w:cs="Times New Roman"/>
        </w:rPr>
        <w:t xml:space="preserve">In order to address this issue it can be seen that particular steps must be taken to form stronger relationships with areas of high ethnic diversity along with attracting candidates from ethnically diverse backgrounds and increasing the proportion of promotions amongst this group. In The Independent report on Crime and Policing the commission did ‘not believe that a White police officer is unable to police areas with large ethnic minority communities or show empathy and understanding with people from minority groups, but a more diverse police service overall could help to rebuild trust with communities at the local level.’ It has been proposed by Assistant commissioner Rob Beckley that independent community panels should be given power to inspect body camera evidence, documents and intelligence behind operational decisions made by senior officer in order to ‘root out bias’ (theguardian.com).  Legislation has yet to be enacted but may be seen as a welcome move, increasing transparency, the confidence of minorities and an opportunity to challenge any institutional racism through independent Police and Crime Commissioners. </w:t>
      </w:r>
    </w:p>
    <w:p w14:paraId="5FB20EDF" w14:textId="77777777" w:rsidR="00D570D8" w:rsidRDefault="00D570D8" w:rsidP="00D570D8">
      <w:pPr>
        <w:pStyle w:val="ListParagraph"/>
        <w:rPr>
          <w:rFonts w:eastAsia="Times New Roman" w:cs="Calibri"/>
          <w:bCs/>
          <w:lang w:eastAsia="en-GB"/>
        </w:rPr>
      </w:pPr>
    </w:p>
    <w:p w14:paraId="055075FC" w14:textId="27CF8871" w:rsidR="00EA3CED" w:rsidRPr="00D570D8" w:rsidRDefault="00EA3CED" w:rsidP="00D570D8">
      <w:pPr>
        <w:pStyle w:val="ListParagraph"/>
        <w:rPr>
          <w:rFonts w:eastAsia="Times New Roman" w:cs="Times New Roman"/>
        </w:rPr>
      </w:pPr>
      <w:r w:rsidRPr="00D570D8">
        <w:rPr>
          <w:rFonts w:eastAsia="Times New Roman" w:cs="Calibri"/>
          <w:bCs/>
          <w:lang w:eastAsia="en-GB"/>
        </w:rPr>
        <w:t xml:space="preserve">Unfortunately, there have many high-profile cases over previous years that have had a damaging effect upon the public’s perception of the police which effected community engagement as they lost their trust and respect for the police. An example of this would be the murder of Lynette White in 1988 whereby five black and minority ethnic men were wrongfully accused by the police and sentenced to prison despite witnesses describing the male responsible as being a Caucasian male. It is a hugely controversial case and although the wrongful sentence was ruled as being caused as a result of human error (The Guardian, 2017) it was believed that there were elements involving police corruption and racism within </w:t>
      </w:r>
      <w:r w:rsidRPr="00D570D8">
        <w:rPr>
          <w:rFonts w:eastAsia="Times New Roman" w:cs="Calibri"/>
          <w:bCs/>
          <w:lang w:eastAsia="en-GB"/>
        </w:rPr>
        <w:lastRenderedPageBreak/>
        <w:t>the conduct if the case which in turn caused mistrust in communities resulting in the distrust and resentment towards police. Cases such as this can have long lasting damaging effects upon community relationships with the police despite the efforts the police force go through implementing measures to reassure communities that is not the case.</w:t>
      </w:r>
    </w:p>
    <w:p w14:paraId="7ACAFA91" w14:textId="77777777" w:rsidR="00EA3CED" w:rsidRPr="00EA3CED" w:rsidRDefault="00EA3CED" w:rsidP="00EA3CED">
      <w:pPr>
        <w:pStyle w:val="ListParagraph"/>
        <w:rPr>
          <w:rFonts w:eastAsia="Times New Roman" w:cs="Times New Roman"/>
        </w:rPr>
      </w:pPr>
    </w:p>
    <w:p w14:paraId="57FB8B74" w14:textId="77777777" w:rsidR="00EA3CED" w:rsidRPr="00EA3CED" w:rsidRDefault="00EA3CED" w:rsidP="00EA3CED">
      <w:pPr>
        <w:pStyle w:val="ListParagraph"/>
        <w:rPr>
          <w:rFonts w:eastAsia="Times New Roman" w:cs="Times New Roman"/>
        </w:rPr>
      </w:pPr>
      <w:r w:rsidRPr="00EA3CED">
        <w:rPr>
          <w:rFonts w:eastAsia="Times New Roman" w:cs="Times New Roman"/>
        </w:rPr>
        <w:t xml:space="preserve">In conclusion, there is no doubt that there needs to be a more increasingly diverse police force to reflect the communities it represents however the police have recognised this and implanting measures to ensure this happens. It is evident to see how highly publicised police cases involving possible police wrong doings can influence upon community trust and perception of the police. Having said that, relationships can be rectified when damaged and this can be done via the means of continued efforts within community engagement, building better relationships through the understanding of what their communities entail and what their expectations from the police are by having their voices heard and taken into account when making further informal decisions. </w:t>
      </w:r>
    </w:p>
    <w:p w14:paraId="79A92EAC" w14:textId="77777777" w:rsidR="00EA3CED" w:rsidRDefault="00EA3CED" w:rsidP="00EA3CED">
      <w:pPr>
        <w:pStyle w:val="ListParagraph"/>
        <w:rPr>
          <w:rFonts w:eastAsia="Times New Roman" w:cs="Times New Roman"/>
        </w:rPr>
      </w:pPr>
    </w:p>
    <w:p w14:paraId="72FD6A9C" w14:textId="71AC4A3E" w:rsidR="00EA3CED" w:rsidRPr="00EA3CED" w:rsidRDefault="00EA3CED" w:rsidP="00EA3CED">
      <w:pPr>
        <w:pStyle w:val="ListParagraph"/>
        <w:rPr>
          <w:rFonts w:eastAsia="Times New Roman" w:cs="Times New Roman"/>
        </w:rPr>
      </w:pPr>
      <w:r w:rsidRPr="00EA3CED">
        <w:rPr>
          <w:rFonts w:eastAsia="Times New Roman" w:cs="Times New Roman"/>
        </w:rPr>
        <w:t>Word count: 2155</w:t>
      </w:r>
    </w:p>
    <w:p w14:paraId="5EFFB5B2" w14:textId="77777777" w:rsidR="00916EB0" w:rsidRPr="00916EB0" w:rsidRDefault="00916EB0" w:rsidP="00916EB0">
      <w:pPr>
        <w:spacing w:after="0" w:line="480" w:lineRule="auto"/>
        <w:rPr>
          <w:rFonts w:ascii="Trebuchet MS" w:eastAsia="Times New Roman" w:hAnsi="Trebuchet MS" w:cs="Arial"/>
          <w:sz w:val="24"/>
          <w:szCs w:val="24"/>
          <w:lang w:eastAsia="en-GB"/>
        </w:rPr>
      </w:pPr>
    </w:p>
    <w:p w14:paraId="6A5B104D" w14:textId="66CA7865" w:rsidR="00E36D1D" w:rsidRDefault="00E36D1D" w:rsidP="00E36D1D">
      <w:pPr>
        <w:pStyle w:val="ListParagraph"/>
        <w:rPr>
          <w:rFonts w:ascii="Trebuchet MS" w:eastAsia="Times New Roman" w:hAnsi="Trebuchet MS" w:cs="Arial"/>
          <w:sz w:val="24"/>
          <w:szCs w:val="24"/>
          <w:lang w:eastAsia="en-GB"/>
        </w:rPr>
      </w:pPr>
    </w:p>
    <w:p w14:paraId="0079BB46" w14:textId="2F3DDF8B" w:rsidR="00D570D8" w:rsidRDefault="00D570D8" w:rsidP="00E36D1D">
      <w:pPr>
        <w:pStyle w:val="ListParagraph"/>
        <w:rPr>
          <w:rFonts w:ascii="Trebuchet MS" w:eastAsia="Times New Roman" w:hAnsi="Trebuchet MS" w:cs="Arial"/>
          <w:sz w:val="24"/>
          <w:szCs w:val="24"/>
          <w:lang w:eastAsia="en-GB"/>
        </w:rPr>
      </w:pPr>
    </w:p>
    <w:p w14:paraId="73B5AC76" w14:textId="45B98E27" w:rsidR="00D570D8" w:rsidRDefault="00D570D8" w:rsidP="00E36D1D">
      <w:pPr>
        <w:pStyle w:val="ListParagraph"/>
        <w:rPr>
          <w:rFonts w:ascii="Trebuchet MS" w:eastAsia="Times New Roman" w:hAnsi="Trebuchet MS" w:cs="Arial"/>
          <w:sz w:val="24"/>
          <w:szCs w:val="24"/>
          <w:lang w:eastAsia="en-GB"/>
        </w:rPr>
      </w:pPr>
    </w:p>
    <w:p w14:paraId="7A8F38B8" w14:textId="2E04EDE3" w:rsidR="00D570D8" w:rsidRDefault="00D570D8" w:rsidP="00E36D1D">
      <w:pPr>
        <w:pStyle w:val="ListParagraph"/>
        <w:rPr>
          <w:rFonts w:ascii="Trebuchet MS" w:eastAsia="Times New Roman" w:hAnsi="Trebuchet MS" w:cs="Arial"/>
          <w:sz w:val="24"/>
          <w:szCs w:val="24"/>
          <w:lang w:eastAsia="en-GB"/>
        </w:rPr>
      </w:pPr>
    </w:p>
    <w:p w14:paraId="0E26DAE9" w14:textId="67B93D41" w:rsidR="00D570D8" w:rsidRDefault="00D570D8" w:rsidP="00E36D1D">
      <w:pPr>
        <w:pStyle w:val="ListParagraph"/>
        <w:rPr>
          <w:rFonts w:ascii="Trebuchet MS" w:eastAsia="Times New Roman" w:hAnsi="Trebuchet MS" w:cs="Arial"/>
          <w:sz w:val="24"/>
          <w:szCs w:val="24"/>
          <w:lang w:eastAsia="en-GB"/>
        </w:rPr>
      </w:pPr>
    </w:p>
    <w:p w14:paraId="486FC360" w14:textId="63FD9157" w:rsidR="00D570D8" w:rsidRDefault="00D570D8" w:rsidP="00E36D1D">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Bibliography</w:t>
      </w:r>
    </w:p>
    <w:p w14:paraId="11BDB503" w14:textId="59C7AB8C" w:rsidR="00D570D8" w:rsidRDefault="00D570D8" w:rsidP="00E36D1D">
      <w:pPr>
        <w:pStyle w:val="ListParagraph"/>
        <w:rPr>
          <w:rFonts w:ascii="Trebuchet MS" w:eastAsia="Times New Roman" w:hAnsi="Trebuchet MS" w:cs="Arial"/>
          <w:sz w:val="24"/>
          <w:szCs w:val="24"/>
          <w:lang w:eastAsia="en-GB"/>
        </w:rPr>
      </w:pPr>
    </w:p>
    <w:p w14:paraId="5C0CED7A" w14:textId="77D3BED6" w:rsidR="00D570D8" w:rsidRDefault="00D570D8" w:rsidP="00E36D1D">
      <w:pPr>
        <w:pStyle w:val="ListParagraph"/>
        <w:rPr>
          <w:rFonts w:ascii="Trebuchet MS" w:eastAsia="Times New Roman" w:hAnsi="Trebuchet MS" w:cs="Arial"/>
          <w:sz w:val="24"/>
          <w:szCs w:val="24"/>
          <w:lang w:eastAsia="en-GB"/>
        </w:rPr>
      </w:pPr>
    </w:p>
    <w:p w14:paraId="42AAA754" w14:textId="77777777" w:rsidR="00D570D8" w:rsidRDefault="00D570D8" w:rsidP="00D570D8">
      <w:r w:rsidRPr="00633177">
        <w:t>Braga, Welsh, B. C., &amp; Schnell, C. (2015). Can Policing Disorder Reduce Crime? A Systematic Review and Meta-analysis. </w:t>
      </w:r>
      <w:r w:rsidRPr="00633177">
        <w:rPr>
          <w:i/>
          <w:iCs/>
        </w:rPr>
        <w:t>The Journal of Research in Crime and Delinquency</w:t>
      </w:r>
      <w:r w:rsidRPr="00633177">
        <w:t>, </w:t>
      </w:r>
      <w:r w:rsidRPr="00633177">
        <w:rPr>
          <w:i/>
          <w:iCs/>
        </w:rPr>
        <w:t>52</w:t>
      </w:r>
      <w:r w:rsidRPr="00633177">
        <w:t>(4), 567–588.</w:t>
      </w:r>
    </w:p>
    <w:p w14:paraId="7F3587BB" w14:textId="31B237DB" w:rsidR="00D570D8" w:rsidRDefault="00D570D8" w:rsidP="00D570D8"/>
    <w:p w14:paraId="72D045EE" w14:textId="77777777" w:rsidR="00D570D8" w:rsidRDefault="00D570D8" w:rsidP="00D570D8">
      <w:r w:rsidRPr="00E440E3">
        <w:t>Cho, H., J.-S. Lee, and S. Chung. 2010. “Optimistic Bias About Online Privacy Risks: Testing the Moderating Effects of Perceived Controllability and Prior Experience.” </w:t>
      </w:r>
      <w:r w:rsidRPr="00E440E3">
        <w:rPr>
          <w:i/>
          <w:iCs/>
        </w:rPr>
        <w:t>Computers in Human Behavior</w:t>
      </w:r>
      <w:r w:rsidRPr="00E440E3">
        <w:t> 26 (5): 987–995. </w:t>
      </w:r>
    </w:p>
    <w:p w14:paraId="2625F80F" w14:textId="77777777" w:rsidR="00D570D8" w:rsidRDefault="00D570D8" w:rsidP="00D570D8"/>
    <w:p w14:paraId="43A51ED9" w14:textId="7C30D0C7" w:rsidR="00D570D8" w:rsidRDefault="00D570D8" w:rsidP="00D570D8">
      <w:r w:rsidRPr="00FF3DC6">
        <w:t>College of Policing (2017). Modernising Neighbourhood Policing Guidelines for consultation GO TO TOP. [online] Available at: https://www.npcc.police.uk/2018%20FOI/NPCC%20Misc/032%2018%20January%202018%20CCC%20Papers%20Part%203.pdf [Accessed 2 Aug. 2022].</w:t>
      </w:r>
    </w:p>
    <w:p w14:paraId="77C66C02" w14:textId="3EF7DE8A" w:rsidR="00D570D8" w:rsidRDefault="00D570D8" w:rsidP="00D570D8"/>
    <w:p w14:paraId="7BCE04DB" w14:textId="77777777" w:rsidR="00D570D8" w:rsidRDefault="00D570D8" w:rsidP="00D570D8">
      <w:r w:rsidRPr="00F94897">
        <w:t>Collier, B., Horgan, S., Jones, R. and Shepherd, L. (2020) </w:t>
      </w:r>
      <w:r w:rsidRPr="00F94897">
        <w:rPr>
          <w:i/>
          <w:iCs/>
        </w:rPr>
        <w:t>The Implications of the COVID-19 Pandemic for Cybercrime Policing in Scotland: A Rapid Review of the Evidence and Future Considerations</w:t>
      </w:r>
      <w:r w:rsidRPr="00F94897">
        <w:t>, Edinburgh: The Scottish Institute for Policing Research,</w:t>
      </w:r>
      <w:r>
        <w:t xml:space="preserve"> Research Evidence in Policing. </w:t>
      </w:r>
    </w:p>
    <w:p w14:paraId="299D3774" w14:textId="77777777" w:rsidR="00D570D8" w:rsidRDefault="00D570D8" w:rsidP="00D570D8"/>
    <w:p w14:paraId="0F651437" w14:textId="77777777" w:rsidR="00D570D8" w:rsidRDefault="00D570D8" w:rsidP="00D570D8">
      <w:r w:rsidRPr="00F67501">
        <w:t>“Crime in England and Wales - Office for National Statistics.” </w:t>
      </w:r>
      <w:r w:rsidRPr="00F67501">
        <w:rPr>
          <w:i/>
          <w:iCs/>
        </w:rPr>
        <w:t>Www.ons.gov.uk</w:t>
      </w:r>
      <w:r w:rsidRPr="00F67501">
        <w:t>, www.ons.gov.uk/peoplepopulationandcommunity/crimeandjustice/bulletins/crimeinenglandandwales/yearendingmarch2022#computer-misuse. Accessed 30 July 2022.</w:t>
      </w:r>
    </w:p>
    <w:p w14:paraId="33C548DD" w14:textId="77777777" w:rsidR="00D570D8" w:rsidRDefault="00D570D8" w:rsidP="00D570D8">
      <w:r w:rsidRPr="00F17CBC">
        <w:lastRenderedPageBreak/>
        <w:br/>
        <w:t>Crown Prosecution Service. “Cyber / Online Crime | the Crown Prosecution Service.” </w:t>
      </w:r>
      <w:r w:rsidRPr="00F17CBC">
        <w:rPr>
          <w:i/>
          <w:iCs/>
        </w:rPr>
        <w:t>Www.cps.gov.uk</w:t>
      </w:r>
      <w:r w:rsidRPr="00F17CBC">
        <w:t xml:space="preserve">, 2017, </w:t>
      </w:r>
      <w:hyperlink r:id="rId28" w:history="1">
        <w:r w:rsidRPr="002A65C1">
          <w:rPr>
            <w:rStyle w:val="Hyperlink"/>
          </w:rPr>
          <w:t>www.cps.gov.uk/crime-info/cyber-online-crime. Accessed 24 July 2022</w:t>
        </w:r>
      </w:hyperlink>
      <w:r w:rsidRPr="00F17CBC">
        <w:t>.</w:t>
      </w:r>
    </w:p>
    <w:p w14:paraId="328919AE" w14:textId="77777777" w:rsidR="00D570D8" w:rsidRDefault="00D570D8" w:rsidP="00D570D8"/>
    <w:p w14:paraId="50AB086B" w14:textId="77777777" w:rsidR="00D570D8" w:rsidRDefault="00D570D8" w:rsidP="00D570D8">
      <w:r w:rsidRPr="006E69E9">
        <w:t>“Cybercrime and Shifts in Opportunities during COVID-19: A Preliminary Analysis in the UK.” </w:t>
      </w:r>
      <w:r w:rsidRPr="006E69E9">
        <w:rPr>
          <w:i/>
          <w:iCs/>
        </w:rPr>
        <w:t>Uwtsd.ac.uk</w:t>
      </w:r>
      <w:r w:rsidRPr="006E69E9">
        <w:t>, 11 Aug. 2020, www-tandfonline-com.ezproxy.uwtsd.ac.uk. Accessed 23 July 2022.</w:t>
      </w:r>
    </w:p>
    <w:p w14:paraId="4C6ED367" w14:textId="77777777" w:rsidR="00D570D8" w:rsidRDefault="00D570D8" w:rsidP="00D570D8"/>
    <w:p w14:paraId="52B0EAC9" w14:textId="77777777" w:rsidR="00D570D8" w:rsidRDefault="00D570D8" w:rsidP="00D570D8">
      <w:r w:rsidRPr="006E69E9">
        <w:t>Cybercrime Context.” </w:t>
      </w:r>
      <w:r w:rsidRPr="006E69E9">
        <w:rPr>
          <w:i/>
          <w:iCs/>
        </w:rPr>
        <w:t>Behaviour &amp; Information Technology</w:t>
      </w:r>
      <w:r w:rsidRPr="006E69E9">
        <w:t>, 1 Apr. 2021, pp. 1–13, 10.1080/0144929x.2021.1905066.</w:t>
      </w:r>
    </w:p>
    <w:p w14:paraId="682C0F16" w14:textId="77777777" w:rsidR="00D570D8" w:rsidRDefault="00D570D8" w:rsidP="00D570D8"/>
    <w:p w14:paraId="7D4BB8AC" w14:textId="77777777" w:rsidR="00D570D8" w:rsidRDefault="00D570D8" w:rsidP="00D570D8">
      <w:r>
        <w:t>Cyber: Keep the light on – An inspection of the police response to cyber-dependant crime (justiceinspectorates.gove.uk)</w:t>
      </w:r>
    </w:p>
    <w:p w14:paraId="5CF89E16" w14:textId="77777777" w:rsidR="00D570D8" w:rsidRPr="0099591C" w:rsidRDefault="00D570D8" w:rsidP="00D570D8"/>
    <w:p w14:paraId="48D598B8" w14:textId="77777777" w:rsidR="00D570D8" w:rsidRPr="006E69E9" w:rsidRDefault="00D570D8" w:rsidP="00D570D8">
      <w:r w:rsidRPr="006E69E9">
        <w:t xml:space="preserve">De Kimpe, Lies, et al. “What We Think We Know about Cybersecurity: An Investigation of the Relationship between Perceived Knowledge, Internet Trust, and Protection Motivation in a </w:t>
      </w:r>
    </w:p>
    <w:p w14:paraId="462123DB" w14:textId="77777777" w:rsidR="00D570D8" w:rsidRDefault="00D570D8" w:rsidP="00D570D8"/>
    <w:p w14:paraId="1C8E4A17" w14:textId="5084D349" w:rsidR="00D570D8" w:rsidRDefault="00D570D8" w:rsidP="00D570D8">
      <w:r w:rsidRPr="00616591">
        <w:t>GOV.UK. (n.d.). Crime and policing. [online] Available at: https://www.gov.uk/government/publications/the-report-of-the-commission-on-race-and-ethnic-disparities/crime-and-policing#how-to-achieve-a-more-diverse-police-service [Accessed 12 Aug. 2022].</w:t>
      </w:r>
    </w:p>
    <w:p w14:paraId="19BD122D" w14:textId="77777777" w:rsidR="00D570D8" w:rsidRDefault="00D570D8" w:rsidP="00D570D8"/>
    <w:p w14:paraId="056EF635" w14:textId="0592DECC" w:rsidR="00D570D8" w:rsidRDefault="00D570D8" w:rsidP="00D570D8">
      <w:r w:rsidRPr="00FF70DA">
        <w:br/>
        <w:t>GOV.UK. (2021). </w:t>
      </w:r>
      <w:r w:rsidRPr="00FF70DA">
        <w:rPr>
          <w:i/>
          <w:iCs/>
        </w:rPr>
        <w:t>Crime and policing</w:t>
      </w:r>
      <w:r w:rsidRPr="00FF70DA">
        <w:t>. [online] Available at: https://www.gov.uk/government/publications/the-report-of-the-commission-on-race-and-ethnic-disparities</w:t>
      </w:r>
      <w:r>
        <w:t>/crime-and-policing [Accessed 12</w:t>
      </w:r>
      <w:r w:rsidRPr="00FF70DA">
        <w:t xml:space="preserve"> Aug. 2022].</w:t>
      </w:r>
    </w:p>
    <w:p w14:paraId="6E79D8A0" w14:textId="145005A4" w:rsidR="00AA16A6" w:rsidRDefault="00AA16A6" w:rsidP="00D570D8"/>
    <w:p w14:paraId="1AB95724" w14:textId="77777777" w:rsidR="00AA16A6" w:rsidRDefault="00AA16A6" w:rsidP="00AA16A6">
      <w:r w:rsidRPr="00F67501">
        <w:t>Gov.uk. “Computer Misuse Act 1990.” </w:t>
      </w:r>
      <w:r w:rsidRPr="00F67501">
        <w:rPr>
          <w:i/>
          <w:iCs/>
        </w:rPr>
        <w:t>Legislation.gov.uk</w:t>
      </w:r>
      <w:r w:rsidRPr="00F67501">
        <w:t>, 1990, www.legislation.gov.uk/ukpga/1990/18</w:t>
      </w:r>
      <w:r>
        <w:t>/contents. Accessed 27 July 2022</w:t>
      </w:r>
    </w:p>
    <w:p w14:paraId="3CAF06BE" w14:textId="473A2C59" w:rsidR="00D570D8" w:rsidRDefault="00D570D8" w:rsidP="00D570D8">
      <w:r w:rsidRPr="000F2D39">
        <w:br/>
        <w:t>GOV.UK. (n.d.). </w:t>
      </w:r>
      <w:r w:rsidRPr="000F2D39">
        <w:rPr>
          <w:i/>
          <w:iCs/>
        </w:rPr>
        <w:t>Police funding for England and Wales 2015 to 2023</w:t>
      </w:r>
      <w:r w:rsidRPr="000F2D39">
        <w:t>. [online] Available at: https://www.gov.uk/government/statistics/police-funding-for-england-and-wales-2015-to-2023/police-funding-for-england-and-wales-2015-to-2023 [Accessed 16 Aug. 2022].</w:t>
      </w:r>
    </w:p>
    <w:p w14:paraId="1DC4261B" w14:textId="66B91E01" w:rsidR="00AA16A6" w:rsidRDefault="00AA16A6" w:rsidP="00D570D8"/>
    <w:p w14:paraId="0670C642" w14:textId="77777777" w:rsidR="00AA16A6" w:rsidRDefault="00AA16A6" w:rsidP="00AA16A6">
      <w:r w:rsidRPr="00F17CBC">
        <w:t>“How Do I Hide My IP Address?” </w:t>
      </w:r>
      <w:r w:rsidRPr="00F17CBC">
        <w:rPr>
          <w:i/>
          <w:iCs/>
        </w:rPr>
        <w:t>How Do I Hide My IP Address?</w:t>
      </w:r>
      <w:r w:rsidRPr="00F17CBC">
        <w:t xml:space="preserve">, 28 July 2022, </w:t>
      </w:r>
      <w:hyperlink r:id="rId29" w:history="1">
        <w:r w:rsidRPr="002A65C1">
          <w:rPr>
            <w:rStyle w:val="Hyperlink"/>
          </w:rPr>
          <w:t>www.avast.com/c-hide-my-ip-address</w:t>
        </w:r>
      </w:hyperlink>
      <w:r w:rsidRPr="00F17CBC">
        <w:t>.</w:t>
      </w:r>
    </w:p>
    <w:p w14:paraId="66C100BA" w14:textId="64543967" w:rsidR="00AA16A6" w:rsidRDefault="00AA16A6" w:rsidP="00D570D8">
      <w:r w:rsidRPr="0099591C">
        <w:br/>
        <w:t>HMICFRS. </w:t>
      </w:r>
      <w:r w:rsidRPr="0099591C">
        <w:rPr>
          <w:i/>
          <w:iCs/>
        </w:rPr>
        <w:t>Cyber: Keep the Light On</w:t>
      </w:r>
      <w:r w:rsidRPr="0099591C">
        <w:t>. Oct. 2019.</w:t>
      </w:r>
    </w:p>
    <w:p w14:paraId="21A27F84" w14:textId="77777777" w:rsidR="00D570D8" w:rsidRDefault="00D570D8" w:rsidP="00D570D8"/>
    <w:p w14:paraId="7202B248" w14:textId="77777777" w:rsidR="00D570D8" w:rsidRDefault="00D570D8" w:rsidP="00D570D8">
      <w:r w:rsidRPr="00C54C81">
        <w:lastRenderedPageBreak/>
        <w:t>Innes, Martin, et al. </w:t>
      </w:r>
      <w:r w:rsidRPr="00C54C81">
        <w:rPr>
          <w:i/>
          <w:iCs/>
        </w:rPr>
        <w:t>Neighbourhood Policing : The Rise and Fall of a Policing Model</w:t>
      </w:r>
      <w:r w:rsidRPr="00C54C81">
        <w:t>, Oxford University Press, Incorporated, 2020.</w:t>
      </w:r>
      <w:r w:rsidRPr="00C54C81">
        <w:rPr>
          <w:i/>
          <w:iCs/>
        </w:rPr>
        <w:t> ProQuest Ebook Central</w:t>
      </w:r>
      <w:r w:rsidRPr="00C54C81">
        <w:t>, http://ebookcentral.proquest.com/lib/trinity/detail.action?docID=6207092.</w:t>
      </w:r>
      <w:r w:rsidRPr="00C54C81">
        <w:br/>
        <w:t>Created from trinity on 2022-08-17 13:15:46.</w:t>
      </w:r>
    </w:p>
    <w:p w14:paraId="6C7E715C" w14:textId="77777777" w:rsidR="00D570D8" w:rsidRDefault="00D570D8" w:rsidP="00D570D8"/>
    <w:p w14:paraId="49CFC457" w14:textId="5868E7DA" w:rsidR="00D570D8" w:rsidRDefault="00D570D8" w:rsidP="00D570D8">
      <w:r w:rsidRPr="006C698E">
        <w:t>Kelling, G.L. and Wilson, J.Q. (1982). Broken Windows. [online] The Atlantic. Available at: https://www.theatlantic.com/magazine/archive/1982/03/broken-windows/304465/ [Accessed 6 Aug. 2022].</w:t>
      </w:r>
    </w:p>
    <w:p w14:paraId="4B936ACA" w14:textId="65CE617C" w:rsidR="00AA16A6" w:rsidRDefault="00AA16A6" w:rsidP="00D570D8"/>
    <w:p w14:paraId="3466310A" w14:textId="77777777" w:rsidR="00AA16A6" w:rsidRDefault="00AA16A6" w:rsidP="00AA16A6">
      <w:r w:rsidRPr="00F67501">
        <w:t>legislation.gov.uk. “Fraud Act 2006.” </w:t>
      </w:r>
      <w:r w:rsidRPr="00F67501">
        <w:rPr>
          <w:i/>
          <w:iCs/>
        </w:rPr>
        <w:t>Legislation.gov.uk</w:t>
      </w:r>
      <w:r w:rsidRPr="00F67501">
        <w:t>, 2019, www.legislation.gov.uk/ukpga/2006/35/contents. Accessed 26 July 2022.</w:t>
      </w:r>
    </w:p>
    <w:p w14:paraId="4F74135D" w14:textId="77777777" w:rsidR="00AA16A6" w:rsidRDefault="00AA16A6" w:rsidP="00AA16A6"/>
    <w:p w14:paraId="7B18E9C7" w14:textId="5389CFBE" w:rsidR="00AA16A6" w:rsidRDefault="00AA16A6" w:rsidP="00AA16A6">
      <w:pPr>
        <w:rPr>
          <w:rStyle w:val="Hyperlink"/>
        </w:rPr>
      </w:pPr>
      <w:r w:rsidRPr="007B2C85">
        <w:t>Lies De Kimpe, Michel Walrave, Pieter Verdegem &amp; Koen Ponnet (2022) What we think we know about cybersecurity: an investigation of the relationship between perceived knowledge, internet trust, and protection motivation in a cybercrime context, Behaviour &amp; Information Technology, 41:8, 1796-1808, DOI: </w:t>
      </w:r>
      <w:hyperlink r:id="rId30" w:history="1">
        <w:r w:rsidRPr="007B2C85">
          <w:rPr>
            <w:rStyle w:val="Hyperlink"/>
          </w:rPr>
          <w:t>10.1080/0144929X.2021.1905066</w:t>
        </w:r>
      </w:hyperlink>
    </w:p>
    <w:p w14:paraId="68F382DD" w14:textId="4568F692" w:rsidR="00AA16A6" w:rsidRDefault="00AA16A6" w:rsidP="00AA16A6">
      <w:pPr>
        <w:rPr>
          <w:rStyle w:val="Hyperlink"/>
        </w:rPr>
      </w:pPr>
    </w:p>
    <w:p w14:paraId="25B9AB89" w14:textId="75D8DAE8" w:rsidR="00D570D8" w:rsidRDefault="00AA16A6" w:rsidP="00D570D8">
      <w:pPr>
        <w:rPr>
          <w:rStyle w:val="Hyperlink"/>
          <w:color w:val="0D0D0D" w:themeColor="text1" w:themeTint="F2"/>
        </w:rPr>
      </w:pPr>
      <w:r w:rsidRPr="00520F70">
        <w:rPr>
          <w:rStyle w:val="Hyperlink"/>
          <w:color w:val="0D0D0D" w:themeColor="text1" w:themeTint="F2"/>
        </w:rPr>
        <w:t>Microsoft6 Word – 2020-21 NFIB Annual Assessment – CYBER – PARTNERS – F</w:t>
      </w:r>
      <w:r>
        <w:rPr>
          <w:rStyle w:val="Hyperlink"/>
          <w:color w:val="0D0D0D" w:themeColor="text1" w:themeTint="F2"/>
        </w:rPr>
        <w:t>inal.doc (actionfraudpolice.uk)</w:t>
      </w:r>
    </w:p>
    <w:p w14:paraId="1B52E733" w14:textId="77777777" w:rsidR="00AA16A6" w:rsidRPr="00AA16A6" w:rsidRDefault="00AA16A6" w:rsidP="00D570D8">
      <w:pPr>
        <w:rPr>
          <w:rFonts w:cs="Times New Roman"/>
          <w:color w:val="0D0D0D" w:themeColor="text1" w:themeTint="F2"/>
          <w:u w:val="single"/>
        </w:rPr>
      </w:pPr>
    </w:p>
    <w:p w14:paraId="45E53A8B" w14:textId="0FF7377D" w:rsidR="00D570D8" w:rsidRDefault="00D570D8" w:rsidP="00D570D8">
      <w:r w:rsidRPr="00411F34">
        <w:t>McMurdie, Charlie. “The Cybercrime Landscape and Our Policing Response.” </w:t>
      </w:r>
      <w:r w:rsidRPr="00411F34">
        <w:rPr>
          <w:i/>
          <w:iCs/>
        </w:rPr>
        <w:t>Journal of Cyber Policy</w:t>
      </w:r>
      <w:r w:rsidRPr="00411F34">
        <w:t>, vol. 1, no. 1, 2 Jan. 2016, pp. 85–93, 10.1080/23738871.2016.1168607.</w:t>
      </w:r>
    </w:p>
    <w:p w14:paraId="1A18834A" w14:textId="61A7DA40" w:rsidR="00AA16A6" w:rsidRDefault="00AA16A6" w:rsidP="00D570D8"/>
    <w:p w14:paraId="5A8BB6E6" w14:textId="705A9248" w:rsidR="00AA16A6" w:rsidRDefault="00AA16A6" w:rsidP="00AA16A6">
      <w:pPr>
        <w:rPr>
          <w:color w:val="000000" w:themeColor="text1"/>
        </w:rPr>
      </w:pPr>
      <w:r w:rsidRPr="00F67501">
        <w:rPr>
          <w:color w:val="000000" w:themeColor="text1"/>
        </w:rPr>
        <w:t>National Cyber Security Centre. “Phishing Attacks: Defending Your Organisation.” </w:t>
      </w:r>
      <w:r w:rsidRPr="00F67501">
        <w:rPr>
          <w:i/>
          <w:iCs/>
          <w:color w:val="000000" w:themeColor="text1"/>
        </w:rPr>
        <w:t>Ncsc.gov.uk</w:t>
      </w:r>
      <w:r w:rsidRPr="00F67501">
        <w:rPr>
          <w:color w:val="000000" w:themeColor="text1"/>
        </w:rPr>
        <w:t>, 8 Aug. 2019, www.ncsc.gov.uk/guidance/phishing. Accessed 28 July 2022.</w:t>
      </w:r>
    </w:p>
    <w:p w14:paraId="70F1DC77" w14:textId="47A68337" w:rsidR="00AA16A6" w:rsidRDefault="00AA16A6" w:rsidP="00AA16A6">
      <w:pPr>
        <w:rPr>
          <w:color w:val="2E74B5" w:themeColor="accent5" w:themeShade="BF"/>
        </w:rPr>
      </w:pPr>
    </w:p>
    <w:p w14:paraId="52D8E3D9" w14:textId="7BBAEA59" w:rsidR="00AA16A6" w:rsidRPr="00AA16A6" w:rsidRDefault="00AA16A6" w:rsidP="00AA16A6">
      <w:r w:rsidRPr="004649B7">
        <w:t>Rick Sarre, Laurie Yiu-Chung Lau &amp; Lennon Y.C. Chang (2018) Responding to cybercrime: current trends, Police Practice and Research, 19:6, 515-518, DOI: </w:t>
      </w:r>
      <w:hyperlink r:id="rId31" w:history="1">
        <w:r w:rsidRPr="004649B7">
          <w:rPr>
            <w:rStyle w:val="Hyperlink"/>
          </w:rPr>
          <w:t>10.1080/15614263.2018.1507888</w:t>
        </w:r>
      </w:hyperlink>
    </w:p>
    <w:p w14:paraId="42AC296D" w14:textId="7B264BBC" w:rsidR="00D570D8" w:rsidRDefault="00D570D8" w:rsidP="00D570D8"/>
    <w:p w14:paraId="61BE230C" w14:textId="77777777" w:rsidR="00D570D8" w:rsidRDefault="00D570D8" w:rsidP="00D570D8">
      <w:r w:rsidRPr="006F2B57">
        <w:t>State of Policing -The Annual Assessment of Policing in England and Wales 2021 Her Majesty’s Chief Inspector of Constabulary State of Policing. (2021). [online] Available at: https://www.justiceinspectorates.gov.uk/hmicfrs/wp-content/uploads/State-of-policing-2021-1-double-page.pdf [Accessed 15 Aug. 2022].</w:t>
      </w:r>
    </w:p>
    <w:p w14:paraId="56536524" w14:textId="77777777" w:rsidR="00D570D8" w:rsidRDefault="00D570D8" w:rsidP="00D570D8"/>
    <w:p w14:paraId="585BF17D" w14:textId="77777777" w:rsidR="00D570D8" w:rsidRDefault="00D570D8" w:rsidP="00D570D8">
      <w:r>
        <w:t>Taylor, B., Koper, C.S. and Woods, D.J. (2010). A randomized controlled trial of different policing strategies at hot spots of violent crime. Journal of Experimental Criminology, 7(2), pp.149–181. doi:10.1007/s11292-010-9120-6.</w:t>
      </w:r>
    </w:p>
    <w:p w14:paraId="5A4C3953" w14:textId="2654C659" w:rsidR="00D570D8" w:rsidRDefault="00D570D8" w:rsidP="00D570D8"/>
    <w:p w14:paraId="6152A181" w14:textId="51909C8C" w:rsidR="00AA16A6" w:rsidRDefault="00AA16A6" w:rsidP="00AA16A6">
      <w:r w:rsidRPr="00F17CBC">
        <w:t>“The NHS Cyber Attack.” </w:t>
      </w:r>
      <w:r w:rsidRPr="00F17CBC">
        <w:rPr>
          <w:i/>
          <w:iCs/>
        </w:rPr>
        <w:t>Acronis</w:t>
      </w:r>
      <w:r w:rsidRPr="00F17CBC">
        <w:t>, 7 Feb. 2020, www.acronis.com/en-gb/blog/posts/nhs-cyber-attack/. Accessed 26 July 2022.</w:t>
      </w:r>
    </w:p>
    <w:p w14:paraId="33D29A2D" w14:textId="1FD6ED55" w:rsidR="00AA16A6" w:rsidRDefault="00AA16A6" w:rsidP="00AA16A6"/>
    <w:p w14:paraId="44AF447A" w14:textId="77777777" w:rsidR="00AA16A6" w:rsidRDefault="00AA16A6" w:rsidP="00AA16A6">
      <w:r>
        <w:lastRenderedPageBreak/>
        <w:t>the Guardian. (2017). Trial of Cardiff Three police collapsed due to human error, inquiry finds. [online] Available at: https://www.theguardian.com/uk-news/2017/jul/18/trial-of-cardiff-three-police-collapsed-due-to-human-error-inquiry-finds [Accessed 12 Aug. 2022].</w:t>
      </w:r>
    </w:p>
    <w:p w14:paraId="135B8AB5" w14:textId="77777777" w:rsidR="00AA16A6" w:rsidRDefault="00AA16A6" w:rsidP="00AA16A6"/>
    <w:p w14:paraId="1D4A066C" w14:textId="77777777" w:rsidR="00AA16A6" w:rsidRDefault="00AA16A6" w:rsidP="00D570D8"/>
    <w:p w14:paraId="39401B17" w14:textId="77777777" w:rsidR="00D570D8" w:rsidRPr="00875EC2" w:rsidRDefault="00D570D8" w:rsidP="00D570D8">
      <w:pPr>
        <w:spacing w:after="0" w:line="276" w:lineRule="auto"/>
        <w:rPr>
          <w:rFonts w:ascii="Calibri doy" w:eastAsia="Arial" w:hAnsi="Calibri doy" w:cs="Arial"/>
          <w:lang w:eastAsia="en-GB"/>
        </w:rPr>
      </w:pPr>
    </w:p>
    <w:p w14:paraId="6B5C1772" w14:textId="77777777" w:rsidR="00D570D8" w:rsidRDefault="00D570D8" w:rsidP="00D570D8">
      <w:pPr>
        <w:spacing w:after="0" w:line="276" w:lineRule="auto"/>
        <w:rPr>
          <w:rFonts w:ascii="Calibri doy" w:eastAsia="Arial" w:hAnsi="Calibri doy" w:cs="Arial"/>
          <w:i/>
          <w:lang w:eastAsia="en-GB"/>
        </w:rPr>
      </w:pPr>
      <w:r w:rsidRPr="00875EC2">
        <w:rPr>
          <w:rFonts w:ascii="Calibri doy" w:eastAsia="Arial" w:hAnsi="Calibri doy" w:cs="Arial"/>
          <w:highlight w:val="white"/>
          <w:lang w:eastAsia="en-GB"/>
        </w:rPr>
        <w:t xml:space="preserve">Trojanowicz, r. and Carter, D. (1988),  </w:t>
      </w:r>
      <w:r w:rsidRPr="00875EC2">
        <w:rPr>
          <w:rFonts w:ascii="Calibri doy" w:eastAsia="Arial" w:hAnsi="Calibri doy" w:cs="Arial"/>
          <w:i/>
          <w:highlight w:val="white"/>
          <w:lang w:eastAsia="en-GB"/>
        </w:rPr>
        <w:t>Philosophy and Role of Community Policing. Community Policing Series No. 13.</w:t>
      </w:r>
    </w:p>
    <w:p w14:paraId="46FC654D" w14:textId="77777777" w:rsidR="00D570D8" w:rsidRPr="00B17E92" w:rsidRDefault="00D570D8" w:rsidP="00D570D8">
      <w:pPr>
        <w:spacing w:after="0" w:line="276" w:lineRule="auto"/>
        <w:rPr>
          <w:rFonts w:ascii="Calibri doy" w:eastAsia="Arial" w:hAnsi="Calibri doy" w:cs="Arial"/>
          <w:i/>
          <w:highlight w:val="white"/>
          <w:lang w:eastAsia="en-GB"/>
        </w:rPr>
      </w:pPr>
      <w:r w:rsidRPr="006F2B57">
        <w:t>the Guardian. (2020). </w:t>
      </w:r>
      <w:r w:rsidRPr="006F2B57">
        <w:rPr>
          <w:i/>
          <w:iCs/>
        </w:rPr>
        <w:t>Police chief unveils radical plans for community panels to monitor race bias</w:t>
      </w:r>
      <w:r w:rsidRPr="006F2B57">
        <w:t>. [online] Available at: https://www.theguardian.com/uk-news/2020/dec/06/police-chief-unveils-radical-plans-for-community-panels-to-monitor-race-bias [Accessed 15 Aug. 2022].</w:t>
      </w:r>
    </w:p>
    <w:p w14:paraId="5BC72299" w14:textId="77777777" w:rsidR="00D570D8" w:rsidRDefault="00D570D8" w:rsidP="00D570D8"/>
    <w:p w14:paraId="394D9012" w14:textId="2AC2F872" w:rsidR="00D570D8" w:rsidRDefault="00D570D8" w:rsidP="00D570D8">
      <w:r w:rsidRPr="00633177">
        <w:t>Weisburd, Telep, C. W., Hinkle, J. C., &amp; Eck, J. E. (2010). Is problem-oriented policing effective in reducing crime and disorder? </w:t>
      </w:r>
      <w:r w:rsidRPr="00633177">
        <w:rPr>
          <w:i/>
          <w:iCs/>
        </w:rPr>
        <w:t>Criminology &amp; Public Policy</w:t>
      </w:r>
      <w:r w:rsidRPr="00633177">
        <w:t>, </w:t>
      </w:r>
      <w:r w:rsidRPr="00633177">
        <w:rPr>
          <w:i/>
          <w:iCs/>
        </w:rPr>
        <w:t>9</w:t>
      </w:r>
      <w:r w:rsidRPr="00633177">
        <w:t>(1), 139–172.</w:t>
      </w:r>
    </w:p>
    <w:p w14:paraId="6F9CC8F8" w14:textId="77777777" w:rsidR="00D570D8" w:rsidRDefault="00D570D8" w:rsidP="00D570D8"/>
    <w:p w14:paraId="088ADC92" w14:textId="18042037" w:rsidR="00D570D8" w:rsidRPr="00AA16A6" w:rsidRDefault="00D570D8" w:rsidP="00AA16A6">
      <w:pPr>
        <w:spacing w:after="0" w:line="276" w:lineRule="auto"/>
        <w:rPr>
          <w:rFonts w:ascii="Calibri bosy" w:eastAsia="Arial" w:hAnsi="Calibri bosy" w:cs="Arial"/>
          <w:lang w:eastAsia="en-GB"/>
        </w:rPr>
      </w:pPr>
      <w:r w:rsidRPr="001C59C8">
        <w:rPr>
          <w:rFonts w:ascii="Calibri bosy" w:eastAsia="Arial" w:hAnsi="Calibri bosy" w:cs="Arial"/>
          <w:lang w:eastAsia="en-GB"/>
        </w:rPr>
        <w:t xml:space="preserve">Weston, L. and Turner, L. (2017). </w:t>
      </w:r>
      <w:r w:rsidRPr="001C59C8">
        <w:rPr>
          <w:rFonts w:ascii="Calibri bosy" w:eastAsia="Arial" w:hAnsi="Calibri bosy" w:cs="Arial"/>
          <w:i/>
          <w:lang w:eastAsia="en-GB"/>
        </w:rPr>
        <w:t>Public Engagement Strand Update 2: Police-Community Engagement Strategies in the North of England</w:t>
      </w:r>
      <w:r w:rsidRPr="001C59C8">
        <w:rPr>
          <w:rFonts w:ascii="Calibri bosy" w:eastAsia="Arial" w:hAnsi="Calibri bosy" w:cs="Arial"/>
          <w:lang w:eastAsia="en-GB"/>
        </w:rPr>
        <w:t>.</w:t>
      </w:r>
      <w:r w:rsidR="00AA16A6">
        <w:rPr>
          <w:rFonts w:ascii="Calibri bosy" w:eastAsia="Arial" w:hAnsi="Calibri bosy" w:cs="Arial"/>
          <w:lang w:eastAsia="en-GB"/>
        </w:rPr>
        <w:t xml:space="preserve"> Policing Research Partnership.</w:t>
      </w:r>
    </w:p>
    <w:p w14:paraId="7FF11718" w14:textId="20C1B87D" w:rsidR="00AA16A6" w:rsidRDefault="00AA16A6" w:rsidP="00D570D8"/>
    <w:p w14:paraId="027FDDD6" w14:textId="77777777" w:rsidR="00AA16A6" w:rsidRDefault="00AA16A6" w:rsidP="00AA16A6">
      <w:r w:rsidRPr="00F17CBC">
        <w:t>“Why Cybercrime Is Difficult to Eradicate? -.” </w:t>
      </w:r>
      <w:r w:rsidRPr="00F17CBC">
        <w:rPr>
          <w:i/>
          <w:iCs/>
        </w:rPr>
        <w:t>The Defence Works</w:t>
      </w:r>
      <w:r w:rsidRPr="00F17CBC">
        <w:t>, 31 July 2019, thedefenceworks.com/blog/why-cybercrime-is-difficult-to-eradicate/. Accessed 26 July 2022.</w:t>
      </w:r>
    </w:p>
    <w:p w14:paraId="7E6E085F" w14:textId="77777777" w:rsidR="00AA16A6" w:rsidRDefault="00AA16A6" w:rsidP="00AA16A6">
      <w:pPr>
        <w:rPr>
          <w:rFonts w:ascii="Arial" w:hAnsi="Arial" w:cs="Arial"/>
          <w:color w:val="747F8B"/>
          <w:sz w:val="21"/>
          <w:szCs w:val="21"/>
          <w:shd w:val="clear" w:color="auto" w:fill="E3E8EE"/>
        </w:rPr>
      </w:pPr>
    </w:p>
    <w:p w14:paraId="5E44161B" w14:textId="77777777" w:rsidR="00AA16A6" w:rsidRPr="007B2C85" w:rsidRDefault="00AA16A6" w:rsidP="00AA16A6">
      <w:r w:rsidRPr="00F67501">
        <w:t>“Why We Fall for Phishing Emails — and How We Can Protect Ourselves.” </w:t>
      </w:r>
      <w:r w:rsidRPr="00F67501">
        <w:rPr>
          <w:i/>
          <w:iCs/>
        </w:rPr>
        <w:t>Ideas.ted.com</w:t>
      </w:r>
      <w:r w:rsidRPr="00F67501">
        <w:t>, 30 Jan. 2020, ideas.ted.com/why-we-fall-for-phishing-emails-and-how-we-can-protect-ourselves/. Accessed 29 July 2022.</w:t>
      </w:r>
    </w:p>
    <w:p w14:paraId="523C7653" w14:textId="00ABB4D3" w:rsidR="00D570D8" w:rsidRDefault="00D570D8" w:rsidP="00D570D8"/>
    <w:p w14:paraId="74942B36" w14:textId="77777777" w:rsidR="00D570D8" w:rsidRDefault="00D570D8" w:rsidP="00D570D8">
      <w:r>
        <w:t>Xu, Y., Fiedler, M.L. and Flaming, K.H. (2005). Discovering the Impact of Community Policing: The Broken Windows Thesis, Collective Efficacy, and Citizens’ Judgment. Journal of Research in Crime and Delinquency, 42(2), pp.147–186. doi:10.1177/0022427804266544.</w:t>
      </w:r>
    </w:p>
    <w:p w14:paraId="734AA762" w14:textId="77777777" w:rsidR="00D570D8" w:rsidRPr="00721E6C" w:rsidRDefault="00D570D8" w:rsidP="00D570D8"/>
    <w:p w14:paraId="114D1BC5" w14:textId="1E10246B" w:rsidR="00D570D8" w:rsidRDefault="00D570D8" w:rsidP="00E36D1D">
      <w:pPr>
        <w:pStyle w:val="ListParagraph"/>
        <w:rPr>
          <w:rFonts w:ascii="Trebuchet MS" w:eastAsia="Times New Roman" w:hAnsi="Trebuchet MS" w:cs="Arial"/>
          <w:sz w:val="24"/>
          <w:szCs w:val="24"/>
          <w:lang w:eastAsia="en-GB"/>
        </w:rPr>
      </w:pPr>
    </w:p>
    <w:p w14:paraId="6C51D4C4" w14:textId="688B64A6" w:rsidR="00D570D8" w:rsidRDefault="00D570D8" w:rsidP="00E36D1D">
      <w:pPr>
        <w:pStyle w:val="ListParagraph"/>
        <w:rPr>
          <w:rFonts w:ascii="Trebuchet MS" w:eastAsia="Times New Roman" w:hAnsi="Trebuchet MS" w:cs="Arial"/>
          <w:sz w:val="24"/>
          <w:szCs w:val="24"/>
          <w:lang w:eastAsia="en-GB"/>
        </w:rPr>
      </w:pPr>
    </w:p>
    <w:p w14:paraId="46A12BF7" w14:textId="298CF2D0" w:rsidR="00D570D8" w:rsidRDefault="00D570D8" w:rsidP="00E36D1D">
      <w:pPr>
        <w:pStyle w:val="ListParagraph"/>
        <w:rPr>
          <w:rFonts w:ascii="Trebuchet MS" w:eastAsia="Times New Roman" w:hAnsi="Trebuchet MS" w:cs="Arial"/>
          <w:sz w:val="24"/>
          <w:szCs w:val="24"/>
          <w:lang w:eastAsia="en-GB"/>
        </w:rPr>
      </w:pPr>
    </w:p>
    <w:p w14:paraId="1F4BDC26" w14:textId="0E56182D" w:rsidR="00D570D8" w:rsidRDefault="00D570D8" w:rsidP="00E36D1D">
      <w:pPr>
        <w:pStyle w:val="ListParagraph"/>
        <w:rPr>
          <w:rFonts w:ascii="Trebuchet MS" w:eastAsia="Times New Roman" w:hAnsi="Trebuchet MS" w:cs="Arial"/>
          <w:sz w:val="24"/>
          <w:szCs w:val="24"/>
          <w:lang w:eastAsia="en-GB"/>
        </w:rPr>
      </w:pPr>
    </w:p>
    <w:p w14:paraId="69388C02" w14:textId="77777777" w:rsidR="00D570D8" w:rsidRDefault="00D570D8" w:rsidP="00D570D8"/>
    <w:p w14:paraId="341E3D0A" w14:textId="77777777" w:rsidR="00D570D8" w:rsidRDefault="00D570D8" w:rsidP="00D570D8"/>
    <w:p w14:paraId="2B1042A5" w14:textId="77777777" w:rsidR="00D570D8" w:rsidRDefault="00D570D8" w:rsidP="00D570D8"/>
    <w:p w14:paraId="7B9EA928" w14:textId="66632310" w:rsidR="00D570D8" w:rsidRDefault="00D570D8" w:rsidP="00AA16A6">
      <w:r w:rsidRPr="00F17CBC">
        <w:br/>
      </w:r>
    </w:p>
    <w:p w14:paraId="2A22A0E4" w14:textId="6A0E042A" w:rsidR="00464DEA" w:rsidRDefault="00464DEA" w:rsidP="00AA16A6"/>
    <w:p w14:paraId="36C2B7E5" w14:textId="77777777" w:rsidR="00AA16A6" w:rsidRPr="00AA16A6" w:rsidRDefault="00AA16A6" w:rsidP="00AA16A6">
      <w:pPr>
        <w:rPr>
          <w:rFonts w:cs="Times New Roman"/>
          <w:color w:val="0563C1" w:themeColor="hyperlink"/>
          <w:u w:val="single"/>
        </w:rPr>
      </w:pPr>
      <w:bookmarkStart w:id="0" w:name="_GoBack"/>
      <w:bookmarkEnd w:id="0"/>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D570D8">
        <w:trPr>
          <w:trHeight w:val="414"/>
        </w:trPr>
        <w:tc>
          <w:tcPr>
            <w:tcW w:w="9780" w:type="dxa"/>
            <w:shd w:val="clear" w:color="auto" w:fill="D9D9D9"/>
          </w:tcPr>
          <w:p w14:paraId="07C020A7" w14:textId="77777777" w:rsidR="00763CB3" w:rsidRPr="00876921" w:rsidRDefault="00763CB3" w:rsidP="00D570D8">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D570D8">
        <w:trPr>
          <w:jc w:val="center"/>
        </w:trPr>
        <w:tc>
          <w:tcPr>
            <w:tcW w:w="10185" w:type="dxa"/>
            <w:shd w:val="clear" w:color="auto" w:fill="BFBFBF"/>
          </w:tcPr>
          <w:p w14:paraId="3321C451" w14:textId="77777777" w:rsidR="00763CB3" w:rsidRPr="00876921" w:rsidRDefault="00763CB3" w:rsidP="00D570D8">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C95CC3">
          <w:headerReference w:type="even" r:id="rId32"/>
          <w:headerReference w:type="default" r:id="rId33"/>
          <w:footerReference w:type="even" r:id="rId34"/>
          <w:footerReference w:type="default" r:id="rId35"/>
          <w:headerReference w:type="first" r:id="rId36"/>
          <w:footerReference w:type="first" r:id="rId37"/>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D570D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D570D8">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D570D8">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D570D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D570D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D570D8">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D570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D570D8">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D570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15056E90" w14:textId="77777777" w:rsidTr="00D570D8">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D570D8">
            <w:pPr>
              <w:spacing w:after="120" w:line="240" w:lineRule="auto"/>
              <w:rPr>
                <w:rFonts w:ascii="Arial" w:eastAsia="Times New Roman" w:hAnsi="Arial" w:cs="Arial"/>
                <w:sz w:val="14"/>
                <w:szCs w:val="14"/>
                <w:lang w:eastAsia="en-GB"/>
              </w:rPr>
            </w:pPr>
          </w:p>
          <w:p w14:paraId="1E37F862" w14:textId="77777777" w:rsidR="00763CB3" w:rsidRPr="00876921" w:rsidRDefault="00763CB3" w:rsidP="00D570D8">
            <w:pPr>
              <w:spacing w:after="120" w:line="240" w:lineRule="auto"/>
              <w:rPr>
                <w:rFonts w:ascii="Arial" w:eastAsia="Times New Roman" w:hAnsi="Arial" w:cs="Arial"/>
                <w:sz w:val="14"/>
                <w:szCs w:val="14"/>
                <w:lang w:eastAsia="en-GB"/>
              </w:rPr>
            </w:pPr>
          </w:p>
          <w:p w14:paraId="64408B43" w14:textId="77777777" w:rsidR="00763CB3" w:rsidRPr="00876921" w:rsidRDefault="00763CB3" w:rsidP="00D570D8">
            <w:pPr>
              <w:spacing w:after="120" w:line="240" w:lineRule="auto"/>
              <w:rPr>
                <w:rFonts w:ascii="Arial" w:eastAsia="Times New Roman" w:hAnsi="Arial" w:cs="Arial"/>
                <w:sz w:val="14"/>
                <w:szCs w:val="14"/>
                <w:lang w:eastAsia="en-GB"/>
              </w:rPr>
            </w:pPr>
          </w:p>
          <w:p w14:paraId="1B2B6401" w14:textId="77777777" w:rsidR="00763CB3" w:rsidRPr="00876921" w:rsidRDefault="00763CB3" w:rsidP="00D570D8">
            <w:pPr>
              <w:spacing w:after="120" w:line="240" w:lineRule="auto"/>
              <w:rPr>
                <w:rFonts w:ascii="Arial" w:eastAsia="Times New Roman" w:hAnsi="Arial" w:cs="Arial"/>
                <w:sz w:val="14"/>
                <w:szCs w:val="14"/>
                <w:lang w:eastAsia="en-GB"/>
              </w:rPr>
            </w:pPr>
          </w:p>
          <w:p w14:paraId="6AA84BF5" w14:textId="77777777" w:rsidR="00763CB3" w:rsidRPr="00876921" w:rsidRDefault="00763CB3" w:rsidP="00D570D8">
            <w:pPr>
              <w:spacing w:after="120" w:line="240" w:lineRule="auto"/>
              <w:rPr>
                <w:rFonts w:ascii="Arial" w:eastAsia="Times New Roman" w:hAnsi="Arial" w:cs="Arial"/>
                <w:sz w:val="14"/>
                <w:szCs w:val="14"/>
                <w:lang w:eastAsia="en-GB"/>
              </w:rPr>
            </w:pPr>
          </w:p>
          <w:p w14:paraId="5576EECA"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231CDB5E" w14:textId="77777777" w:rsidTr="00D570D8">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D570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2B444BDD" w14:textId="77777777" w:rsidTr="00D570D8">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D570D8">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D570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4D781A77" w14:textId="77777777" w:rsidTr="00D570D8">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D570D8">
            <w:pPr>
              <w:spacing w:after="120" w:line="240" w:lineRule="auto"/>
              <w:rPr>
                <w:rFonts w:ascii="Arial" w:eastAsia="Times New Roman" w:hAnsi="Arial" w:cs="Arial"/>
                <w:sz w:val="14"/>
                <w:szCs w:val="14"/>
                <w:lang w:eastAsia="en-GB"/>
              </w:rPr>
            </w:pPr>
          </w:p>
          <w:p w14:paraId="24DDABF5" w14:textId="77777777" w:rsidR="00763CB3" w:rsidRPr="00876921" w:rsidRDefault="00763CB3" w:rsidP="00D570D8">
            <w:pPr>
              <w:spacing w:after="120" w:line="240" w:lineRule="auto"/>
              <w:rPr>
                <w:rFonts w:ascii="Arial" w:eastAsia="Times New Roman" w:hAnsi="Arial" w:cs="Arial"/>
                <w:sz w:val="14"/>
                <w:szCs w:val="14"/>
                <w:lang w:eastAsia="en-GB"/>
              </w:rPr>
            </w:pPr>
          </w:p>
          <w:p w14:paraId="671A95C4" w14:textId="77777777" w:rsidR="00763CB3" w:rsidRPr="00876921" w:rsidRDefault="00763CB3" w:rsidP="00D570D8">
            <w:pPr>
              <w:spacing w:after="120" w:line="240" w:lineRule="auto"/>
              <w:rPr>
                <w:rFonts w:ascii="Arial" w:eastAsia="Times New Roman" w:hAnsi="Arial" w:cs="Arial"/>
                <w:sz w:val="14"/>
                <w:szCs w:val="14"/>
                <w:lang w:eastAsia="en-GB"/>
              </w:rPr>
            </w:pPr>
          </w:p>
          <w:p w14:paraId="01F07026" w14:textId="77777777" w:rsidR="00763CB3" w:rsidRPr="00876921" w:rsidRDefault="00763CB3" w:rsidP="00D570D8">
            <w:pPr>
              <w:spacing w:after="120" w:line="240" w:lineRule="auto"/>
              <w:rPr>
                <w:rFonts w:ascii="Arial" w:eastAsia="Times New Roman" w:hAnsi="Arial" w:cs="Arial"/>
                <w:sz w:val="14"/>
                <w:szCs w:val="14"/>
                <w:lang w:eastAsia="en-GB"/>
              </w:rPr>
            </w:pPr>
          </w:p>
          <w:p w14:paraId="000B2385" w14:textId="77777777" w:rsidR="00763CB3" w:rsidRPr="00876921" w:rsidRDefault="00763CB3" w:rsidP="00D570D8">
            <w:pPr>
              <w:spacing w:after="120" w:line="240" w:lineRule="auto"/>
              <w:rPr>
                <w:rFonts w:ascii="Arial" w:eastAsia="Times New Roman" w:hAnsi="Arial" w:cs="Arial"/>
                <w:sz w:val="14"/>
                <w:szCs w:val="14"/>
                <w:lang w:eastAsia="en-GB"/>
              </w:rPr>
            </w:pPr>
          </w:p>
          <w:p w14:paraId="465E6442"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650802C2" w14:textId="77777777" w:rsidTr="00D570D8">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D570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0300CAC5" w14:textId="77777777" w:rsidTr="00D570D8">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D570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D570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690DCDBC" w14:textId="77777777" w:rsidTr="00D570D8">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D570D8">
            <w:pPr>
              <w:spacing w:after="120" w:line="240" w:lineRule="auto"/>
              <w:rPr>
                <w:rFonts w:ascii="Arial" w:eastAsia="Times New Roman" w:hAnsi="Arial" w:cs="Arial"/>
                <w:sz w:val="14"/>
                <w:szCs w:val="14"/>
                <w:lang w:eastAsia="en-GB"/>
              </w:rPr>
            </w:pPr>
          </w:p>
          <w:p w14:paraId="6702EAFE" w14:textId="77777777" w:rsidR="00763CB3" w:rsidRPr="00876921" w:rsidRDefault="00763CB3" w:rsidP="00D570D8">
            <w:pPr>
              <w:spacing w:after="120" w:line="240" w:lineRule="auto"/>
              <w:rPr>
                <w:rFonts w:ascii="Arial" w:eastAsia="Times New Roman" w:hAnsi="Arial" w:cs="Arial"/>
                <w:sz w:val="14"/>
                <w:szCs w:val="14"/>
                <w:lang w:eastAsia="en-GB"/>
              </w:rPr>
            </w:pPr>
          </w:p>
          <w:p w14:paraId="75FE031D" w14:textId="77777777" w:rsidR="00763CB3" w:rsidRPr="00876921" w:rsidRDefault="00763CB3" w:rsidP="00D570D8">
            <w:pPr>
              <w:spacing w:after="120" w:line="240" w:lineRule="auto"/>
              <w:rPr>
                <w:rFonts w:ascii="Arial" w:eastAsia="Times New Roman" w:hAnsi="Arial" w:cs="Arial"/>
                <w:sz w:val="14"/>
                <w:szCs w:val="14"/>
                <w:lang w:eastAsia="en-GB"/>
              </w:rPr>
            </w:pPr>
          </w:p>
          <w:p w14:paraId="2CCA5E81" w14:textId="77777777" w:rsidR="00763CB3" w:rsidRPr="00876921" w:rsidRDefault="00763CB3" w:rsidP="00D570D8">
            <w:pPr>
              <w:spacing w:after="120" w:line="240" w:lineRule="auto"/>
              <w:rPr>
                <w:rFonts w:ascii="Arial" w:eastAsia="Times New Roman" w:hAnsi="Arial" w:cs="Arial"/>
                <w:sz w:val="14"/>
                <w:szCs w:val="14"/>
                <w:lang w:eastAsia="en-GB"/>
              </w:rPr>
            </w:pPr>
          </w:p>
          <w:p w14:paraId="6A985526" w14:textId="77777777" w:rsidR="00763CB3" w:rsidRPr="00876921" w:rsidRDefault="00763CB3" w:rsidP="00D570D8">
            <w:pPr>
              <w:spacing w:after="120" w:line="240" w:lineRule="auto"/>
              <w:rPr>
                <w:rFonts w:ascii="Arial" w:eastAsia="Times New Roman" w:hAnsi="Arial" w:cs="Arial"/>
                <w:sz w:val="14"/>
                <w:szCs w:val="14"/>
                <w:lang w:eastAsia="en-GB"/>
              </w:rPr>
            </w:pPr>
          </w:p>
          <w:p w14:paraId="71078E49"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18778F53" w14:textId="77777777" w:rsidTr="00D570D8">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D570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14FB157F" w14:textId="77777777" w:rsidTr="00D570D8">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D570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lastRenderedPageBreak/>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D570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303A4DB5" w14:textId="77777777" w:rsidTr="00D570D8">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D570D8">
            <w:pPr>
              <w:spacing w:after="120" w:line="240" w:lineRule="auto"/>
              <w:rPr>
                <w:rFonts w:ascii="Arial" w:eastAsia="Times New Roman" w:hAnsi="Arial" w:cs="Arial"/>
                <w:sz w:val="14"/>
                <w:szCs w:val="14"/>
                <w:lang w:eastAsia="en-GB"/>
              </w:rPr>
            </w:pPr>
          </w:p>
          <w:p w14:paraId="2F28982A" w14:textId="77777777" w:rsidR="00763CB3" w:rsidRPr="00876921" w:rsidRDefault="00763CB3" w:rsidP="00D570D8">
            <w:pPr>
              <w:spacing w:after="120" w:line="240" w:lineRule="auto"/>
              <w:rPr>
                <w:rFonts w:ascii="Arial" w:eastAsia="Times New Roman" w:hAnsi="Arial" w:cs="Arial"/>
                <w:sz w:val="14"/>
                <w:szCs w:val="14"/>
                <w:lang w:eastAsia="en-GB"/>
              </w:rPr>
            </w:pPr>
          </w:p>
          <w:p w14:paraId="43624C9D" w14:textId="77777777" w:rsidR="00763CB3" w:rsidRPr="00876921" w:rsidRDefault="00763CB3" w:rsidP="00D570D8">
            <w:pPr>
              <w:spacing w:after="120" w:line="240" w:lineRule="auto"/>
              <w:rPr>
                <w:rFonts w:ascii="Arial" w:eastAsia="Times New Roman" w:hAnsi="Arial" w:cs="Arial"/>
                <w:sz w:val="14"/>
                <w:szCs w:val="14"/>
                <w:lang w:eastAsia="en-GB"/>
              </w:rPr>
            </w:pPr>
          </w:p>
          <w:p w14:paraId="2D21F635" w14:textId="77777777" w:rsidR="00763CB3" w:rsidRPr="00876921" w:rsidRDefault="00763CB3" w:rsidP="00D570D8">
            <w:pPr>
              <w:spacing w:after="120" w:line="240" w:lineRule="auto"/>
              <w:rPr>
                <w:rFonts w:ascii="Arial" w:eastAsia="Times New Roman" w:hAnsi="Arial" w:cs="Arial"/>
                <w:sz w:val="14"/>
                <w:szCs w:val="14"/>
                <w:lang w:eastAsia="en-GB"/>
              </w:rPr>
            </w:pPr>
          </w:p>
          <w:p w14:paraId="0AEF1A8F" w14:textId="77777777" w:rsidR="00763CB3" w:rsidRPr="00876921" w:rsidRDefault="00763CB3" w:rsidP="00D570D8">
            <w:pPr>
              <w:spacing w:after="120" w:line="240" w:lineRule="auto"/>
              <w:rPr>
                <w:rFonts w:ascii="Arial" w:eastAsia="Times New Roman" w:hAnsi="Arial" w:cs="Arial"/>
                <w:sz w:val="14"/>
                <w:szCs w:val="14"/>
                <w:lang w:eastAsia="en-GB"/>
              </w:rPr>
            </w:pPr>
          </w:p>
          <w:p w14:paraId="11DAA87C"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5411B7BD" w14:textId="77777777" w:rsidTr="00D570D8">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D570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3DB014CC" w14:textId="77777777" w:rsidTr="00D570D8">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D570D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D570D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16E1BECD" w14:textId="77777777" w:rsidTr="00D570D8">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D570D8">
            <w:pPr>
              <w:spacing w:after="120" w:line="240" w:lineRule="auto"/>
              <w:rPr>
                <w:rFonts w:ascii="Arial" w:eastAsia="Times New Roman" w:hAnsi="Arial" w:cs="Arial"/>
                <w:sz w:val="14"/>
                <w:szCs w:val="14"/>
                <w:lang w:eastAsia="en-GB"/>
              </w:rPr>
            </w:pPr>
          </w:p>
          <w:p w14:paraId="47E24EAC" w14:textId="77777777" w:rsidR="00763CB3" w:rsidRPr="00876921" w:rsidRDefault="00763CB3" w:rsidP="00D570D8">
            <w:pPr>
              <w:spacing w:after="120" w:line="240" w:lineRule="auto"/>
              <w:rPr>
                <w:rFonts w:ascii="Arial" w:eastAsia="Times New Roman" w:hAnsi="Arial" w:cs="Arial"/>
                <w:sz w:val="14"/>
                <w:szCs w:val="14"/>
                <w:lang w:eastAsia="en-GB"/>
              </w:rPr>
            </w:pPr>
          </w:p>
          <w:p w14:paraId="4FF10648" w14:textId="77777777" w:rsidR="00763CB3" w:rsidRPr="00876921" w:rsidRDefault="00763CB3" w:rsidP="00D570D8">
            <w:pPr>
              <w:spacing w:after="120" w:line="240" w:lineRule="auto"/>
              <w:rPr>
                <w:rFonts w:ascii="Arial" w:eastAsia="Times New Roman" w:hAnsi="Arial" w:cs="Arial"/>
                <w:sz w:val="14"/>
                <w:szCs w:val="14"/>
                <w:lang w:eastAsia="en-GB"/>
              </w:rPr>
            </w:pPr>
          </w:p>
          <w:p w14:paraId="6C8AE446" w14:textId="77777777" w:rsidR="00763CB3" w:rsidRPr="00876921" w:rsidRDefault="00763CB3" w:rsidP="00D570D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r w:rsidR="00763CB3" w:rsidRPr="00876921" w14:paraId="0A5E6F61" w14:textId="77777777" w:rsidTr="00D570D8">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D570D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D570D8">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D570D8">
        <w:trPr>
          <w:cantSplit/>
        </w:trPr>
        <w:tc>
          <w:tcPr>
            <w:tcW w:w="6062" w:type="dxa"/>
            <w:vMerge w:val="restart"/>
            <w:shd w:val="pct15" w:color="auto" w:fill="auto"/>
            <w:vAlign w:val="center"/>
          </w:tcPr>
          <w:p w14:paraId="2A698409" w14:textId="77777777" w:rsidR="00763CB3" w:rsidRPr="00876921" w:rsidRDefault="00763CB3" w:rsidP="00D570D8">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D570D8">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D570D8">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D570D8">
        <w:trPr>
          <w:cantSplit/>
        </w:trPr>
        <w:tc>
          <w:tcPr>
            <w:tcW w:w="6062" w:type="dxa"/>
            <w:vMerge/>
            <w:vAlign w:val="bottom"/>
          </w:tcPr>
          <w:p w14:paraId="4FA23D15" w14:textId="77777777" w:rsidR="00763CB3" w:rsidRPr="00876921" w:rsidRDefault="00763CB3" w:rsidP="00D570D8">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D570D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D570D8">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D570D8">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D570D8">
        <w:trPr>
          <w:cantSplit/>
        </w:trPr>
        <w:tc>
          <w:tcPr>
            <w:tcW w:w="6062" w:type="dxa"/>
            <w:vMerge/>
            <w:vAlign w:val="bottom"/>
          </w:tcPr>
          <w:p w14:paraId="20C32F00" w14:textId="77777777" w:rsidR="00763CB3" w:rsidRPr="00876921" w:rsidRDefault="00763CB3" w:rsidP="00D570D8">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D570D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D570D8">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D570D8">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95CC3">
          <w:headerReference w:type="even" r:id="rId38"/>
          <w:headerReference w:type="default" r:id="rId39"/>
          <w:footerReference w:type="even" r:id="rId40"/>
          <w:footerReference w:type="default" r:id="rId41"/>
          <w:headerReference w:type="first" r:id="rId42"/>
          <w:footerReference w:type="first" r:id="rId43"/>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95CC3">
          <w:headerReference w:type="even" r:id="rId44"/>
          <w:headerReference w:type="default" r:id="rId45"/>
          <w:footerReference w:type="even" r:id="rId46"/>
          <w:footerReference w:type="default" r:id="rId47"/>
          <w:headerReference w:type="first" r:id="rId48"/>
          <w:footerReference w:type="first" r:id="rId49"/>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D570D8">
        <w:tc>
          <w:tcPr>
            <w:tcW w:w="13858" w:type="dxa"/>
            <w:shd w:val="clear" w:color="auto" w:fill="FF99FF"/>
          </w:tcPr>
          <w:p w14:paraId="259AD24D" w14:textId="77777777" w:rsidR="00763CB3" w:rsidRPr="00876921" w:rsidRDefault="00763CB3" w:rsidP="00D570D8">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D570D8">
        <w:tc>
          <w:tcPr>
            <w:tcW w:w="13948" w:type="dxa"/>
            <w:shd w:val="clear" w:color="auto" w:fill="FF99FF"/>
          </w:tcPr>
          <w:p w14:paraId="29F10AD7" w14:textId="77777777" w:rsidR="00763CB3" w:rsidRPr="00876921" w:rsidRDefault="00763CB3" w:rsidP="00D570D8">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D570D8">
        <w:tc>
          <w:tcPr>
            <w:tcW w:w="13948" w:type="dxa"/>
            <w:shd w:val="clear" w:color="auto" w:fill="FFCCFF"/>
          </w:tcPr>
          <w:p w14:paraId="0226AEB2" w14:textId="77777777" w:rsidR="00763CB3" w:rsidRPr="00876921" w:rsidRDefault="00763CB3" w:rsidP="00D570D8">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D570D8">
        <w:trPr>
          <w:tblHeader/>
        </w:trPr>
        <w:tc>
          <w:tcPr>
            <w:tcW w:w="1735" w:type="dxa"/>
            <w:shd w:val="clear" w:color="auto" w:fill="FF99FF"/>
          </w:tcPr>
          <w:p w14:paraId="5D20E49C" w14:textId="77777777" w:rsidR="00763CB3" w:rsidRPr="00876921" w:rsidRDefault="00763CB3" w:rsidP="00D570D8">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D570D8">
        <w:trPr>
          <w:tblHeader/>
        </w:trPr>
        <w:tc>
          <w:tcPr>
            <w:tcW w:w="1735" w:type="dxa"/>
            <w:shd w:val="clear" w:color="auto" w:fill="FF99FF"/>
          </w:tcPr>
          <w:p w14:paraId="0347254A" w14:textId="77777777" w:rsidR="00763CB3" w:rsidRPr="00876921" w:rsidRDefault="00763CB3" w:rsidP="00D570D8">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D570D8">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D570D8">
        <w:tc>
          <w:tcPr>
            <w:tcW w:w="1735" w:type="dxa"/>
            <w:shd w:val="clear" w:color="auto" w:fill="FF99FF"/>
          </w:tcPr>
          <w:p w14:paraId="71C450BC" w14:textId="77777777" w:rsidR="00763CB3" w:rsidRPr="00876921" w:rsidRDefault="00763CB3" w:rsidP="00D570D8">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D570D8">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D570D8">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D570D8">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D570D8">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D570D8">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D570D8">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D570D8">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D570D8">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D570D8">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D570D8">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D570D8">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D570D8">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D570D8">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D570D8">
        <w:tc>
          <w:tcPr>
            <w:tcW w:w="1735" w:type="dxa"/>
            <w:shd w:val="clear" w:color="auto" w:fill="FF99FF"/>
          </w:tcPr>
          <w:p w14:paraId="4FE4FE1D" w14:textId="77777777" w:rsidR="00763CB3" w:rsidRPr="00876921" w:rsidRDefault="00763CB3" w:rsidP="00D570D8">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D570D8">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D570D8">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D570D8">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D570D8">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D570D8">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D570D8">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D570D8">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D570D8">
        <w:tc>
          <w:tcPr>
            <w:tcW w:w="1735" w:type="dxa"/>
            <w:shd w:val="clear" w:color="auto" w:fill="FF99FF"/>
          </w:tcPr>
          <w:p w14:paraId="57DE407D" w14:textId="77777777" w:rsidR="00763CB3" w:rsidRPr="00876921" w:rsidRDefault="00763CB3" w:rsidP="00D570D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D570D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D570D8">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D570D8">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D570D8">
            <w:pPr>
              <w:rPr>
                <w:rFonts w:ascii="Arial" w:hAnsi="Arial" w:cs="Arial"/>
                <w:lang w:eastAsia="en-GB"/>
              </w:rPr>
            </w:pPr>
          </w:p>
        </w:tc>
        <w:tc>
          <w:tcPr>
            <w:tcW w:w="1736" w:type="dxa"/>
          </w:tcPr>
          <w:p w14:paraId="334AA25E"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D570D8">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D570D8">
            <w:pPr>
              <w:rPr>
                <w:rFonts w:ascii="Arial" w:hAnsi="Arial" w:cs="Arial"/>
                <w:lang w:eastAsia="en-GB"/>
              </w:rPr>
            </w:pPr>
          </w:p>
          <w:p w14:paraId="6857A9B4" w14:textId="77777777" w:rsidR="00763CB3" w:rsidRPr="00876921" w:rsidRDefault="00763CB3" w:rsidP="00D570D8">
            <w:pPr>
              <w:rPr>
                <w:rFonts w:ascii="Arial" w:hAnsi="Arial" w:cs="Arial"/>
                <w:lang w:eastAsia="en-GB"/>
              </w:rPr>
            </w:pPr>
          </w:p>
        </w:tc>
        <w:tc>
          <w:tcPr>
            <w:tcW w:w="1736" w:type="dxa"/>
          </w:tcPr>
          <w:p w14:paraId="06165D40"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D570D8">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D570D8">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D570D8">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D570D8">
        <w:tc>
          <w:tcPr>
            <w:tcW w:w="1735" w:type="dxa"/>
            <w:shd w:val="clear" w:color="auto" w:fill="FF99FF"/>
          </w:tcPr>
          <w:p w14:paraId="45A5EF91" w14:textId="77777777" w:rsidR="00763CB3" w:rsidRPr="00876921" w:rsidRDefault="00763CB3" w:rsidP="00D570D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D570D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D570D8">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D570D8">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D570D8">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D570D8">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D570D8">
            <w:pPr>
              <w:rPr>
                <w:rFonts w:ascii="Arial" w:hAnsi="Arial" w:cs="Arial"/>
                <w:lang w:eastAsia="en-GB"/>
              </w:rPr>
            </w:pPr>
          </w:p>
          <w:p w14:paraId="7E9F40FE" w14:textId="77777777" w:rsidR="00763CB3" w:rsidRPr="00876921" w:rsidRDefault="00763CB3" w:rsidP="00D570D8">
            <w:pPr>
              <w:rPr>
                <w:rFonts w:ascii="Arial" w:hAnsi="Arial" w:cs="Arial"/>
                <w:lang w:eastAsia="en-GB"/>
              </w:rPr>
            </w:pPr>
          </w:p>
        </w:tc>
        <w:tc>
          <w:tcPr>
            <w:tcW w:w="1736" w:type="dxa"/>
          </w:tcPr>
          <w:p w14:paraId="3E8D471C"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D570D8">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D570D8">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D570D8">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D570D8">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D570D8">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D570D8">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D570D8">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D570D8">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D570D8">
        <w:tc>
          <w:tcPr>
            <w:tcW w:w="1735" w:type="dxa"/>
            <w:shd w:val="clear" w:color="auto" w:fill="FF99FF"/>
          </w:tcPr>
          <w:p w14:paraId="53FBBC19" w14:textId="77777777" w:rsidR="00763CB3" w:rsidRPr="00876921" w:rsidRDefault="00763CB3" w:rsidP="00D570D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D570D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D570D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D570D8">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D570D8">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D570D8">
            <w:pPr>
              <w:rPr>
                <w:rFonts w:ascii="Arial" w:hAnsi="Arial" w:cs="Arial"/>
                <w:lang w:eastAsia="en-GB"/>
              </w:rPr>
            </w:pPr>
          </w:p>
          <w:p w14:paraId="7437BB87" w14:textId="77777777" w:rsidR="00763CB3" w:rsidRPr="00876921" w:rsidRDefault="00763CB3" w:rsidP="00D570D8">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D570D8">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D570D8">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D570D8">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D570D8">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D570D8">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D570D8">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D570D8">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D570D8">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D570D8">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D570D8">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95CC3">
      <w:headerReference w:type="even" r:id="rId50"/>
      <w:headerReference w:type="default" r:id="rId51"/>
      <w:footerReference w:type="even" r:id="rId52"/>
      <w:footerReference w:type="default" r:id="rId53"/>
      <w:headerReference w:type="first" r:id="rId54"/>
      <w:footerReference w:type="first" r:id="rId55"/>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D570D8" w:rsidRDefault="00D570D8">
      <w:pPr>
        <w:spacing w:after="0" w:line="240" w:lineRule="auto"/>
      </w:pPr>
      <w:r>
        <w:separator/>
      </w:r>
    </w:p>
  </w:endnote>
  <w:endnote w:type="continuationSeparator" w:id="0">
    <w:p w14:paraId="0D55CABB" w14:textId="77777777" w:rsidR="00D570D8" w:rsidRDefault="00D57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body">
    <w:altName w:val="Times New Roman"/>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Calibri doy">
    <w:altName w:val="Times New Roman"/>
    <w:panose1 w:val="00000000000000000000"/>
    <w:charset w:val="00"/>
    <w:family w:val="roman"/>
    <w:notTrueType/>
    <w:pitch w:val="default"/>
  </w:font>
  <w:font w:name="Calibri bosy">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15D3F3" w14:textId="6AA40BEA" w:rsidR="00D570D8" w:rsidRDefault="00DB23B0" w:rsidP="00DB23B0">
    <w:pPr>
      <w:pStyle w:val="Footer"/>
      <w:rPr>
        <w:color w:val="000000"/>
        <w:sz w:val="17"/>
      </w:rPr>
    </w:pPr>
    <w:bookmarkStart w:id="3" w:name="TITUS1FooterEvenPages"/>
    <w:r>
      <w:rPr>
        <w:color w:val="000000"/>
        <w:sz w:val="17"/>
      </w:rPr>
      <w:t> </w:t>
    </w:r>
  </w:p>
  <w:bookmarkEnd w:id="3"/>
  <w:p w14:paraId="74D863BD" w14:textId="6263E145" w:rsidR="00D570D8" w:rsidRDefault="00D570D8" w:rsidP="00C95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23B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23B0">
      <w:rPr>
        <w:b/>
        <w:noProof/>
      </w:rPr>
      <w:t>24</w:t>
    </w:r>
    <w:r>
      <w:rPr>
        <w:b/>
        <w:sz w:val="24"/>
        <w:szCs w:val="24"/>
      </w:rPr>
      <w:fldChar w:fldCharType="end"/>
    </w:r>
  </w:p>
  <w:p w14:paraId="2C774957" w14:textId="77777777" w:rsidR="00D570D8" w:rsidRDefault="00D570D8" w:rsidP="00C95CC3">
    <w:pPr>
      <w:pStyle w:val="Footer"/>
      <w:jc w:val="right"/>
      <w:rPr>
        <w:sz w:val="16"/>
      </w:rPr>
    </w:pPr>
  </w:p>
  <w:p w14:paraId="3352E43E" w14:textId="77777777" w:rsidR="00D570D8" w:rsidRDefault="00D570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5A541" w14:textId="61463076" w:rsidR="00D570D8" w:rsidRDefault="00DB23B0" w:rsidP="00DB23B0">
    <w:pPr>
      <w:pStyle w:val="Footer"/>
      <w:rPr>
        <w:color w:val="000000"/>
        <w:sz w:val="17"/>
      </w:rPr>
    </w:pPr>
    <w:bookmarkStart w:id="4" w:name="TITUS1FooterPrimary"/>
    <w:r>
      <w:rPr>
        <w:color w:val="000000"/>
        <w:sz w:val="17"/>
      </w:rPr>
      <w:t> </w:t>
    </w:r>
  </w:p>
  <w:bookmarkEnd w:id="4"/>
  <w:p w14:paraId="74CEE6CC" w14:textId="242FBC87" w:rsidR="00D570D8" w:rsidRDefault="00D570D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23B0">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23B0">
      <w:rPr>
        <w:b/>
        <w:noProof/>
      </w:rPr>
      <w:t>24</w:t>
    </w:r>
    <w:r>
      <w:rPr>
        <w:b/>
        <w:sz w:val="24"/>
        <w:szCs w:val="24"/>
      </w:rPr>
      <w:fldChar w:fldCharType="end"/>
    </w:r>
  </w:p>
  <w:p w14:paraId="40790BA2" w14:textId="77777777" w:rsidR="00D570D8" w:rsidRDefault="00D570D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988DAD" w14:textId="0AC12EAF" w:rsidR="00D570D8" w:rsidRDefault="00DB23B0" w:rsidP="00DB23B0">
    <w:pPr>
      <w:pStyle w:val="Footer"/>
      <w:rPr>
        <w:color w:val="000000"/>
        <w:sz w:val="17"/>
      </w:rPr>
    </w:pPr>
    <w:bookmarkStart w:id="6" w:name="TITUS1FooterFirstPage"/>
    <w:r>
      <w:rPr>
        <w:color w:val="000000"/>
        <w:sz w:val="17"/>
      </w:rPr>
      <w:t> </w:t>
    </w:r>
  </w:p>
  <w:bookmarkEnd w:id="6"/>
  <w:p w14:paraId="12FEFD09" w14:textId="1AB78F50" w:rsidR="00D570D8" w:rsidRDefault="00D570D8" w:rsidP="00C95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23B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23B0">
      <w:rPr>
        <w:b/>
        <w:noProof/>
      </w:rPr>
      <w:t>24</w:t>
    </w:r>
    <w:r>
      <w:rPr>
        <w:b/>
        <w:sz w:val="24"/>
        <w:szCs w:val="24"/>
      </w:rPr>
      <w:fldChar w:fldCharType="end"/>
    </w:r>
  </w:p>
  <w:p w14:paraId="5B3DF166" w14:textId="77777777" w:rsidR="00D570D8" w:rsidRDefault="00D570D8" w:rsidP="00C95CC3">
    <w:pPr>
      <w:pStyle w:val="Footer"/>
      <w:jc w:val="right"/>
      <w:rPr>
        <w:sz w:val="16"/>
      </w:rPr>
    </w:pPr>
  </w:p>
  <w:p w14:paraId="0596C17F" w14:textId="77777777" w:rsidR="00D570D8" w:rsidRDefault="00D570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938A8" w14:textId="3A36DBAD" w:rsidR="00D570D8" w:rsidRDefault="00DB23B0" w:rsidP="00DB23B0">
    <w:pPr>
      <w:pStyle w:val="Footer"/>
      <w:rPr>
        <w:color w:val="000000"/>
        <w:sz w:val="17"/>
      </w:rPr>
    </w:pPr>
    <w:bookmarkStart w:id="9" w:name="TITUS2FooterEvenPages"/>
    <w:r>
      <w:rPr>
        <w:color w:val="000000"/>
        <w:sz w:val="17"/>
      </w:rPr>
      <w:t> </w:t>
    </w:r>
  </w:p>
  <w:bookmarkEnd w:id="9"/>
  <w:p w14:paraId="78037E6A" w14:textId="77777777" w:rsidR="00D570D8" w:rsidRDefault="00D570D8" w:rsidP="00C95CC3">
    <w:pPr>
      <w:pStyle w:val="Footer"/>
      <w:jc w:val="center"/>
    </w:pPr>
  </w:p>
  <w:p w14:paraId="57EF6EAE" w14:textId="4B30EBF7" w:rsidR="00D570D8" w:rsidRDefault="00D570D8" w:rsidP="00C95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1775E766" w14:textId="77777777" w:rsidR="00D570D8" w:rsidRDefault="00D570D8" w:rsidP="00C95CC3">
    <w:pPr>
      <w:pStyle w:val="Footer"/>
      <w:jc w:val="right"/>
      <w:rPr>
        <w:sz w:val="16"/>
      </w:rPr>
    </w:pPr>
  </w:p>
  <w:p w14:paraId="213AF3E5" w14:textId="77777777" w:rsidR="00D570D8" w:rsidRDefault="00D570D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24F0DEC7" w:rsidR="00D570D8" w:rsidRDefault="00DB23B0" w:rsidP="00DB23B0">
    <w:pPr>
      <w:pStyle w:val="Footer"/>
      <w:rPr>
        <w:color w:val="000000"/>
        <w:sz w:val="17"/>
      </w:rPr>
    </w:pPr>
    <w:bookmarkStart w:id="10" w:name="TITUS2FooterPrimary"/>
    <w:r>
      <w:rPr>
        <w:color w:val="000000"/>
        <w:sz w:val="17"/>
      </w:rPr>
      <w:t> </w:t>
    </w:r>
  </w:p>
  <w:bookmarkEnd w:id="10"/>
  <w:p w14:paraId="54293944" w14:textId="77777777" w:rsidR="00D570D8" w:rsidRDefault="00D570D8">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3D00F2" w14:textId="31CED6D3" w:rsidR="00D570D8" w:rsidRDefault="00DB23B0" w:rsidP="00DB23B0">
    <w:pPr>
      <w:pStyle w:val="Footer"/>
      <w:rPr>
        <w:color w:val="000000"/>
        <w:sz w:val="17"/>
      </w:rPr>
    </w:pPr>
    <w:bookmarkStart w:id="12" w:name="TITUS2FooterFirstPage"/>
    <w:r>
      <w:rPr>
        <w:color w:val="000000"/>
        <w:sz w:val="17"/>
      </w:rPr>
      <w:t> </w:t>
    </w:r>
  </w:p>
  <w:bookmarkEnd w:id="12"/>
  <w:p w14:paraId="0AFC8DA6" w14:textId="77777777" w:rsidR="00D570D8" w:rsidRDefault="00D570D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5303E6" w14:textId="06C8507C" w:rsidR="00D570D8" w:rsidRDefault="00DB23B0" w:rsidP="00DB23B0">
    <w:pPr>
      <w:pStyle w:val="Footer"/>
      <w:rPr>
        <w:color w:val="000000"/>
        <w:sz w:val="17"/>
      </w:rPr>
    </w:pPr>
    <w:bookmarkStart w:id="15" w:name="TITUS3FooterEvenPages"/>
    <w:r>
      <w:rPr>
        <w:color w:val="000000"/>
        <w:sz w:val="17"/>
      </w:rPr>
      <w:t> </w:t>
    </w:r>
  </w:p>
  <w:bookmarkEnd w:id="15"/>
  <w:p w14:paraId="5E83F567" w14:textId="77777777" w:rsidR="00D570D8" w:rsidRDefault="00D570D8" w:rsidP="00C95CC3">
    <w:pPr>
      <w:pStyle w:val="Footer"/>
      <w:jc w:val="center"/>
    </w:pPr>
  </w:p>
  <w:p w14:paraId="06C965A0" w14:textId="77777777" w:rsidR="00D570D8" w:rsidRDefault="00D570D8" w:rsidP="00C95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774C6125" w14:textId="77777777" w:rsidR="00D570D8" w:rsidRDefault="00D570D8" w:rsidP="00C95CC3">
    <w:pPr>
      <w:pStyle w:val="Footer"/>
      <w:jc w:val="right"/>
      <w:rPr>
        <w:sz w:val="16"/>
      </w:rPr>
    </w:pPr>
  </w:p>
  <w:p w14:paraId="4837C738" w14:textId="77777777" w:rsidR="00D570D8" w:rsidRDefault="00D570D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EF836C" w14:textId="3CC35D94" w:rsidR="00D570D8" w:rsidRDefault="00DB23B0" w:rsidP="00DB23B0">
    <w:pPr>
      <w:pStyle w:val="Footer"/>
      <w:rPr>
        <w:color w:val="000000"/>
        <w:sz w:val="17"/>
      </w:rPr>
    </w:pPr>
    <w:bookmarkStart w:id="16" w:name="TITUS3FooterPrimary"/>
    <w:r>
      <w:rPr>
        <w:color w:val="000000"/>
        <w:sz w:val="17"/>
      </w:rPr>
      <w:t> </w:t>
    </w:r>
  </w:p>
  <w:bookmarkEnd w:id="16"/>
  <w:p w14:paraId="37BCBC83" w14:textId="77777777" w:rsidR="00D570D8" w:rsidRDefault="00D570D8">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FC045" w14:textId="5A0B4DBC" w:rsidR="00D570D8" w:rsidRDefault="00DB23B0" w:rsidP="00DB23B0">
    <w:pPr>
      <w:pStyle w:val="Footer"/>
      <w:rPr>
        <w:color w:val="000000"/>
        <w:sz w:val="17"/>
      </w:rPr>
    </w:pPr>
    <w:bookmarkStart w:id="18" w:name="TITUS3FooterFirstPage"/>
    <w:r>
      <w:rPr>
        <w:color w:val="000000"/>
        <w:sz w:val="17"/>
      </w:rPr>
      <w:t> </w:t>
    </w:r>
  </w:p>
  <w:bookmarkEnd w:id="18"/>
  <w:p w14:paraId="16365A8E" w14:textId="77777777" w:rsidR="00D570D8" w:rsidRDefault="00D570D8" w:rsidP="00C95CC3">
    <w:pPr>
      <w:pStyle w:val="Footer"/>
      <w:jc w:val="right"/>
      <w:rPr>
        <w:sz w:val="16"/>
      </w:rPr>
    </w:pPr>
  </w:p>
  <w:p w14:paraId="754F50D6" w14:textId="77777777" w:rsidR="00D570D8" w:rsidRDefault="00D570D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B50EF" w14:textId="147DE9EA" w:rsidR="00D570D8" w:rsidRDefault="00DB23B0" w:rsidP="00DB23B0">
    <w:pPr>
      <w:pStyle w:val="Footer"/>
      <w:rPr>
        <w:color w:val="000000"/>
        <w:sz w:val="17"/>
      </w:rPr>
    </w:pPr>
    <w:bookmarkStart w:id="21" w:name="TITUS4FooterEvenPages"/>
    <w:r>
      <w:rPr>
        <w:color w:val="000000"/>
        <w:sz w:val="17"/>
      </w:rPr>
      <w:t> </w:t>
    </w:r>
  </w:p>
  <w:bookmarkEnd w:id="21"/>
  <w:p w14:paraId="052FF32B" w14:textId="77777777" w:rsidR="00D570D8" w:rsidRDefault="00D570D8" w:rsidP="00C95CC3">
    <w:pPr>
      <w:pStyle w:val="Footer"/>
      <w:jc w:val="center"/>
    </w:pPr>
  </w:p>
  <w:p w14:paraId="477CA994" w14:textId="77777777" w:rsidR="00D570D8" w:rsidRDefault="00D570D8" w:rsidP="00C95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14827AEB" w14:textId="77777777" w:rsidR="00D570D8" w:rsidRDefault="00D570D8" w:rsidP="00C95CC3">
    <w:pPr>
      <w:pStyle w:val="Footer"/>
      <w:jc w:val="right"/>
      <w:rPr>
        <w:sz w:val="16"/>
      </w:rPr>
    </w:pPr>
  </w:p>
  <w:p w14:paraId="6CB24F47" w14:textId="77777777" w:rsidR="00D570D8" w:rsidRDefault="00D570D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E6C2DE" w14:textId="275B20A0" w:rsidR="00D570D8" w:rsidRDefault="00DB23B0" w:rsidP="00DB23B0">
    <w:pPr>
      <w:pStyle w:val="Footer"/>
      <w:rPr>
        <w:color w:val="000000"/>
        <w:sz w:val="17"/>
      </w:rPr>
    </w:pPr>
    <w:bookmarkStart w:id="22" w:name="TITUS4FooterPrimary"/>
    <w:r>
      <w:rPr>
        <w:color w:val="000000"/>
        <w:sz w:val="17"/>
      </w:rPr>
      <w:t> </w:t>
    </w:r>
  </w:p>
  <w:bookmarkEnd w:id="22"/>
  <w:p w14:paraId="52458E3A" w14:textId="77777777" w:rsidR="00D570D8" w:rsidRDefault="00D570D8">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F45AC6" w14:textId="62269FE5" w:rsidR="00D570D8" w:rsidRDefault="00DB23B0" w:rsidP="00DB23B0">
    <w:pPr>
      <w:pStyle w:val="Footer"/>
      <w:rPr>
        <w:color w:val="000000"/>
        <w:sz w:val="17"/>
      </w:rPr>
    </w:pPr>
    <w:bookmarkStart w:id="24" w:name="TITUS4FooterFirstPage"/>
    <w:r>
      <w:rPr>
        <w:color w:val="000000"/>
        <w:sz w:val="17"/>
      </w:rPr>
      <w:t> </w:t>
    </w:r>
  </w:p>
  <w:bookmarkEnd w:id="24"/>
  <w:p w14:paraId="0CAFC25B" w14:textId="77777777" w:rsidR="00D570D8" w:rsidRDefault="00D570D8" w:rsidP="00C95CC3">
    <w:pPr>
      <w:pStyle w:val="Footer"/>
      <w:jc w:val="right"/>
      <w:rPr>
        <w:sz w:val="16"/>
      </w:rPr>
    </w:pPr>
  </w:p>
  <w:p w14:paraId="57391D64" w14:textId="77777777" w:rsidR="00D570D8" w:rsidRDefault="00D57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D570D8" w:rsidRDefault="00D570D8">
      <w:pPr>
        <w:spacing w:after="0" w:line="240" w:lineRule="auto"/>
      </w:pPr>
      <w:r>
        <w:separator/>
      </w:r>
    </w:p>
  </w:footnote>
  <w:footnote w:type="continuationSeparator" w:id="0">
    <w:p w14:paraId="68E41288" w14:textId="77777777" w:rsidR="00D570D8" w:rsidRDefault="00D570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6E0A43" w14:textId="38DB1A27" w:rsidR="00AA16A6" w:rsidRDefault="00DB23B0" w:rsidP="00DB23B0">
    <w:pPr>
      <w:pStyle w:val="Header"/>
      <w:rPr>
        <w:color w:val="000000"/>
        <w:sz w:val="17"/>
      </w:rPr>
    </w:pPr>
    <w:bookmarkStart w:id="1" w:name="TITUS1HeaderEvenPages"/>
    <w:r>
      <w:rPr>
        <w:color w:val="000000"/>
        <w:sz w:val="17"/>
      </w:rPr>
      <w:t> </w:t>
    </w:r>
  </w:p>
  <w:bookmarkEnd w:id="1"/>
  <w:p w14:paraId="0733CBFC" w14:textId="77777777" w:rsidR="00AA16A6" w:rsidRDefault="00AA16A6" w:rsidP="00AA16A6">
    <w:pPr>
      <w:pStyle w:val="Header"/>
    </w:pPr>
  </w:p>
  <w:p w14:paraId="1A3BE6D6" w14:textId="77777777" w:rsidR="00D570D8" w:rsidRDefault="00D570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944EBE" w14:textId="187AB48F" w:rsidR="00D570D8" w:rsidRDefault="00DB23B0" w:rsidP="00DB23B0">
    <w:pPr>
      <w:pStyle w:val="Header"/>
      <w:rPr>
        <w:color w:val="000000"/>
        <w:sz w:val="17"/>
      </w:rPr>
    </w:pPr>
    <w:bookmarkStart w:id="2" w:name="TITUS1HeaderPrimary"/>
    <w:r>
      <w:rPr>
        <w:color w:val="000000"/>
        <w:sz w:val="17"/>
      </w:rPr>
      <w:t> </w:t>
    </w:r>
  </w:p>
  <w:bookmarkEnd w:id="2"/>
  <w:p w14:paraId="00563589" w14:textId="77777777" w:rsidR="00D570D8" w:rsidRDefault="00D570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036CA7" w14:textId="417A7BF1" w:rsidR="00D570D8" w:rsidRDefault="00DB23B0" w:rsidP="00DB23B0">
    <w:pPr>
      <w:pStyle w:val="Header"/>
      <w:rPr>
        <w:color w:val="000000"/>
        <w:sz w:val="17"/>
      </w:rPr>
    </w:pPr>
    <w:bookmarkStart w:id="5" w:name="TITUS1HeaderFirstPage"/>
    <w:r>
      <w:rPr>
        <w:color w:val="000000"/>
        <w:sz w:val="17"/>
      </w:rPr>
      <w:t> </w:t>
    </w:r>
  </w:p>
  <w:bookmarkEnd w:id="5"/>
  <w:p w14:paraId="51820CE4" w14:textId="77777777" w:rsidR="00D570D8" w:rsidRDefault="00D570D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439C5B" w14:textId="75184445" w:rsidR="00D570D8" w:rsidRDefault="00DB23B0" w:rsidP="00DB23B0">
    <w:pPr>
      <w:pStyle w:val="Header"/>
      <w:rPr>
        <w:color w:val="000000"/>
        <w:sz w:val="17"/>
      </w:rPr>
    </w:pPr>
    <w:bookmarkStart w:id="7" w:name="TITUS2HeaderEvenPages"/>
    <w:r>
      <w:rPr>
        <w:color w:val="000000"/>
        <w:sz w:val="17"/>
      </w:rPr>
      <w:t> </w:t>
    </w:r>
  </w:p>
  <w:bookmarkEnd w:id="7"/>
  <w:p w14:paraId="753C2625" w14:textId="77777777" w:rsidR="00D570D8" w:rsidRDefault="00D570D8" w:rsidP="00C95CC3">
    <w:pPr>
      <w:pStyle w:val="Header"/>
    </w:pPr>
  </w:p>
  <w:p w14:paraId="6CF9FBEA" w14:textId="77777777" w:rsidR="00D570D8" w:rsidRDefault="00D570D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E2B32D" w14:textId="0853CE9B" w:rsidR="00D570D8" w:rsidRDefault="00DB23B0" w:rsidP="00DB23B0">
    <w:pPr>
      <w:pStyle w:val="Header"/>
      <w:rPr>
        <w:color w:val="000000"/>
        <w:sz w:val="17"/>
      </w:rPr>
    </w:pPr>
    <w:bookmarkStart w:id="8" w:name="TITUS2HeaderPrimary"/>
    <w:r>
      <w:rPr>
        <w:color w:val="000000"/>
        <w:sz w:val="17"/>
      </w:rPr>
      <w:t> </w:t>
    </w:r>
  </w:p>
  <w:bookmarkEnd w:id="8"/>
  <w:p w14:paraId="0E9757CB" w14:textId="77777777" w:rsidR="00D570D8" w:rsidRDefault="00D570D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6DB85" w14:textId="7E1A5390" w:rsidR="00D570D8" w:rsidRDefault="00DB23B0" w:rsidP="00DB23B0">
    <w:pPr>
      <w:pStyle w:val="Header"/>
      <w:rPr>
        <w:color w:val="000000"/>
        <w:sz w:val="17"/>
      </w:rPr>
    </w:pPr>
    <w:bookmarkStart w:id="11" w:name="TITUS2HeaderFirstPage"/>
    <w:r>
      <w:rPr>
        <w:color w:val="000000"/>
        <w:sz w:val="17"/>
      </w:rPr>
      <w:t> </w:t>
    </w:r>
  </w:p>
  <w:bookmarkEnd w:id="11"/>
  <w:p w14:paraId="7E3C5296" w14:textId="77777777" w:rsidR="00D570D8" w:rsidRDefault="00D570D8" w:rsidP="00C95CC3">
    <w:pPr>
      <w:pStyle w:val="Header"/>
    </w:pPr>
  </w:p>
  <w:p w14:paraId="6C1D8654" w14:textId="77777777" w:rsidR="00D570D8" w:rsidRDefault="00D570D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18C0F7" w14:textId="04DEE61A" w:rsidR="00D570D8" w:rsidRDefault="00DB23B0" w:rsidP="00DB23B0">
    <w:pPr>
      <w:pStyle w:val="Header"/>
      <w:rPr>
        <w:color w:val="000000"/>
        <w:sz w:val="17"/>
      </w:rPr>
    </w:pPr>
    <w:bookmarkStart w:id="13" w:name="TITUS3HeaderEvenPages"/>
    <w:r>
      <w:rPr>
        <w:color w:val="000000"/>
        <w:sz w:val="17"/>
      </w:rPr>
      <w:t> </w:t>
    </w:r>
  </w:p>
  <w:bookmarkEnd w:id="13"/>
  <w:p w14:paraId="75A40B80" w14:textId="77777777" w:rsidR="00D570D8" w:rsidRDefault="00D570D8" w:rsidP="00C95CC3">
    <w:pPr>
      <w:pStyle w:val="Header"/>
    </w:pPr>
  </w:p>
  <w:p w14:paraId="3AAFAC7B" w14:textId="77777777" w:rsidR="00D570D8" w:rsidRDefault="00D570D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15F2CA" w14:textId="36FA3C20" w:rsidR="00D570D8" w:rsidRDefault="00DB23B0" w:rsidP="00DB23B0">
    <w:pPr>
      <w:pStyle w:val="Header"/>
      <w:rPr>
        <w:color w:val="000000"/>
        <w:sz w:val="17"/>
      </w:rPr>
    </w:pPr>
    <w:bookmarkStart w:id="14" w:name="TITUS3HeaderPrimary"/>
    <w:r>
      <w:rPr>
        <w:color w:val="000000"/>
        <w:sz w:val="17"/>
      </w:rPr>
      <w:t> </w:t>
    </w:r>
  </w:p>
  <w:bookmarkEnd w:id="14"/>
  <w:p w14:paraId="11C0D751" w14:textId="77777777" w:rsidR="00D570D8" w:rsidRDefault="00D570D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68BA25" w14:textId="1CBF0B41" w:rsidR="00D570D8" w:rsidRDefault="00DB23B0" w:rsidP="00DB23B0">
    <w:pPr>
      <w:pStyle w:val="Header"/>
      <w:rPr>
        <w:color w:val="000000"/>
        <w:sz w:val="17"/>
      </w:rPr>
    </w:pPr>
    <w:bookmarkStart w:id="17" w:name="TITUS3HeaderFirstPage"/>
    <w:r>
      <w:rPr>
        <w:color w:val="000000"/>
        <w:sz w:val="17"/>
      </w:rPr>
      <w:t> </w:t>
    </w:r>
  </w:p>
  <w:bookmarkEnd w:id="17"/>
  <w:p w14:paraId="68C98477" w14:textId="77777777" w:rsidR="00D570D8" w:rsidRDefault="00D570D8" w:rsidP="00C95CC3">
    <w:pPr>
      <w:pStyle w:val="Header"/>
    </w:pPr>
  </w:p>
  <w:p w14:paraId="0A94F7CA" w14:textId="77777777" w:rsidR="00D570D8" w:rsidRDefault="00D570D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32EB4" w14:textId="6F1D2C39" w:rsidR="00D570D8" w:rsidRDefault="00DB23B0" w:rsidP="00DB23B0">
    <w:pPr>
      <w:pStyle w:val="Header"/>
      <w:rPr>
        <w:color w:val="000000"/>
        <w:sz w:val="17"/>
      </w:rPr>
    </w:pPr>
    <w:bookmarkStart w:id="19" w:name="TITUS4HeaderEvenPages"/>
    <w:r>
      <w:rPr>
        <w:color w:val="000000"/>
        <w:sz w:val="17"/>
      </w:rPr>
      <w:t> </w:t>
    </w:r>
  </w:p>
  <w:bookmarkEnd w:id="19"/>
  <w:p w14:paraId="5F43495B" w14:textId="77777777" w:rsidR="00D570D8" w:rsidRDefault="00D570D8" w:rsidP="00C95CC3">
    <w:pPr>
      <w:pStyle w:val="Header"/>
    </w:pPr>
  </w:p>
  <w:p w14:paraId="777372F9" w14:textId="77777777" w:rsidR="00D570D8" w:rsidRDefault="00D570D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D3A4FD" w14:textId="496B088C" w:rsidR="00D570D8" w:rsidRDefault="00DB23B0" w:rsidP="00DB23B0">
    <w:pPr>
      <w:pStyle w:val="Header"/>
      <w:rPr>
        <w:color w:val="000000"/>
        <w:sz w:val="17"/>
      </w:rPr>
    </w:pPr>
    <w:bookmarkStart w:id="20" w:name="TITUS4HeaderPrimary"/>
    <w:r>
      <w:rPr>
        <w:color w:val="000000"/>
        <w:sz w:val="17"/>
      </w:rPr>
      <w:t> </w:t>
    </w:r>
  </w:p>
  <w:bookmarkEnd w:id="20"/>
  <w:p w14:paraId="6958EF6E" w14:textId="77777777" w:rsidR="00D570D8" w:rsidRDefault="00D570D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EBAC2" w14:textId="078D1C55" w:rsidR="00D570D8" w:rsidRDefault="00DB23B0" w:rsidP="00DB23B0">
    <w:pPr>
      <w:pStyle w:val="Header"/>
      <w:rPr>
        <w:color w:val="000000"/>
        <w:sz w:val="17"/>
      </w:rPr>
    </w:pPr>
    <w:bookmarkStart w:id="23" w:name="TITUS4HeaderFirstPage"/>
    <w:r>
      <w:rPr>
        <w:color w:val="000000"/>
        <w:sz w:val="17"/>
      </w:rPr>
      <w:t> </w:t>
    </w:r>
  </w:p>
  <w:bookmarkEnd w:id="23"/>
  <w:p w14:paraId="52823FA1" w14:textId="77777777" w:rsidR="00D570D8" w:rsidRDefault="00D570D8" w:rsidP="00C95CC3">
    <w:pPr>
      <w:pStyle w:val="Header"/>
    </w:pPr>
  </w:p>
  <w:p w14:paraId="0509A05E" w14:textId="77777777" w:rsidR="00D570D8" w:rsidRDefault="00D570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D4A85"/>
    <w:rsid w:val="00171775"/>
    <w:rsid w:val="00184B02"/>
    <w:rsid w:val="001934C2"/>
    <w:rsid w:val="001C5AD4"/>
    <w:rsid w:val="001E7F77"/>
    <w:rsid w:val="002370A1"/>
    <w:rsid w:val="0025010D"/>
    <w:rsid w:val="00250EE0"/>
    <w:rsid w:val="002558F5"/>
    <w:rsid w:val="00287610"/>
    <w:rsid w:val="002B5320"/>
    <w:rsid w:val="002C458D"/>
    <w:rsid w:val="002C7AC6"/>
    <w:rsid w:val="003B0ACE"/>
    <w:rsid w:val="003F0DE8"/>
    <w:rsid w:val="0044218A"/>
    <w:rsid w:val="00464DEA"/>
    <w:rsid w:val="00471A2C"/>
    <w:rsid w:val="00536896"/>
    <w:rsid w:val="005656AB"/>
    <w:rsid w:val="005827B4"/>
    <w:rsid w:val="005E0A87"/>
    <w:rsid w:val="00621EDF"/>
    <w:rsid w:val="007216D1"/>
    <w:rsid w:val="00763CB3"/>
    <w:rsid w:val="00795C11"/>
    <w:rsid w:val="00810ADD"/>
    <w:rsid w:val="00846F01"/>
    <w:rsid w:val="0085178F"/>
    <w:rsid w:val="00893149"/>
    <w:rsid w:val="00916EB0"/>
    <w:rsid w:val="009178EA"/>
    <w:rsid w:val="009E333B"/>
    <w:rsid w:val="009E51BA"/>
    <w:rsid w:val="00A26F4C"/>
    <w:rsid w:val="00A741C5"/>
    <w:rsid w:val="00AA16A6"/>
    <w:rsid w:val="00AB3C53"/>
    <w:rsid w:val="00B67E86"/>
    <w:rsid w:val="00B8357D"/>
    <w:rsid w:val="00BB18E4"/>
    <w:rsid w:val="00C2223A"/>
    <w:rsid w:val="00C814EE"/>
    <w:rsid w:val="00C95CC3"/>
    <w:rsid w:val="00CF7B26"/>
    <w:rsid w:val="00D475E3"/>
    <w:rsid w:val="00D570D8"/>
    <w:rsid w:val="00D76CF9"/>
    <w:rsid w:val="00DB23B0"/>
    <w:rsid w:val="00DC3BA2"/>
    <w:rsid w:val="00E36D1D"/>
    <w:rsid w:val="00E5669F"/>
    <w:rsid w:val="00EA3CED"/>
    <w:rsid w:val="00ED2837"/>
    <w:rsid w:val="00F044D6"/>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C95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CC3"/>
  </w:style>
  <w:style w:type="character" w:styleId="Hyperlink">
    <w:name w:val="Hyperlink"/>
    <w:basedOn w:val="DefaultParagraphFont"/>
    <w:uiPriority w:val="99"/>
    <w:unhideWhenUsed/>
    <w:rsid w:val="00916EB0"/>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ronis.com/en-gb/blog/posts/nhs-cyber-attack/" TargetMode="External"/><Relationship Id="rId18" Type="http://schemas.openxmlformats.org/officeDocument/2006/relationships/hyperlink" Target="https://www-tandfonline-com.ezproxy.uwtsd.ac.uk/doi/full/10.1080/0144929X.2021.1905066" TargetMode="External"/><Relationship Id="rId26" Type="http://schemas.openxmlformats.org/officeDocument/2006/relationships/hyperlink" Target="https://journals.sagepub.com/doi/abs/10.1177/0022427804266544" TargetMode="External"/><Relationship Id="rId39" Type="http://schemas.openxmlformats.org/officeDocument/2006/relationships/header" Target="header5.xml"/><Relationship Id="rId21" Type="http://schemas.openxmlformats.org/officeDocument/2006/relationships/hyperlink" Target="https://www.ncsc.gov.uk/guidance/phishing" TargetMode="External"/><Relationship Id="rId34" Type="http://schemas.openxmlformats.org/officeDocument/2006/relationships/footer" Target="footer1.xml"/><Relationship Id="rId42" Type="http://schemas.openxmlformats.org/officeDocument/2006/relationships/header" Target="header6.xml"/><Relationship Id="rId47" Type="http://schemas.openxmlformats.org/officeDocument/2006/relationships/footer" Target="footer8.xml"/><Relationship Id="rId50" Type="http://schemas.openxmlformats.org/officeDocument/2006/relationships/header" Target="header10.xml"/><Relationship Id="rId55" Type="http://schemas.openxmlformats.org/officeDocument/2006/relationships/footer" Target="footer12.xml"/><Relationship Id="rId7" Type="http://schemas.openxmlformats.org/officeDocument/2006/relationships/webSettings" Target="webSettings.xml"/><Relationship Id="rId12" Type="http://schemas.openxmlformats.org/officeDocument/2006/relationships/hyperlink" Target="https://www.cps.gov.uk/crime-info/cyber-online-crime" TargetMode="External"/><Relationship Id="rId17" Type="http://schemas.openxmlformats.org/officeDocument/2006/relationships/hyperlink" Target="https://www-tandfonline-com.ezproxy.uwtsd.ac.uk/doi/full/10.1080/0144929X.2021.1905066" TargetMode="External"/><Relationship Id="rId25" Type="http://schemas.openxmlformats.org/officeDocument/2006/relationships/hyperlink" Target="https://journals.sagepub.com/doi/abs/10.1177/0022427804266544" TargetMode="External"/><Relationship Id="rId33" Type="http://schemas.openxmlformats.org/officeDocument/2006/relationships/header" Target="header2.xml"/><Relationship Id="rId38" Type="http://schemas.openxmlformats.org/officeDocument/2006/relationships/header" Target="header4.xml"/><Relationship Id="rId46"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hyperlink" Target="https://www-tandfonline-com.ezproxy.uwtsd.ac.uk/doi/full/10.1080/0144929X.2021.1905066" TargetMode="External"/><Relationship Id="rId20" Type="http://schemas.openxmlformats.org/officeDocument/2006/relationships/hyperlink" Target="https://ideas.ted.com/why-we-fall-for-phishing-emails-and-how-we-can-protect-ourselves/" TargetMode="External"/><Relationship Id="rId29" Type="http://schemas.openxmlformats.org/officeDocument/2006/relationships/hyperlink" Target="http://www.avast.com/c-hide-my-ip-address" TargetMode="External"/><Relationship Id="rId41" Type="http://schemas.openxmlformats.org/officeDocument/2006/relationships/footer" Target="footer5.xml"/><Relationship Id="rId54"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justiceinspectorates.gov.uk/hmicfrs/wp-content/uploads/cyber-keep-the-light-on-an-inspection-of-the-police-response-to-cyber-dependent-crime.pdf" TargetMode="External"/><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footer" Target="footer4.xml"/><Relationship Id="rId45" Type="http://schemas.openxmlformats.org/officeDocument/2006/relationships/header" Target="header8.xml"/><Relationship Id="rId53" Type="http://schemas.openxmlformats.org/officeDocument/2006/relationships/footer" Target="footer11.xml"/><Relationship Id="rId5" Type="http://schemas.openxmlformats.org/officeDocument/2006/relationships/styles" Target="styles.xml"/><Relationship Id="rId15" Type="http://schemas.openxmlformats.org/officeDocument/2006/relationships/hyperlink" Target="https://www-tandfonline-com.ezproxy.uwtsd.ac.uk/doi/full/10.1080/14616696.2020.1804973?src=recsys" TargetMode="External"/><Relationship Id="rId23" Type="http://schemas.openxmlformats.org/officeDocument/2006/relationships/hyperlink" Target="https://www.ons.gov.uk/peoplepopulationandcommunity/crimeandjustice/bulletins/crimeinenglandandwales/yearendingmarch2022" TargetMode="External"/><Relationship Id="rId28" Type="http://schemas.openxmlformats.org/officeDocument/2006/relationships/hyperlink" Target="http://www.cps.gov.uk/crime-info/cyber-online-crime.%20Accessed%2024%20July%202022" TargetMode="External"/><Relationship Id="rId36" Type="http://schemas.openxmlformats.org/officeDocument/2006/relationships/header" Target="header3.xml"/><Relationship Id="rId49" Type="http://schemas.openxmlformats.org/officeDocument/2006/relationships/footer" Target="footer9.xml"/><Relationship Id="rId57"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tandfonline-com.ezproxy.uwtsd.ac.uk/doi/full/10.1080/0144929X.2021.1905066" TargetMode="External"/><Relationship Id="rId31" Type="http://schemas.openxmlformats.org/officeDocument/2006/relationships/hyperlink" Target="https://doi-org.ezproxy.uwtsd.ac.uk/10.1080/15614263.2018.1507888" TargetMode="External"/><Relationship Id="rId44" Type="http://schemas.openxmlformats.org/officeDocument/2006/relationships/header" Target="header7.xml"/><Relationship Id="rId52" Type="http://schemas.openxmlformats.org/officeDocument/2006/relationships/footer" Target="footer10.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hedefenceworks.com/blog/why-cybercrime-is-difficult-to-eradicate/" TargetMode="External"/><Relationship Id="rId22" Type="http://schemas.openxmlformats.org/officeDocument/2006/relationships/hyperlink" Target="https://www.legislation.gov.uk/ukpga/1990/18/contents" TargetMode="External"/><Relationship Id="rId27" Type="http://schemas.openxmlformats.org/officeDocument/2006/relationships/hyperlink" Target="https://journals.sagepub.com/doi/abs/10.1177/0022427804266544" TargetMode="External"/><Relationship Id="rId30" Type="http://schemas.openxmlformats.org/officeDocument/2006/relationships/hyperlink" Target="https://doi-org.ezproxy.uwtsd.ac.uk/10.1080/0144929X.2021.1905066" TargetMode="External"/><Relationship Id="rId35" Type="http://schemas.openxmlformats.org/officeDocument/2006/relationships/footer" Target="footer2.xml"/><Relationship Id="rId43" Type="http://schemas.openxmlformats.org/officeDocument/2006/relationships/footer" Target="footer6.xml"/><Relationship Id="rId48" Type="http://schemas.openxmlformats.org/officeDocument/2006/relationships/header" Target="header9.xm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eader" Target="head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DE45B5-FABA-4727-935C-66B04A5C5E54}">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24</Pages>
  <Words>9102</Words>
  <Characters>51886</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Robson,Sarah swp6857</cp:lastModifiedBy>
  <cp:revision>6</cp:revision>
  <cp:lastPrinted>2020-03-18T13:24:00Z</cp:lastPrinted>
  <dcterms:created xsi:type="dcterms:W3CDTF">2022-01-12T12:17:00Z</dcterms:created>
  <dcterms:modified xsi:type="dcterms:W3CDTF">2022-09-05T13:05:00Z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825a88bd-d04c-4e03-a2f7-bd44cde985d0</vt:lpwstr>
  </property>
  <property fmtid="{D5CDD505-2E9C-101B-9397-08002B2CF9AE}" pid="4" name="Classification">
    <vt:lpwstr>OFFICIAL</vt:lpwstr>
  </property>
  <property fmtid="{D5CDD505-2E9C-101B-9397-08002B2CF9AE}" pid="5" name="Visibility">
    <vt:lpwstr>NOT VISIBLE</vt:lpwstr>
  </property>
</Properties>
</file>