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1465580</wp:posOffset>
            </wp:positionH>
            <wp:positionV relativeFrom="paragraph">
              <wp:posOffset>11575</wp:posOffset>
            </wp:positionV>
            <wp:extent cx="2800350" cy="1246505"/>
            <wp:effectExtent b="0" l="0" r="0" t="0"/>
            <wp:wrapSquare wrapText="bothSides" distB="0" distT="0" distL="114300" distR="114300"/>
            <wp:docPr descr="Text&#10;&#10;Description automatically generated" id="1" name="image1.png"/>
            <a:graphic>
              <a:graphicData uri="http://schemas.openxmlformats.org/drawingml/2006/picture">
                <pic:pic>
                  <pic:nvPicPr>
                    <pic:cNvPr descr="Text&#10;&#10;Description automatically generated" id="0" name="image1.png"/>
                    <pic:cNvPicPr preferRelativeResize="0"/>
                  </pic:nvPicPr>
                  <pic:blipFill>
                    <a:blip r:embed="rId6"/>
                    <a:srcRect b="0" l="0" r="0" t="0"/>
                    <a:stretch>
                      <a:fillRect/>
                    </a:stretch>
                  </pic:blipFill>
                  <pic:spPr>
                    <a:xfrm>
                      <a:off x="0" y="0"/>
                      <a:ext cx="2800350" cy="1246505"/>
                    </a:xfrm>
                    <a:prstGeom prst="rect"/>
                    <a:ln/>
                  </pic:spPr>
                </pic:pic>
              </a:graphicData>
            </a:graphic>
          </wp:anchor>
        </w:drawing>
      </w:r>
    </w:p>
    <w:p w:rsidR="00000000" w:rsidDel="00000000" w:rsidP="00000000" w:rsidRDefault="00000000" w:rsidRPr="00000000" w14:paraId="00000002">
      <w:pPr>
        <w:rPr>
          <w:rFonts w:ascii="Arial" w:cs="Arial" w:eastAsia="Arial" w:hAnsi="Arial"/>
        </w:rPr>
      </w:pP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tl w:val="0"/>
        </w:rPr>
      </w:r>
    </w:p>
    <w:p w:rsidR="00000000" w:rsidDel="00000000" w:rsidP="00000000" w:rsidRDefault="00000000" w:rsidRPr="00000000" w14:paraId="00000004">
      <w:pPr>
        <w:rPr>
          <w:rFonts w:ascii="Arial" w:cs="Arial" w:eastAsia="Arial" w:hAnsi="Arial"/>
        </w:rPr>
      </w:pPr>
      <w:r w:rsidDel="00000000" w:rsidR="00000000" w:rsidRPr="00000000">
        <w:rPr>
          <w:rtl w:val="0"/>
        </w:rPr>
      </w:r>
    </w:p>
    <w:p w:rsidR="00000000" w:rsidDel="00000000" w:rsidP="00000000" w:rsidRDefault="00000000" w:rsidRPr="00000000" w14:paraId="00000005">
      <w:pPr>
        <w:rPr>
          <w:rFonts w:ascii="Arial" w:cs="Arial" w:eastAsia="Arial" w:hAnsi="Arial"/>
        </w:rPr>
      </w:pPr>
      <w:r w:rsidDel="00000000" w:rsidR="00000000" w:rsidRPr="00000000">
        <w:rPr>
          <w:rtl w:val="0"/>
        </w:rPr>
      </w:r>
    </w:p>
    <w:p w:rsidR="00000000" w:rsidDel="00000000" w:rsidP="00000000" w:rsidRDefault="00000000" w:rsidRPr="00000000" w14:paraId="00000006">
      <w:pPr>
        <w:rPr>
          <w:rFonts w:ascii="Arial" w:cs="Arial" w:eastAsia="Arial" w:hAnsi="Arial"/>
        </w:rPr>
      </w:pPr>
      <w:r w:rsidDel="00000000" w:rsidR="00000000" w:rsidRPr="00000000">
        <w:rPr>
          <w:rtl w:val="0"/>
        </w:rPr>
      </w:r>
    </w:p>
    <w:p w:rsidR="00000000" w:rsidDel="00000000" w:rsidP="00000000" w:rsidRDefault="00000000" w:rsidRPr="00000000" w14:paraId="00000007">
      <w:pPr>
        <w:spacing w:after="0" w:line="240" w:lineRule="auto"/>
        <w:jc w:val="center"/>
        <w:rPr>
          <w:rFonts w:ascii="Arial" w:cs="Arial" w:eastAsia="Arial" w:hAnsi="Arial"/>
          <w:b w:val="1"/>
        </w:rPr>
      </w:pPr>
      <w:bookmarkStart w:colFirst="0" w:colLast="0" w:name="_gjdgxs" w:id="0"/>
      <w:bookmarkEnd w:id="0"/>
      <w:r w:rsidDel="00000000" w:rsidR="00000000" w:rsidRPr="00000000">
        <w:rPr>
          <w:rFonts w:ascii="Arial" w:cs="Arial" w:eastAsia="Arial" w:hAnsi="Arial"/>
          <w:b w:val="1"/>
          <w:rtl w:val="0"/>
        </w:rPr>
        <w:t xml:space="preserve">Children, Young People and Families</w:t>
      </w:r>
    </w:p>
    <w:p w:rsidR="00000000" w:rsidDel="00000000" w:rsidP="00000000" w:rsidRDefault="00000000" w:rsidRPr="00000000" w14:paraId="00000008">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(BMHP5004_LON)</w:t>
      </w:r>
    </w:p>
    <w:p w:rsidR="00000000" w:rsidDel="00000000" w:rsidP="00000000" w:rsidRDefault="00000000" w:rsidRPr="00000000" w14:paraId="00000009">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A">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B">
      <w:pPr>
        <w:spacing w:after="0" w:line="240" w:lineRule="auto"/>
        <w:jc w:val="center"/>
        <w:rPr>
          <w:rFonts w:ascii="Arial" w:cs="Arial" w:eastAsia="Arial" w:hAnsi="Arial"/>
          <w:b w:val="1"/>
          <w:u w:val="single"/>
        </w:rPr>
      </w:pPr>
      <w:r w:rsidDel="00000000" w:rsidR="00000000" w:rsidRPr="00000000">
        <w:rPr>
          <w:rFonts w:ascii="Arial" w:cs="Arial" w:eastAsia="Arial" w:hAnsi="Arial"/>
          <w:b w:val="1"/>
          <w:u w:val="single"/>
          <w:rtl w:val="0"/>
        </w:rPr>
        <w:t xml:space="preserve">Assessment Component 1 </w:t>
      </w:r>
    </w:p>
    <w:p w:rsidR="00000000" w:rsidDel="00000000" w:rsidP="00000000" w:rsidRDefault="00000000" w:rsidRPr="00000000" w14:paraId="0000000C">
      <w:pPr>
        <w:spacing w:after="0" w:line="240" w:lineRule="auto"/>
        <w:jc w:val="center"/>
        <w:rPr>
          <w:rFonts w:ascii="Arial" w:cs="Arial" w:eastAsia="Arial" w:hAnsi="Arial"/>
          <w:b w:val="1"/>
          <w:u w:val="single"/>
        </w:rPr>
      </w:pPr>
      <w:r w:rsidDel="00000000" w:rsidR="00000000" w:rsidRPr="00000000">
        <w:rPr>
          <w:rtl w:val="0"/>
        </w:rPr>
      </w:r>
    </w:p>
    <w:p w:rsidR="00000000" w:rsidDel="00000000" w:rsidP="00000000" w:rsidRDefault="00000000" w:rsidRPr="00000000" w14:paraId="0000000D">
      <w:pPr>
        <w:spacing w:after="0" w:line="240" w:lineRule="auto"/>
        <w:jc w:val="center"/>
        <w:rPr>
          <w:rFonts w:ascii="Arial" w:cs="Arial" w:eastAsia="Arial" w:hAnsi="Arial"/>
          <w:b w:val="1"/>
          <w:u w:val="single"/>
        </w:rPr>
      </w:pPr>
      <w:r w:rsidDel="00000000" w:rsidR="00000000" w:rsidRPr="00000000">
        <w:rPr>
          <w:rFonts w:ascii="Arial" w:cs="Arial" w:eastAsia="Arial" w:hAnsi="Arial"/>
          <w:b w:val="1"/>
          <w:u w:val="single"/>
          <w:rtl w:val="0"/>
        </w:rPr>
        <w:t xml:space="preserve">Case study - Written Report</w:t>
      </w:r>
    </w:p>
    <w:p w:rsidR="00000000" w:rsidDel="00000000" w:rsidP="00000000" w:rsidRDefault="00000000" w:rsidRPr="00000000" w14:paraId="0000000E">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F">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Student name: Stoyan Grozdanov</w:t>
      </w:r>
    </w:p>
    <w:p w:rsidR="00000000" w:rsidDel="00000000" w:rsidP="00000000" w:rsidRDefault="00000000" w:rsidRPr="00000000" w14:paraId="00000010">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1">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Student number: 1913753</w:t>
      </w:r>
    </w:p>
    <w:p w:rsidR="00000000" w:rsidDel="00000000" w:rsidP="00000000" w:rsidRDefault="00000000" w:rsidRPr="00000000" w14:paraId="00000012">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3">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Group: 1</w:t>
      </w:r>
    </w:p>
    <w:p w:rsidR="00000000" w:rsidDel="00000000" w:rsidP="00000000" w:rsidRDefault="00000000" w:rsidRPr="00000000" w14:paraId="00000014">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5">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Lecturer name: Bianca Sanfilippo </w:t>
      </w:r>
    </w:p>
    <w:p w:rsidR="00000000" w:rsidDel="00000000" w:rsidP="00000000" w:rsidRDefault="00000000" w:rsidRPr="00000000" w14:paraId="00000016">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7">
      <w:pPr>
        <w:rPr>
          <w:rFonts w:ascii="Arial" w:cs="Arial" w:eastAsia="Arial" w:hAnsi="Arial"/>
          <w:b w:val="1"/>
        </w:rPr>
      </w:pPr>
      <w:r w:rsidDel="00000000" w:rsidR="00000000" w:rsidRPr="00000000">
        <w:rPr>
          <w:rFonts w:ascii="Arial" w:cs="Arial" w:eastAsia="Arial" w:hAnsi="Arial"/>
          <w:b w:val="1"/>
          <w:rtl w:val="0"/>
        </w:rPr>
        <w:t xml:space="preserve">Submission Date: 23/08/2021</w:t>
      </w:r>
    </w:p>
    <w:p w:rsidR="00000000" w:rsidDel="00000000" w:rsidP="00000000" w:rsidRDefault="00000000" w:rsidRPr="00000000" w14:paraId="00000018">
      <w:pPr>
        <w:rPr>
          <w:rFonts w:ascii="Arial" w:cs="Arial" w:eastAsia="Arial" w:hAnsi="Arial"/>
          <w:b w:val="1"/>
        </w:rPr>
      </w:pPr>
      <w:r w:rsidDel="00000000" w:rsidR="00000000" w:rsidRPr="00000000">
        <w:rPr>
          <w:rtl w:val="0"/>
        </w:rPr>
      </w:r>
    </w:p>
    <w:tbl>
      <w:tblPr>
        <w:tblStyle w:val="Table1"/>
        <w:tblW w:w="926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265"/>
        <w:tblGridChange w:id="0">
          <w:tblGrid>
            <w:gridCol w:w="9265"/>
          </w:tblGrid>
        </w:tblGridChange>
      </w:tblGrid>
      <w:tr>
        <w:trPr>
          <w:cantSplit w:val="0"/>
          <w:tblHeader w:val="0"/>
        </w:trPr>
        <w:tc>
          <w:tcPr/>
          <w:p w:rsidR="00000000" w:rsidDel="00000000" w:rsidP="00000000" w:rsidRDefault="00000000" w:rsidRPr="00000000" w14:paraId="00000019">
            <w:pPr>
              <w:rPr>
                <w:rFonts w:ascii="Arial" w:cs="Arial" w:eastAsia="Arial" w:hAnsi="Arial"/>
                <w:b w:val="1"/>
              </w:rPr>
            </w:pPr>
            <w:r w:rsidDel="00000000" w:rsidR="00000000" w:rsidRPr="00000000">
              <w:rPr>
                <w:rFonts w:ascii="Arial" w:cs="Arial" w:eastAsia="Arial" w:hAnsi="Arial"/>
                <w:b w:val="1"/>
                <w:rtl w:val="0"/>
              </w:rPr>
              <w:t xml:space="preserve">Learner declaration</w:t>
            </w:r>
          </w:p>
        </w:tc>
      </w:tr>
      <w:tr>
        <w:trPr>
          <w:cantSplit w:val="0"/>
          <w:tblHeader w:val="0"/>
        </w:trPr>
        <w:tc>
          <w:tcPr/>
          <w:p w:rsidR="00000000" w:rsidDel="00000000" w:rsidP="00000000" w:rsidRDefault="00000000" w:rsidRPr="00000000" w14:paraId="0000001A">
            <w:pPr>
              <w:rPr>
                <w:rFonts w:ascii="Arial" w:cs="Arial" w:eastAsia="Arial" w:hAnsi="Arial"/>
              </w:rPr>
            </w:pPr>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Fonts w:ascii="Arial" w:cs="Arial" w:eastAsia="Arial" w:hAnsi="Arial"/>
                <w:rtl w:val="0"/>
              </w:rPr>
              <w:t xml:space="preserve">This assignment is my own original work. No part of this work has been copied from any other source or person except where due acknowledgement is made, and no part of the work has been previously submitted for assessment at this or any other institution. I have read the Student Academic Integrity Policy and understand its implications. </w:t>
            </w:r>
          </w:p>
          <w:p w:rsidR="00000000" w:rsidDel="00000000" w:rsidP="00000000" w:rsidRDefault="00000000" w:rsidRPr="00000000" w14:paraId="0000001C">
            <w:pPr>
              <w:rPr>
                <w:rFonts w:ascii="Arial" w:cs="Arial" w:eastAsia="Arial" w:hAnsi="Arial"/>
              </w:rPr>
            </w:pPr>
            <w:r w:rsidDel="00000000" w:rsidR="00000000" w:rsidRPr="00000000">
              <w:rPr>
                <w:rFonts w:ascii="Arial" w:cs="Arial" w:eastAsia="Arial" w:hAnsi="Arial"/>
                <w:rtl w:val="0"/>
              </w:rPr>
              <w:t xml:space="preserve">Student signature: </w:t>
              <w:tab/>
              <w:t xml:space="preserve">                                             Date:</w:t>
            </w:r>
          </w:p>
        </w:tc>
      </w:tr>
    </w:tbl>
    <w:p w:rsidR="00000000" w:rsidDel="00000000" w:rsidP="00000000" w:rsidRDefault="00000000" w:rsidRPr="00000000" w14:paraId="0000001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E">
      <w:pPr>
        <w:spacing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F">
      <w:pPr>
        <w:keepNext w:val="1"/>
        <w:keepLines w:val="1"/>
        <w:pBdr>
          <w:top w:space="0" w:sz="0" w:val="nil"/>
          <w:left w:space="0" w:sz="0" w:val="nil"/>
          <w:bottom w:space="0" w:sz="0" w:val="nil"/>
          <w:right w:space="0" w:sz="0" w:val="nil"/>
          <w:between w:space="0" w:sz="0" w:val="nil"/>
        </w:pBdr>
        <w:spacing w:after="0" w:before="240" w:line="360" w:lineRule="auto"/>
        <w:rPr>
          <w:rFonts w:ascii="Arial" w:cs="Arial" w:eastAsia="Arial" w:hAnsi="Arial"/>
          <w:b w:val="1"/>
          <w:color w:val="000000"/>
        </w:rPr>
      </w:pPr>
      <w:r w:rsidDel="00000000" w:rsidR="00000000" w:rsidRPr="00000000">
        <w:rPr>
          <w:rFonts w:ascii="Arial" w:cs="Arial" w:eastAsia="Arial" w:hAnsi="Arial"/>
          <w:b w:val="1"/>
          <w:color w:val="000000"/>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0">
          <w:pPr>
            <w:pBdr>
              <w:top w:space="0" w:sz="0" w:val="nil"/>
              <w:left w:space="0" w:sz="0" w:val="nil"/>
              <w:bottom w:space="0" w:sz="0" w:val="nil"/>
              <w:right w:space="0" w:sz="0" w:val="nil"/>
              <w:between w:space="0" w:sz="0" w:val="nil"/>
            </w:pBdr>
            <w:tabs>
              <w:tab w:val="right" w:pos="9350"/>
            </w:tabs>
            <w:spacing w:after="100" w:line="360" w:lineRule="auto"/>
            <w:rPr>
              <w:rFonts w:ascii="Arial" w:cs="Arial" w:eastAsia="Arial" w:hAnsi="Arial"/>
              <w:color w:val="000000"/>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color w:val="000000"/>
                <w:rtl w:val="0"/>
              </w:rPr>
              <w:t xml:space="preserve">Introduction</w:t>
              <w:tab/>
              <w:t xml:space="preserve">3</w:t>
            </w:r>
          </w:hyperlink>
          <w:r w:rsidDel="00000000" w:rsidR="00000000" w:rsidRPr="00000000">
            <w:rPr>
              <w:rtl w:val="0"/>
            </w:rPr>
          </w:r>
        </w:p>
        <w:p w:rsidR="00000000" w:rsidDel="00000000" w:rsidP="00000000" w:rsidRDefault="00000000" w:rsidRPr="00000000" w14:paraId="00000021">
          <w:pPr>
            <w:pBdr>
              <w:top w:space="0" w:sz="0" w:val="nil"/>
              <w:left w:space="0" w:sz="0" w:val="nil"/>
              <w:bottom w:space="0" w:sz="0" w:val="nil"/>
              <w:right w:space="0" w:sz="0" w:val="nil"/>
              <w:between w:space="0" w:sz="0" w:val="nil"/>
            </w:pBdr>
            <w:tabs>
              <w:tab w:val="right" w:pos="9350"/>
            </w:tabs>
            <w:spacing w:after="100" w:line="360" w:lineRule="auto"/>
            <w:rPr>
              <w:rFonts w:ascii="Arial" w:cs="Arial" w:eastAsia="Arial" w:hAnsi="Arial"/>
              <w:color w:val="000000"/>
            </w:rPr>
          </w:pPr>
          <w:hyperlink w:anchor="_1fob9te">
            <w:r w:rsidDel="00000000" w:rsidR="00000000" w:rsidRPr="00000000">
              <w:rPr>
                <w:rFonts w:ascii="Arial" w:cs="Arial" w:eastAsia="Arial" w:hAnsi="Arial"/>
                <w:color w:val="000000"/>
                <w:highlight w:val="white"/>
                <w:rtl w:val="0"/>
              </w:rPr>
              <w:t xml:space="preserve">Definition</w:t>
            </w:r>
          </w:hyperlink>
          <w:hyperlink w:anchor="_1fob9te">
            <w:r w:rsidDel="00000000" w:rsidR="00000000" w:rsidRPr="00000000">
              <w:rPr>
                <w:rFonts w:ascii="Arial" w:cs="Arial" w:eastAsia="Arial" w:hAnsi="Arial"/>
                <w:color w:val="000000"/>
                <w:rtl w:val="0"/>
              </w:rPr>
              <w:tab/>
              <w:t xml:space="preserve">3</w:t>
            </w:r>
          </w:hyperlink>
          <w:r w:rsidDel="00000000" w:rsidR="00000000" w:rsidRPr="00000000">
            <w:rPr>
              <w:rtl w:val="0"/>
            </w:rPr>
          </w:r>
        </w:p>
        <w:p w:rsidR="00000000" w:rsidDel="00000000" w:rsidP="00000000" w:rsidRDefault="00000000" w:rsidRPr="00000000" w14:paraId="00000022">
          <w:pPr>
            <w:pBdr>
              <w:top w:space="0" w:sz="0" w:val="nil"/>
              <w:left w:space="0" w:sz="0" w:val="nil"/>
              <w:bottom w:space="0" w:sz="0" w:val="nil"/>
              <w:right w:space="0" w:sz="0" w:val="nil"/>
              <w:between w:space="0" w:sz="0" w:val="nil"/>
            </w:pBdr>
            <w:tabs>
              <w:tab w:val="right" w:pos="9350"/>
            </w:tabs>
            <w:spacing w:after="100" w:line="360" w:lineRule="auto"/>
            <w:rPr>
              <w:rFonts w:ascii="Arial" w:cs="Arial" w:eastAsia="Arial" w:hAnsi="Arial"/>
              <w:color w:val="000000"/>
            </w:rPr>
          </w:pPr>
          <w:hyperlink w:anchor="_3znysh7">
            <w:r w:rsidDel="00000000" w:rsidR="00000000" w:rsidRPr="00000000">
              <w:rPr>
                <w:rFonts w:ascii="Arial" w:cs="Arial" w:eastAsia="Arial" w:hAnsi="Arial"/>
                <w:color w:val="000000"/>
                <w:highlight w:val="white"/>
                <w:rtl w:val="0"/>
              </w:rPr>
              <w:t xml:space="preserve">Case Study: Critical Discussion of the Issues Faced in the Target Group</w:t>
            </w:r>
          </w:hyperlink>
          <w:hyperlink w:anchor="_3znysh7">
            <w:r w:rsidDel="00000000" w:rsidR="00000000" w:rsidRPr="00000000">
              <w:rPr>
                <w:rFonts w:ascii="Arial" w:cs="Arial" w:eastAsia="Arial" w:hAnsi="Arial"/>
                <w:color w:val="000000"/>
                <w:rtl w:val="0"/>
              </w:rPr>
              <w:tab/>
              <w:t xml:space="preserve">4</w:t>
            </w:r>
          </w:hyperlink>
          <w:r w:rsidDel="00000000" w:rsidR="00000000" w:rsidRPr="00000000">
            <w:rPr>
              <w:rtl w:val="0"/>
            </w:rPr>
          </w:r>
        </w:p>
        <w:p w:rsidR="00000000" w:rsidDel="00000000" w:rsidP="00000000" w:rsidRDefault="00000000" w:rsidRPr="00000000" w14:paraId="00000023">
          <w:pPr>
            <w:pBdr>
              <w:top w:space="0" w:sz="0" w:val="nil"/>
              <w:left w:space="0" w:sz="0" w:val="nil"/>
              <w:bottom w:space="0" w:sz="0" w:val="nil"/>
              <w:right w:space="0" w:sz="0" w:val="nil"/>
              <w:between w:space="0" w:sz="0" w:val="nil"/>
            </w:pBdr>
            <w:tabs>
              <w:tab w:val="right" w:pos="9350"/>
            </w:tabs>
            <w:spacing w:after="100" w:line="360" w:lineRule="auto"/>
            <w:rPr>
              <w:rFonts w:ascii="Arial" w:cs="Arial" w:eastAsia="Arial" w:hAnsi="Arial"/>
              <w:color w:val="000000"/>
            </w:rPr>
          </w:pPr>
          <w:hyperlink w:anchor="_2et92p0">
            <w:r w:rsidDel="00000000" w:rsidR="00000000" w:rsidRPr="00000000">
              <w:rPr>
                <w:rFonts w:ascii="Arial" w:cs="Arial" w:eastAsia="Arial" w:hAnsi="Arial"/>
                <w:color w:val="000000"/>
                <w:rtl w:val="0"/>
              </w:rPr>
              <w:t xml:space="preserve">Analysis: The Assessment, Intervention of Multi-Agency and Results</w:t>
              <w:tab/>
              <w:t xml:space="preserve">7</w:t>
            </w:r>
          </w:hyperlink>
          <w:r w:rsidDel="00000000" w:rsidR="00000000" w:rsidRPr="00000000">
            <w:rPr>
              <w:rtl w:val="0"/>
            </w:rPr>
          </w:r>
        </w:p>
        <w:p w:rsidR="00000000" w:rsidDel="00000000" w:rsidP="00000000" w:rsidRDefault="00000000" w:rsidRPr="00000000" w14:paraId="00000024">
          <w:pPr>
            <w:pBdr>
              <w:top w:space="0" w:sz="0" w:val="nil"/>
              <w:left w:space="0" w:sz="0" w:val="nil"/>
              <w:bottom w:space="0" w:sz="0" w:val="nil"/>
              <w:right w:space="0" w:sz="0" w:val="nil"/>
              <w:between w:space="0" w:sz="0" w:val="nil"/>
            </w:pBdr>
            <w:tabs>
              <w:tab w:val="right" w:pos="9350"/>
            </w:tabs>
            <w:spacing w:after="100" w:line="360" w:lineRule="auto"/>
            <w:rPr>
              <w:rFonts w:ascii="Arial" w:cs="Arial" w:eastAsia="Arial" w:hAnsi="Arial"/>
              <w:color w:val="000000"/>
            </w:rPr>
          </w:pPr>
          <w:hyperlink w:anchor="_tyjcwt">
            <w:r w:rsidDel="00000000" w:rsidR="00000000" w:rsidRPr="00000000">
              <w:rPr>
                <w:rFonts w:ascii="Arial" w:cs="Arial" w:eastAsia="Arial" w:hAnsi="Arial"/>
                <w:color w:val="000000"/>
                <w:rtl w:val="0"/>
              </w:rPr>
              <w:t xml:space="preserve">Evaluation</w:t>
              <w:tab/>
              <w:t xml:space="preserve">9</w:t>
            </w:r>
          </w:hyperlink>
          <w:r w:rsidDel="00000000" w:rsidR="00000000" w:rsidRPr="00000000">
            <w:rPr>
              <w:rtl w:val="0"/>
            </w:rPr>
          </w:r>
        </w:p>
        <w:p w:rsidR="00000000" w:rsidDel="00000000" w:rsidP="00000000" w:rsidRDefault="00000000" w:rsidRPr="00000000" w14:paraId="00000025">
          <w:pPr>
            <w:pBdr>
              <w:top w:space="0" w:sz="0" w:val="nil"/>
              <w:left w:space="0" w:sz="0" w:val="nil"/>
              <w:bottom w:space="0" w:sz="0" w:val="nil"/>
              <w:right w:space="0" w:sz="0" w:val="nil"/>
              <w:between w:space="0" w:sz="0" w:val="nil"/>
            </w:pBdr>
            <w:tabs>
              <w:tab w:val="right" w:pos="9350"/>
            </w:tabs>
            <w:spacing w:after="100" w:line="360" w:lineRule="auto"/>
            <w:rPr>
              <w:rFonts w:ascii="Arial" w:cs="Arial" w:eastAsia="Arial" w:hAnsi="Arial"/>
              <w:color w:val="000000"/>
            </w:rPr>
          </w:pPr>
          <w:hyperlink w:anchor="_3dy6vkm">
            <w:r w:rsidDel="00000000" w:rsidR="00000000" w:rsidRPr="00000000">
              <w:rPr>
                <w:rFonts w:ascii="Arial" w:cs="Arial" w:eastAsia="Arial" w:hAnsi="Arial"/>
                <w:color w:val="000000"/>
                <w:highlight w:val="white"/>
                <w:rtl w:val="0"/>
              </w:rPr>
              <w:t xml:space="preserve">Conclusion</w:t>
            </w:r>
          </w:hyperlink>
          <w:hyperlink w:anchor="_3dy6vkm">
            <w:r w:rsidDel="00000000" w:rsidR="00000000" w:rsidRPr="00000000">
              <w:rPr>
                <w:rFonts w:ascii="Arial" w:cs="Arial" w:eastAsia="Arial" w:hAnsi="Arial"/>
                <w:color w:val="000000"/>
                <w:rtl w:val="0"/>
              </w:rPr>
              <w:tab/>
              <w:t xml:space="preserve">10</w:t>
            </w:r>
          </w:hyperlink>
          <w:r w:rsidDel="00000000" w:rsidR="00000000" w:rsidRPr="00000000">
            <w:rPr>
              <w:rtl w:val="0"/>
            </w:rPr>
          </w:r>
        </w:p>
        <w:p w:rsidR="00000000" w:rsidDel="00000000" w:rsidP="00000000" w:rsidRDefault="00000000" w:rsidRPr="00000000" w14:paraId="00000026">
          <w:pPr>
            <w:pBdr>
              <w:top w:space="0" w:sz="0" w:val="nil"/>
              <w:left w:space="0" w:sz="0" w:val="nil"/>
              <w:bottom w:space="0" w:sz="0" w:val="nil"/>
              <w:right w:space="0" w:sz="0" w:val="nil"/>
              <w:between w:space="0" w:sz="0" w:val="nil"/>
            </w:pBdr>
            <w:tabs>
              <w:tab w:val="right" w:pos="9350"/>
            </w:tabs>
            <w:spacing w:after="100" w:line="360" w:lineRule="auto"/>
            <w:rPr>
              <w:rFonts w:ascii="Arial" w:cs="Arial" w:eastAsia="Arial" w:hAnsi="Arial"/>
              <w:color w:val="000000"/>
            </w:rPr>
          </w:pPr>
          <w:hyperlink w:anchor="_1t3h5sf">
            <w:r w:rsidDel="00000000" w:rsidR="00000000" w:rsidRPr="00000000">
              <w:rPr>
                <w:rFonts w:ascii="Arial" w:cs="Arial" w:eastAsia="Arial" w:hAnsi="Arial"/>
                <w:color w:val="000000"/>
                <w:highlight w:val="white"/>
                <w:rtl w:val="0"/>
              </w:rPr>
              <w:t xml:space="preserve">References</w:t>
            </w:r>
          </w:hyperlink>
          <w:hyperlink w:anchor="_1t3h5sf">
            <w:r w:rsidDel="00000000" w:rsidR="00000000" w:rsidRPr="00000000">
              <w:rPr>
                <w:rFonts w:ascii="Arial" w:cs="Arial" w:eastAsia="Arial" w:hAnsi="Arial"/>
                <w:color w:val="000000"/>
                <w:rtl w:val="0"/>
              </w:rPr>
              <w:tab/>
              <w:t xml:space="preserve">12</w:t>
            </w:r>
          </w:hyperlink>
          <w:r w:rsidDel="00000000" w:rsidR="00000000" w:rsidRPr="00000000">
            <w:rPr>
              <w:rtl w:val="0"/>
            </w:rPr>
          </w:r>
        </w:p>
        <w:p w:rsidR="00000000" w:rsidDel="00000000" w:rsidP="00000000" w:rsidRDefault="00000000" w:rsidRPr="00000000" w14:paraId="00000027">
          <w:pPr>
            <w:spacing w:line="360" w:lineRule="auto"/>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spacing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29">
      <w:pPr>
        <w:spacing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2A">
      <w:pPr>
        <w:spacing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2B">
      <w:pPr>
        <w:spacing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2C">
      <w:pPr>
        <w:spacing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2D">
      <w:pPr>
        <w:spacing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2E">
      <w:pPr>
        <w:spacing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2F">
      <w:pPr>
        <w:pStyle w:val="Heading1"/>
        <w:spacing w:line="360" w:lineRule="auto"/>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31">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Case Study on Children, Young People and Families Poverty</w:t>
      </w:r>
    </w:p>
    <w:p w:rsidR="00000000" w:rsidDel="00000000" w:rsidP="00000000" w:rsidRDefault="00000000" w:rsidRPr="00000000" w14:paraId="00000032">
      <w:pPr>
        <w:pStyle w:val="Heading1"/>
        <w:spacing w:line="360" w:lineRule="auto"/>
        <w:rPr>
          <w:rFonts w:ascii="Arial" w:cs="Arial" w:eastAsia="Arial" w:hAnsi="Arial"/>
          <w:b w:val="1"/>
          <w:color w:val="000000"/>
          <w:sz w:val="22"/>
          <w:szCs w:val="22"/>
        </w:rPr>
      </w:pPr>
      <w:bookmarkStart w:colFirst="0" w:colLast="0" w:name="_30j0zll" w:id="1"/>
      <w:bookmarkEnd w:id="1"/>
      <w:r w:rsidDel="00000000" w:rsidR="00000000" w:rsidRPr="00000000">
        <w:rPr>
          <w:rFonts w:ascii="Arial" w:cs="Arial" w:eastAsia="Arial" w:hAnsi="Arial"/>
          <w:b w:val="1"/>
          <w:color w:val="000000"/>
          <w:sz w:val="22"/>
          <w:szCs w:val="22"/>
          <w:rtl w:val="0"/>
        </w:rPr>
        <w:t xml:space="preserve">Introduction</w:t>
      </w:r>
    </w:p>
    <w:p w:rsidR="00000000" w:rsidDel="00000000" w:rsidP="00000000" w:rsidRDefault="00000000" w:rsidRPr="00000000" w14:paraId="00000033">
      <w:pPr>
        <w:spacing w:line="360" w:lineRule="auto"/>
        <w:ind w:firstLine="720"/>
        <w:rPr>
          <w:rFonts w:ascii="Arial" w:cs="Arial" w:eastAsia="Arial" w:hAnsi="Arial"/>
          <w:highlight w:val="white"/>
        </w:rPr>
      </w:pPr>
      <w:r w:rsidDel="00000000" w:rsidR="00000000" w:rsidRPr="00000000">
        <w:rPr>
          <w:rFonts w:ascii="Arial" w:cs="Arial" w:eastAsia="Arial" w:hAnsi="Arial"/>
          <w:highlight w:val="white"/>
          <w:rtl w:val="0"/>
        </w:rPr>
        <w:t xml:space="preserve">Children belonging to a specific age group who are unable to protect themselves from exploitation are classified as vulnerable. This report discusses the vulnerabilities of children who come from single parent households. </w:t>
      </w:r>
    </w:p>
    <w:p w:rsidR="00000000" w:rsidDel="00000000" w:rsidP="00000000" w:rsidRDefault="00000000" w:rsidRPr="00000000" w14:paraId="00000034">
      <w:pPr>
        <w:pStyle w:val="Heading1"/>
        <w:spacing w:line="360" w:lineRule="auto"/>
        <w:rPr>
          <w:rFonts w:ascii="Arial" w:cs="Arial" w:eastAsia="Arial" w:hAnsi="Arial"/>
          <w:b w:val="1"/>
          <w:color w:val="000000"/>
          <w:sz w:val="22"/>
          <w:szCs w:val="22"/>
          <w:highlight w:val="white"/>
        </w:rPr>
      </w:pPr>
      <w:bookmarkStart w:colFirst="0" w:colLast="0" w:name="_1fob9te" w:id="2"/>
      <w:bookmarkEnd w:id="2"/>
      <w:r w:rsidDel="00000000" w:rsidR="00000000" w:rsidRPr="00000000">
        <w:rPr>
          <w:rFonts w:ascii="Arial" w:cs="Arial" w:eastAsia="Arial" w:hAnsi="Arial"/>
          <w:b w:val="1"/>
          <w:color w:val="000000"/>
          <w:sz w:val="22"/>
          <w:szCs w:val="22"/>
          <w:highlight w:val="white"/>
          <w:rtl w:val="0"/>
        </w:rPr>
        <w:t xml:space="preserve">Definition</w:t>
      </w:r>
    </w:p>
    <w:p w:rsidR="00000000" w:rsidDel="00000000" w:rsidP="00000000" w:rsidRDefault="00000000" w:rsidRPr="00000000" w14:paraId="00000035">
      <w:pPr>
        <w:spacing w:line="360" w:lineRule="auto"/>
        <w:ind w:firstLine="720"/>
        <w:rPr>
          <w:rFonts w:ascii="Arial" w:cs="Arial" w:eastAsia="Arial" w:hAnsi="Arial"/>
          <w:highlight w:val="white"/>
        </w:rPr>
      </w:pPr>
      <w:r w:rsidDel="00000000" w:rsidR="00000000" w:rsidRPr="00000000">
        <w:rPr>
          <w:rFonts w:ascii="Arial" w:cs="Arial" w:eastAsia="Arial" w:hAnsi="Arial"/>
          <w:highlight w:val="white"/>
          <w:rtl w:val="0"/>
        </w:rPr>
        <w:t xml:space="preserve">Vulnerability in children can be defined as a child’s predisposition to be negatively affected by their surroundings since the child does not have the capacity to handle the current situation physically, emotionally or mentally (Andresen et al., 2018). This includes children in conflict with the law, children in need of care and protection, children who do not have shelter, children who have been abused, and children who are victims of conflict, trafficking etc.</w:t>
      </w:r>
    </w:p>
    <w:p w:rsidR="00000000" w:rsidDel="00000000" w:rsidP="00000000" w:rsidRDefault="00000000" w:rsidRPr="00000000" w14:paraId="00000036">
      <w:pPr>
        <w:spacing w:line="360" w:lineRule="auto"/>
        <w:ind w:firstLine="720"/>
        <w:rPr>
          <w:rFonts w:ascii="Arial" w:cs="Arial" w:eastAsia="Arial" w:hAnsi="Arial"/>
          <w:highlight w:val="white"/>
        </w:rPr>
      </w:pPr>
      <w:r w:rsidDel="00000000" w:rsidR="00000000" w:rsidRPr="00000000">
        <w:rPr>
          <w:rFonts w:ascii="Arial" w:cs="Arial" w:eastAsia="Arial" w:hAnsi="Arial"/>
          <w:highlight w:val="white"/>
          <w:rtl w:val="0"/>
        </w:rPr>
        <w:t xml:space="preserve">For a very long-time children from single parent households have been considered as vulnerable. Scholars argue that all children are at risk in some way or another, while others stress that some children face much higher risks than other children. Additionally, it has been argued that it should not be viewed as children themselves as being at risk, instead the environments that the children grow into. For example, it could be said that it is the family that is at risk and not specifically the children.                                                                                                                                                                                                                                                                                                                                                                                                                                                                                                                                                                                                                                                                                                                                                                                                                                                                                                                                                                                                                                                                                                                                                                                                                                                                                                                                                                                                                                                                                                                                                                                                                                                                                                                                                                                                                                                                                                                                                                                                                                                                                                                                                                                                                                                                                                                                                                                                                                                                                                                                                                                                                                                                                                                                                                                               </w:t>
      </w:r>
    </w:p>
    <w:p w:rsidR="00000000" w:rsidDel="00000000" w:rsidP="00000000" w:rsidRDefault="00000000" w:rsidRPr="00000000" w14:paraId="00000037">
      <w:pPr>
        <w:spacing w:line="360" w:lineRule="auto"/>
        <w:ind w:firstLine="720"/>
        <w:rPr>
          <w:rFonts w:ascii="Arial" w:cs="Arial" w:eastAsia="Arial" w:hAnsi="Arial"/>
          <w:highlight w:val="white"/>
        </w:rPr>
      </w:pPr>
      <w:r w:rsidDel="00000000" w:rsidR="00000000" w:rsidRPr="00000000">
        <w:rPr>
          <w:rFonts w:ascii="Arial" w:cs="Arial" w:eastAsia="Arial" w:hAnsi="Arial"/>
          <w:highlight w:val="white"/>
          <w:rtl w:val="0"/>
        </w:rPr>
        <w:t xml:space="preserve">Lee &amp; Logan-Greene, (2017) illustrated that vulnerable families are as a result of a child’s inability to cope within the family dynamic due to depression faced by the caregiver or due to the caregiver’s behavior towards the child. Nevertheless, it was argued that it can be as a result of the caregiver’s impersonal experience with abuse. Studies in Ireland show that out of 1.15 million three quarters of them live with both parents while 18% of them live with single parents and less than 10% live under custodial agreements. These families that have single parents are likely to be termed as vulnerable due to the trauma faced by these families.</w:t>
      </w:r>
    </w:p>
    <w:p w:rsidR="00000000" w:rsidDel="00000000" w:rsidP="00000000" w:rsidRDefault="00000000" w:rsidRPr="00000000" w14:paraId="00000038">
      <w:pPr>
        <w:spacing w:line="360" w:lineRule="auto"/>
        <w:rPr>
          <w:rFonts w:ascii="Arial" w:cs="Arial" w:eastAsia="Arial" w:hAnsi="Arial"/>
          <w:b w:val="1"/>
          <w:highlight w:val="white"/>
        </w:rPr>
      </w:pPr>
      <w:bookmarkStart w:colFirst="0" w:colLast="0" w:name="_3znysh7" w:id="3"/>
      <w:bookmarkEnd w:id="3"/>
      <w:r w:rsidDel="00000000" w:rsidR="00000000" w:rsidRPr="00000000">
        <w:rPr>
          <w:rFonts w:ascii="Arial" w:cs="Arial" w:eastAsia="Arial" w:hAnsi="Arial"/>
          <w:b w:val="1"/>
          <w:highlight w:val="white"/>
          <w:rtl w:val="0"/>
        </w:rPr>
        <w:t xml:space="preserve">Case Study: Critical Discussion of the Issues Faced in the Target Group</w:t>
      </w:r>
    </w:p>
    <w:p w:rsidR="00000000" w:rsidDel="00000000" w:rsidP="00000000" w:rsidRDefault="00000000" w:rsidRPr="00000000" w14:paraId="00000039">
      <w:pPr>
        <w:spacing w:after="160" w:line="360" w:lineRule="auto"/>
        <w:ind w:firstLine="737"/>
        <w:jc w:val="both"/>
        <w:rPr>
          <w:rFonts w:ascii="Arial" w:cs="Arial" w:eastAsia="Arial" w:hAnsi="Arial"/>
        </w:rPr>
      </w:pPr>
      <w:r w:rsidDel="00000000" w:rsidR="00000000" w:rsidRPr="00000000">
        <w:rPr>
          <w:rFonts w:ascii="Arial" w:cs="Arial" w:eastAsia="Arial" w:hAnsi="Arial"/>
          <w:rtl w:val="0"/>
        </w:rPr>
        <w:t xml:space="preserve">There exists a very strong relationship between family and juvenile delinquency. The two major factors in a family that can influence juvenile delinquency is the family structure that a child finds himself in and the kind of relationship that an adolescent has with his guardians. A nuclear family is idealized as the best family structure as it has the lowest delinquency rates. According to </w:t>
      </w:r>
      <w:r w:rsidDel="00000000" w:rsidR="00000000" w:rsidRPr="00000000">
        <w:rPr>
          <w:rFonts w:ascii="Arial" w:cs="Arial" w:eastAsia="Arial" w:hAnsi="Arial"/>
          <w:highlight w:val="white"/>
          <w:rtl w:val="0"/>
        </w:rPr>
        <w:t xml:space="preserve">Kroese,</w:t>
      </w:r>
      <w:r w:rsidDel="00000000" w:rsidR="00000000" w:rsidRPr="00000000">
        <w:rPr>
          <w:rFonts w:ascii="Arial" w:cs="Arial" w:eastAsia="Arial" w:hAnsi="Arial"/>
          <w:rtl w:val="0"/>
        </w:rPr>
        <w:t xml:space="preserve"> (2020), children from single-parent homes have a higher likelihood to engage in delinquency than those with two biological parents who are married. This is because, in the case where a boy grows without his biological father, he lacks a father figure to learn adulthood from. Therefore, he will compensate for this by stamping his masculinity through delinquent behaviors.</w:t>
      </w:r>
    </w:p>
    <w:p w:rsidR="00000000" w:rsidDel="00000000" w:rsidP="00000000" w:rsidRDefault="00000000" w:rsidRPr="00000000" w14:paraId="0000003A">
      <w:pPr>
        <w:spacing w:after="160" w:line="360" w:lineRule="auto"/>
        <w:ind w:firstLine="737"/>
        <w:jc w:val="both"/>
        <w:rPr>
          <w:rFonts w:ascii="Arial" w:cs="Arial" w:eastAsia="Arial" w:hAnsi="Arial"/>
        </w:rPr>
      </w:pPr>
      <w:r w:rsidDel="00000000" w:rsidR="00000000" w:rsidRPr="00000000">
        <w:rPr>
          <w:rFonts w:ascii="Arial" w:cs="Arial" w:eastAsia="Arial" w:hAnsi="Arial"/>
          <w:rtl w:val="0"/>
        </w:rPr>
        <w:t xml:space="preserve"> Children whose parents irregularly cohabitate have a higher likelihood to engage in delinquent acts compared to those from stable families with two biological parents. She further argues that a youth who lives with a single biological parent who cohabits with a non-biological partner will display high levels of antisocial behavior especially if the guardian parent is the biological father. In regard to relationships between adolescents and their parents, </w:t>
      </w:r>
      <w:r w:rsidDel="00000000" w:rsidR="00000000" w:rsidRPr="00000000">
        <w:rPr>
          <w:rFonts w:ascii="Arial" w:cs="Arial" w:eastAsia="Arial" w:hAnsi="Arial"/>
          <w:highlight w:val="white"/>
          <w:rtl w:val="0"/>
        </w:rPr>
        <w:t xml:space="preserve">Kroese et.al,</w:t>
      </w:r>
      <w:r w:rsidDel="00000000" w:rsidR="00000000" w:rsidRPr="00000000">
        <w:rPr>
          <w:rFonts w:ascii="Arial" w:cs="Arial" w:eastAsia="Arial" w:hAnsi="Arial"/>
          <w:rtl w:val="0"/>
        </w:rPr>
        <w:t xml:space="preserve"> (2020), argues that children in broken families where divorce has occurred have a higher likelihood to engage in delinquency than those in a stable family structure. She attributes this to the lack of closeness between parents and children which may lead to weakened bonds thereby increasing their chances to engage in delinquency.</w:t>
      </w:r>
    </w:p>
    <w:p w:rsidR="00000000" w:rsidDel="00000000" w:rsidP="00000000" w:rsidRDefault="00000000" w:rsidRPr="00000000" w14:paraId="0000003B">
      <w:pPr>
        <w:spacing w:after="160" w:line="360" w:lineRule="auto"/>
        <w:ind w:firstLine="737"/>
        <w:jc w:val="both"/>
        <w:rPr>
          <w:rFonts w:ascii="Arial" w:cs="Arial" w:eastAsia="Arial" w:hAnsi="Arial"/>
        </w:rPr>
      </w:pPr>
      <w:r w:rsidDel="00000000" w:rsidR="00000000" w:rsidRPr="00000000">
        <w:rPr>
          <w:rFonts w:ascii="Arial" w:cs="Arial" w:eastAsia="Arial" w:hAnsi="Arial"/>
          <w:rtl w:val="0"/>
        </w:rPr>
        <w:t xml:space="preserve">Parental involvement where parents spend more time with their children is critical in reducing delinquent acts among their children. </w:t>
      </w:r>
      <w:r w:rsidDel="00000000" w:rsidR="00000000" w:rsidRPr="00000000">
        <w:rPr>
          <w:rFonts w:ascii="Arial" w:cs="Arial" w:eastAsia="Arial" w:hAnsi="Arial"/>
          <w:highlight w:val="white"/>
          <w:rtl w:val="0"/>
        </w:rPr>
        <w:t xml:space="preserve">Kroese</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white"/>
          <w:rtl w:val="0"/>
        </w:rPr>
        <w:t xml:space="preserve">et.al</w:t>
      </w:r>
      <w:r w:rsidDel="00000000" w:rsidR="00000000" w:rsidRPr="00000000">
        <w:rPr>
          <w:rFonts w:ascii="Arial" w:cs="Arial" w:eastAsia="Arial" w:hAnsi="Arial"/>
          <w:rtl w:val="0"/>
        </w:rPr>
        <w:t xml:space="preserve">, (2020) states that an adolescent who spends more time with his parents has minimal chances to deviate than a child who spends less time with his parents who also is more likely to hide things from them. She further suggests that a good parenting practice where there is keen supervision of adolescents is vital in influencing them to desist in participating in delinquent acts. </w:t>
      </w:r>
    </w:p>
    <w:p w:rsidR="00000000" w:rsidDel="00000000" w:rsidP="00000000" w:rsidRDefault="00000000" w:rsidRPr="00000000" w14:paraId="0000003C">
      <w:pPr>
        <w:spacing w:after="160" w:line="360" w:lineRule="auto"/>
        <w:ind w:firstLine="737"/>
        <w:jc w:val="both"/>
        <w:rPr>
          <w:rFonts w:ascii="Arial" w:cs="Arial" w:eastAsia="Arial" w:hAnsi="Arial"/>
        </w:rPr>
      </w:pPr>
      <w:r w:rsidDel="00000000" w:rsidR="00000000" w:rsidRPr="00000000">
        <w:rPr>
          <w:rFonts w:ascii="Arial" w:cs="Arial" w:eastAsia="Arial" w:hAnsi="Arial"/>
          <w:rtl w:val="0"/>
        </w:rPr>
        <w:t xml:space="preserve">One theoretical perspective that brings out this relationship between family structure, family relationships and juvenile delinquency is the social control theory developed by Travis Hirschi. The core premise of this theory is that the increase in societal bonds has a great effect in reducing the probability of adolescents engaging in juvenile delinquency and crime </w:t>
      </w:r>
      <w:r w:rsidDel="00000000" w:rsidR="00000000" w:rsidRPr="00000000">
        <w:rPr>
          <w:rFonts w:ascii="Arial" w:cs="Arial" w:eastAsia="Arial" w:hAnsi="Arial"/>
          <w:highlight w:val="yellow"/>
          <w:rtl w:val="0"/>
        </w:rPr>
        <w:t xml:space="preserve">(Costello &amp; Laub, 2020)</w:t>
      </w:r>
      <w:r w:rsidDel="00000000" w:rsidR="00000000" w:rsidRPr="00000000">
        <w:rPr>
          <w:rFonts w:ascii="Arial" w:cs="Arial" w:eastAsia="Arial" w:hAnsi="Arial"/>
          <w:rtl w:val="0"/>
        </w:rPr>
        <w:t xml:space="preserve">. Hirschi identifies four critical elements that form these social bonds. The first element is attachment which he describes as the degree to which a person has a close doting relationship with others(Costello &amp; Laub, 2020). The second element is commitment which he describes as the fear of deviating into law-breaking behavior. Thirdly, its involvement, which he describes as engaging in conventional acts making an individual too busy to engage in crime. Lastly, he identified impressions which rely more on social reinforcement.</w:t>
      </w:r>
    </w:p>
    <w:p w:rsidR="00000000" w:rsidDel="00000000" w:rsidP="00000000" w:rsidRDefault="00000000" w:rsidRPr="00000000" w14:paraId="0000003D">
      <w:pPr>
        <w:spacing w:after="160" w:line="360" w:lineRule="auto"/>
        <w:ind w:firstLine="737"/>
        <w:jc w:val="both"/>
        <w:rPr>
          <w:rFonts w:ascii="Arial" w:cs="Arial" w:eastAsia="Arial" w:hAnsi="Arial"/>
        </w:rPr>
      </w:pPr>
      <w:r w:rsidDel="00000000" w:rsidR="00000000" w:rsidRPr="00000000">
        <w:rPr>
          <w:rFonts w:ascii="Arial" w:cs="Arial" w:eastAsia="Arial" w:hAnsi="Arial"/>
          <w:rtl w:val="0"/>
        </w:rPr>
        <w:t xml:space="preserve">Hirschi believes that individuals tend to conform due to having strong affective attachments with their parents. He suggests that adolescents who have weak attachments, less conformity, less engagement in conventional activities and negative attitudes towards shared norms and values are more likely to engage in delinquent acts. He suggested that the type of attachment a parent has with his child is the primary factor in establishing delinquent behavior (Costello &amp; Laub, 2020). Therefore, children who find themselves in a divorce situation among parents or in non-conventional family structures such as cohabiting parents are less likely to be close to their parents compared to those in stable families where there are two biological parents. He believed that insufficient families lacked the capacity to offer the necessary attachment that could aid children in adopting socialized lifestyles. A child who grows up in a dysfunctional family will find it difficult to socialize which consequently leads to the child engaging in antisocial behavior.</w:t>
      </w:r>
    </w:p>
    <w:p w:rsidR="00000000" w:rsidDel="00000000" w:rsidP="00000000" w:rsidRDefault="00000000" w:rsidRPr="00000000" w14:paraId="0000003E">
      <w:pPr>
        <w:spacing w:after="160" w:line="360" w:lineRule="auto"/>
        <w:ind w:firstLine="737"/>
        <w:jc w:val="both"/>
        <w:rPr>
          <w:rFonts w:ascii="Arial" w:cs="Arial" w:eastAsia="Arial" w:hAnsi="Arial"/>
        </w:rPr>
      </w:pPr>
      <w:r w:rsidDel="00000000" w:rsidR="00000000" w:rsidRPr="00000000">
        <w:rPr>
          <w:rFonts w:ascii="Arial" w:cs="Arial" w:eastAsia="Arial" w:hAnsi="Arial"/>
          <w:rtl w:val="0"/>
        </w:rPr>
        <w:t xml:space="preserve">National attention has been received on the linkages between child neglect, abuse and levels of poverty among single parent households. This report seeks to highlight findings on how relevant social welfare authorities handle economic and social circumstances of minors who hail from single parent households and how their intervention can alleviate protection concerns and provide holistic care. In our case study we see that Julie was a single mother who was addicted to drugs and had neglected her children. The pre-existing variable rates of care and protection intervention set out usually identify a child’s social and economic circumstance. In this case study it was sufficient to identify that the information gathered indicated that ‘deprivation was the main factor that led to the intervention of local authorities. Moreover, it has been documented that 17% of children from single parent households are 10 times more likely to engage in crime. This however raises ethical, policy and practice questions for social welfare authorities on when to intervene, and this ends up creating conflict between the family and the state.  </w:t>
      </w:r>
    </w:p>
    <w:p w:rsidR="00000000" w:rsidDel="00000000" w:rsidP="00000000" w:rsidRDefault="00000000" w:rsidRPr="00000000" w14:paraId="0000003F">
      <w:pPr>
        <w:spacing w:after="160" w:line="360" w:lineRule="auto"/>
        <w:ind w:firstLine="720"/>
        <w:jc w:val="both"/>
        <w:rPr>
          <w:rFonts w:ascii="Arial" w:cs="Arial" w:eastAsia="Arial" w:hAnsi="Arial"/>
        </w:rPr>
      </w:pPr>
      <w:r w:rsidDel="00000000" w:rsidR="00000000" w:rsidRPr="00000000">
        <w:rPr>
          <w:rFonts w:ascii="Arial" w:cs="Arial" w:eastAsia="Arial" w:hAnsi="Arial"/>
          <w:rtl w:val="0"/>
        </w:rPr>
        <w:t xml:space="preserve">It has been stated that every caregiver knows what good parenting is, however some are unable to cope with the multiplicity of external demands and pressures thus this lack of an available support system makes them reluctant to ask for assistance due to the fear of being labeled as a failure or a charity case (Dickson and Claiborne, 2019). In order to raise a family’s overall well-being, be it mental, social or physical it requires preparing young people as well as children so as to live adequate lives in the present and in future societal set ups.</w:t>
      </w:r>
    </w:p>
    <w:p w:rsidR="00000000" w:rsidDel="00000000" w:rsidP="00000000" w:rsidRDefault="00000000" w:rsidRPr="00000000" w14:paraId="00000040">
      <w:pPr>
        <w:pStyle w:val="Heading1"/>
        <w:spacing w:line="360" w:lineRule="auto"/>
        <w:rPr>
          <w:rFonts w:ascii="Arial" w:cs="Arial" w:eastAsia="Arial" w:hAnsi="Arial"/>
          <w:b w:val="1"/>
          <w:color w:val="000000"/>
          <w:sz w:val="22"/>
          <w:szCs w:val="22"/>
        </w:rPr>
      </w:pPr>
      <w:bookmarkStart w:colFirst="0" w:colLast="0" w:name="_2et92p0" w:id="4"/>
      <w:bookmarkEnd w:id="4"/>
      <w:r w:rsidDel="00000000" w:rsidR="00000000" w:rsidRPr="00000000">
        <w:rPr>
          <w:rFonts w:ascii="Arial" w:cs="Arial" w:eastAsia="Arial" w:hAnsi="Arial"/>
          <w:b w:val="1"/>
          <w:color w:val="000000"/>
          <w:sz w:val="22"/>
          <w:szCs w:val="22"/>
          <w:rtl w:val="0"/>
        </w:rPr>
        <w:t xml:space="preserve">Analysis: The Assessment, Intervention of Multi-Agency and Results</w:t>
      </w:r>
    </w:p>
    <w:p w:rsidR="00000000" w:rsidDel="00000000" w:rsidP="00000000" w:rsidRDefault="00000000" w:rsidRPr="00000000" w14:paraId="00000041">
      <w:pPr>
        <w:spacing w:after="160" w:line="360" w:lineRule="auto"/>
        <w:ind w:firstLine="720"/>
        <w:jc w:val="both"/>
        <w:rPr>
          <w:rFonts w:ascii="Arial" w:cs="Arial" w:eastAsia="Arial" w:hAnsi="Arial"/>
        </w:rPr>
      </w:pPr>
      <w:r w:rsidDel="00000000" w:rsidR="00000000" w:rsidRPr="00000000">
        <w:rPr>
          <w:rFonts w:ascii="Arial" w:cs="Arial" w:eastAsia="Arial" w:hAnsi="Arial"/>
          <w:rtl w:val="0"/>
        </w:rPr>
        <w:t xml:space="preserve">Community programs have been established to enhance proper family functions so as to ensure a better outcome in both the community level and the national level. Social welfare authorities in our case studies sought to prevent this family from being isolated through the creation of support networks. This was done by enhancing the knowledge levels of members of the community in general so as to help Julie to become responsible for her young ones.  The children were also encouraged to attend school because some schools are now instructing students with activities designed to help them improve their personal competence and interpersonal interactions, and build other life skills (Dickinson &amp; Claiborne, 2019). Organizations that aim to give young people an ongoing education in subjects such as personal growth, competence, and development known as youth clubs and organizations are often engaged in individual counseling but others actively promote discussion groups and role play sessions in local schools. In a ground-breaking effort, the social workers were able to convince Julie to attend support groups and these groups provided mothers like her with ongoing support after childbirth. It has been observed that certain healthcare institutions are starting to create their specific community support, either by connecting expectant mothers and classes via their ante-natal facilities, or by joining families who are planning to have children with existing families in the neighborhood.</w:t>
      </w:r>
    </w:p>
    <w:p w:rsidR="00000000" w:rsidDel="00000000" w:rsidP="00000000" w:rsidRDefault="00000000" w:rsidRPr="00000000" w14:paraId="00000042">
      <w:pPr>
        <w:spacing w:after="160" w:line="360" w:lineRule="auto"/>
        <w:ind w:firstLine="720"/>
        <w:jc w:val="both"/>
        <w:rPr>
          <w:rFonts w:ascii="Arial" w:cs="Arial" w:eastAsia="Arial" w:hAnsi="Arial"/>
        </w:rPr>
      </w:pPr>
      <w:r w:rsidDel="00000000" w:rsidR="00000000" w:rsidRPr="00000000">
        <w:rPr>
          <w:rFonts w:ascii="Arial" w:cs="Arial" w:eastAsia="Arial" w:hAnsi="Arial"/>
          <w:rtl w:val="0"/>
        </w:rPr>
        <w:t xml:space="preserve">Health practitioners and home birth nurses have a critical role to play here by working in collaboration with the parents and encouraging the parents' personal development as new parents, broadening the social network of the family by linking with other mothers, and providing information on various mother and toddler groups.  Parent-run pre-school playgroups served as an educational, preventative, and supportive intervention within the community because of their local ownership, attendance by local children, and assistance from locally generated money. Their position acts as a kind of extended family for today's nomadic families, because these widely-scattered relatives aren't around nowadays (Bromley, 2019) Community programs for parents of school-aged children aimed at providing informal advice on challenges that may occur as children mature (discipline, behavior problems, behavioral outcomes, academic problems and options) and on retrieve to teenage mothers (sex, drink, drugs, smoking, rules, money, clothing, and hair styles, etc.); to encourage parents to maintain their own identities. </w:t>
      </w:r>
    </w:p>
    <w:p w:rsidR="00000000" w:rsidDel="00000000" w:rsidP="00000000" w:rsidRDefault="00000000" w:rsidRPr="00000000" w14:paraId="00000043">
      <w:pPr>
        <w:spacing w:after="160" w:line="360" w:lineRule="auto"/>
        <w:ind w:firstLine="720"/>
        <w:jc w:val="both"/>
        <w:rPr>
          <w:rFonts w:ascii="Arial" w:cs="Arial" w:eastAsia="Arial" w:hAnsi="Arial"/>
        </w:rPr>
      </w:pPr>
      <w:r w:rsidDel="00000000" w:rsidR="00000000" w:rsidRPr="00000000">
        <w:rPr>
          <w:rFonts w:ascii="Arial" w:cs="Arial" w:eastAsia="Arial" w:hAnsi="Arial"/>
          <w:rtl w:val="0"/>
        </w:rPr>
        <w:t xml:space="preserve">While schools offer chances for parents to address educational and employment concerns, this stage of the life cycle seems to be the least well-served, save for crisis work or counseling. Numerous religious organizations are actively developing materials for concurrent groups of adolescents and parents, and the Open University is developing a new course for parents and teens as part of its Parenthood series. It's an intriguing observation that the household seems to get the least preventative assistance at this stage of the family life cycle—children entering adolescence, parents reaching middle age, elders becoming more reliant.  </w:t>
      </w:r>
    </w:p>
    <w:p w:rsidR="00000000" w:rsidDel="00000000" w:rsidP="00000000" w:rsidRDefault="00000000" w:rsidRPr="00000000" w14:paraId="00000044">
      <w:pPr>
        <w:spacing w:line="360" w:lineRule="auto"/>
        <w:rPr>
          <w:rFonts w:ascii="Arial" w:cs="Arial" w:eastAsia="Arial" w:hAnsi="Arial"/>
          <w:b w:val="1"/>
        </w:rPr>
      </w:pPr>
      <w:bookmarkStart w:colFirst="0" w:colLast="0" w:name="_tyjcwt" w:id="5"/>
      <w:bookmarkEnd w:id="5"/>
      <w:r w:rsidDel="00000000" w:rsidR="00000000" w:rsidRPr="00000000">
        <w:rPr>
          <w:rFonts w:ascii="Arial" w:cs="Arial" w:eastAsia="Arial" w:hAnsi="Arial"/>
          <w:b w:val="1"/>
          <w:rtl w:val="0"/>
        </w:rPr>
        <w:t xml:space="preserve">Evaluation</w:t>
      </w:r>
    </w:p>
    <w:p w:rsidR="00000000" w:rsidDel="00000000" w:rsidP="00000000" w:rsidRDefault="00000000" w:rsidRPr="00000000" w14:paraId="00000045">
      <w:pPr>
        <w:spacing w:after="160" w:line="360" w:lineRule="auto"/>
        <w:ind w:firstLine="720"/>
        <w:jc w:val="both"/>
        <w:rPr>
          <w:rFonts w:ascii="Arial" w:cs="Arial" w:eastAsia="Arial" w:hAnsi="Arial"/>
        </w:rPr>
      </w:pPr>
      <w:r w:rsidDel="00000000" w:rsidR="00000000" w:rsidRPr="00000000">
        <w:rPr>
          <w:rFonts w:ascii="Arial" w:cs="Arial" w:eastAsia="Arial" w:hAnsi="Arial"/>
          <w:rtl w:val="0"/>
        </w:rPr>
        <w:t xml:space="preserve"> A household is not a static entity; it is continuously changing and developing as a result of the lives of its different members and the diversity of interactions with the multiple systems and networks that comprise it. Every stage of this life-cycle is defined by distinct requirements that need the completion of certain activities in order for the person to progress successfully to the next level. Preventive measures look at the length and severity of recognized instances of dysfunctional families, thus lowering their frequency in the society (Ellis, 2010).  These preventive methods are mostly health and psychosocial welfare-service oriented, which means that they recommend the vulnerable families to caseworkers, psychologists (clinic and educational), therapists, and social workers. Often, such intervention is designed to assist people, or families, who are challenged by circumstances that are unchanging. The difficulties of engaging family workers in challenging social welfare, mental health, educational, financial, and legal systems, as well as workplace challenges, are too great for any one family worker. It is essential that we give credit to people who are working hard on cases as difficult as that of Julie’s.  For future application, policymakers should examine the many forms of provision for local social worker requirements, as well as the information and understanding acquired from them (Lee, 2017). Establishment of a community psychiatric service: crisis intervention teams need to be properly deployed and aimed at working with the affected families.</w:t>
      </w:r>
    </w:p>
    <w:p w:rsidR="00000000" w:rsidDel="00000000" w:rsidP="00000000" w:rsidRDefault="00000000" w:rsidRPr="00000000" w14:paraId="00000046">
      <w:pPr>
        <w:spacing w:line="360" w:lineRule="auto"/>
        <w:rPr>
          <w:rFonts w:ascii="Arial" w:cs="Arial" w:eastAsia="Arial" w:hAnsi="Arial"/>
          <w:b w:val="1"/>
          <w:highlight w:val="white"/>
        </w:rPr>
      </w:pPr>
      <w:bookmarkStart w:colFirst="0" w:colLast="0" w:name="_3dy6vkm" w:id="6"/>
      <w:bookmarkEnd w:id="6"/>
      <w:r w:rsidDel="00000000" w:rsidR="00000000" w:rsidRPr="00000000">
        <w:rPr>
          <w:rFonts w:ascii="Arial" w:cs="Arial" w:eastAsia="Arial" w:hAnsi="Arial"/>
          <w:b w:val="1"/>
          <w:highlight w:val="white"/>
          <w:rtl w:val="0"/>
        </w:rPr>
        <w:t xml:space="preserve">Conclusion</w:t>
      </w:r>
    </w:p>
    <w:p w:rsidR="00000000" w:rsidDel="00000000" w:rsidP="00000000" w:rsidRDefault="00000000" w:rsidRPr="00000000" w14:paraId="00000047">
      <w:pPr>
        <w:spacing w:line="360" w:lineRule="auto"/>
        <w:ind w:firstLine="720"/>
        <w:rPr>
          <w:rFonts w:ascii="Arial" w:cs="Arial" w:eastAsia="Arial" w:hAnsi="Arial"/>
          <w:highlight w:val="white"/>
        </w:rPr>
      </w:pPr>
      <w:r w:rsidDel="00000000" w:rsidR="00000000" w:rsidRPr="00000000">
        <w:rPr>
          <w:rFonts w:ascii="Arial" w:cs="Arial" w:eastAsia="Arial" w:hAnsi="Arial"/>
          <w:highlight w:val="white"/>
          <w:rtl w:val="0"/>
        </w:rPr>
        <w:t xml:space="preserve">It is appropriate that the government should strive to safeguard its people since that is usually its main mandate. However, efforts to change laws and increase punishments for criminals are usually deemed ineffective unless there is also an endeavor to reduce the underlying causes of crime, particularly among future generations of inmates. Governments are therefore required to set up a regressive balance of policies. All of its efforts should not be geared at punishing individuals whose lives are the result of a broken society, but instead trying to identify and combat the root causes of crime.  A ‘crime prevention' strategy is popular among the British people. Two thirds of the population is in favor of preventative measures instead of punitive measures, according to a recent Joseph Rowntree Foundation study that investigated national attitudes toward anti-social behavior (</w:t>
      </w:r>
      <w:r w:rsidDel="00000000" w:rsidR="00000000" w:rsidRPr="00000000">
        <w:rPr>
          <w:rFonts w:ascii="Arial" w:cs="Arial" w:eastAsia="Arial" w:hAnsi="Arial"/>
          <w:color w:val="222222"/>
          <w:highlight w:val="white"/>
          <w:rtl w:val="0"/>
        </w:rPr>
        <w:t xml:space="preserve">Schmuecker, 2017)</w:t>
      </w:r>
      <w:r w:rsidDel="00000000" w:rsidR="00000000" w:rsidRPr="00000000">
        <w:rPr>
          <w:rFonts w:ascii="Arial" w:cs="Arial" w:eastAsia="Arial" w:hAnsi="Arial"/>
          <w:highlight w:val="white"/>
          <w:rtl w:val="0"/>
        </w:rPr>
        <w:t xml:space="preserve">. The report claims that a successful ASB strategy should make a distinction between regulation and preventative measures. The attitude of other jurisdictions has likewise grown much more severe. Up until the latter half of the 20th century, the US juvenile justice system was thought of as the “nexus where psychology and charity join to reach troubled children with an understanding and kind hand”. Young offenders have been rebranded as dangerous predators, justifying punishment, rather than as youngsters who need a guiding hand. In this case study, the authors contend that to keep the focus on the family rather than the symptom, the spotlight needs to be shone on them. More than half of British families work effectively, teaching their children the importance of being law-abiding citizens. If parents are no longer together, it is more likely that their children will result in illegal behavior. "Fragmented Families" focuses on the impact of family breakup on criminality and social exclusion and highlights three distinct but interrelated types of family breakdown (</w:t>
      </w:r>
      <w:r w:rsidDel="00000000" w:rsidR="00000000" w:rsidRPr="00000000">
        <w:rPr>
          <w:rFonts w:ascii="Arial" w:cs="Arial" w:eastAsia="Arial" w:hAnsi="Arial"/>
          <w:color w:val="222222"/>
          <w:highlight w:val="white"/>
          <w:rtl w:val="0"/>
        </w:rPr>
        <w:t xml:space="preserve">Katz, 2017).</w:t>
      </w:r>
      <w:r w:rsidDel="00000000" w:rsidR="00000000" w:rsidRPr="00000000">
        <w:rPr>
          <w:rFonts w:ascii="Arial" w:cs="Arial" w:eastAsia="Arial" w:hAnsi="Arial"/>
          <w:highlight w:val="white"/>
          <w:rtl w:val="0"/>
        </w:rPr>
        <w:t xml:space="preserve"> Children who have had the family broken apart will have double the chance of behavioral issues, doing less well in school, suffering depression, and will be more prone to use drugs, smoking, and excessive drinking. In the latter part of the twentieth century, the consequences of wide - spread single parenthood were the inevitable outcome of removing the entity of marital social supports, coupled with a dramatic societal change that exalted individualism and placed a huge focus on the right to happiness and personal gratification. “Societies only mature by embracing the fact that they exist in a network of mutual interconnection,” according to Nadan and Korbin (2018). In order to secure long-term domestic stability, we require policies that presuppose the value of lengthy consistency. The study will address the underlying reasons of juvenile criminality, which it views as having to do with single parent household and dysfunction. In the context of these problems, the author will also make a short reference to interventions and policy ideas adopted in other nations.</w:t>
      </w:r>
    </w:p>
    <w:p w:rsidR="00000000" w:rsidDel="00000000" w:rsidP="00000000" w:rsidRDefault="00000000" w:rsidRPr="00000000" w14:paraId="00000048">
      <w:pPr>
        <w:spacing w:line="36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49">
      <w:pPr>
        <w:spacing w:line="36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4A">
      <w:pPr>
        <w:spacing w:line="360" w:lineRule="auto"/>
        <w:rPr>
          <w:rFonts w:ascii="Arial" w:cs="Arial" w:eastAsia="Arial" w:hAnsi="Arial"/>
          <w:b w:val="1"/>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spacing w:line="360" w:lineRule="auto"/>
        <w:jc w:val="center"/>
        <w:rPr>
          <w:rFonts w:ascii="Arial" w:cs="Arial" w:eastAsia="Arial" w:hAnsi="Arial"/>
          <w:b w:val="1"/>
          <w:color w:val="000000"/>
          <w:sz w:val="22"/>
          <w:szCs w:val="22"/>
          <w:highlight w:val="white"/>
        </w:rPr>
      </w:pPr>
      <w:bookmarkStart w:colFirst="0" w:colLast="0" w:name="_1t3h5sf" w:id="7"/>
      <w:bookmarkEnd w:id="7"/>
      <w:r w:rsidDel="00000000" w:rsidR="00000000" w:rsidRPr="00000000">
        <w:rPr>
          <w:rFonts w:ascii="Arial" w:cs="Arial" w:eastAsia="Arial" w:hAnsi="Arial"/>
          <w:b w:val="1"/>
          <w:color w:val="000000"/>
          <w:sz w:val="22"/>
          <w:szCs w:val="22"/>
          <w:highlight w:val="white"/>
          <w:rtl w:val="0"/>
        </w:rPr>
        <w:t xml:space="preserve">References</w:t>
      </w:r>
    </w:p>
    <w:p w:rsidR="00000000" w:rsidDel="00000000" w:rsidP="00000000" w:rsidRDefault="00000000" w:rsidRPr="00000000" w14:paraId="0000004C">
      <w:pPr>
        <w:spacing w:line="360" w:lineRule="auto"/>
        <w:ind w:left="720" w:hanging="720"/>
        <w:rPr>
          <w:rFonts w:ascii="Arial" w:cs="Arial" w:eastAsia="Arial" w:hAnsi="Arial"/>
          <w:highlight w:val="white"/>
        </w:rPr>
      </w:pPr>
      <w:r w:rsidDel="00000000" w:rsidR="00000000" w:rsidRPr="00000000">
        <w:rPr>
          <w:rFonts w:ascii="Arial" w:cs="Arial" w:eastAsia="Arial" w:hAnsi="Arial"/>
          <w:highlight w:val="white"/>
          <w:rtl w:val="0"/>
        </w:rPr>
        <w:t xml:space="preserve">Andresen, S., Koenig, J., &amp; Main, G. (2018). Editorial to the First Issue of Childhood Vulnerability Journal. </w:t>
      </w:r>
      <w:r w:rsidDel="00000000" w:rsidR="00000000" w:rsidRPr="00000000">
        <w:rPr>
          <w:rFonts w:ascii="Arial" w:cs="Arial" w:eastAsia="Arial" w:hAnsi="Arial"/>
          <w:i w:val="1"/>
          <w:highlight w:val="white"/>
          <w:rtl w:val="0"/>
        </w:rPr>
        <w:t xml:space="preserve">Childhood Vulnerability Journal</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1</w:t>
      </w:r>
      <w:r w:rsidDel="00000000" w:rsidR="00000000" w:rsidRPr="00000000">
        <w:rPr>
          <w:rFonts w:ascii="Arial" w:cs="Arial" w:eastAsia="Arial" w:hAnsi="Arial"/>
          <w:highlight w:val="white"/>
          <w:rtl w:val="0"/>
        </w:rPr>
        <w:t xml:space="preserve">(1–3), 1–4. </w:t>
      </w:r>
      <w:hyperlink r:id="rId7">
        <w:r w:rsidDel="00000000" w:rsidR="00000000" w:rsidRPr="00000000">
          <w:rPr>
            <w:rFonts w:ascii="Arial" w:cs="Arial" w:eastAsia="Arial" w:hAnsi="Arial"/>
            <w:color w:val="000000"/>
            <w:highlight w:val="white"/>
            <w:u w:val="single"/>
            <w:rtl w:val="0"/>
          </w:rPr>
          <w:t xml:space="preserve">https://doi.org/10.1007/s41255-019-000</w:t>
        </w:r>
      </w:hyperlink>
      <w:hyperlink r:id="rId8">
        <w:r w:rsidDel="00000000" w:rsidR="00000000" w:rsidRPr="00000000">
          <w:rPr>
            <w:rFonts w:ascii="Arial" w:cs="Arial" w:eastAsia="Arial" w:hAnsi="Arial"/>
            <w:highlight w:val="white"/>
            <w:rtl w:val="0"/>
          </w:rPr>
          <w:t xml:space="preserve">05-5</w:t>
        </w:r>
      </w:hyperlink>
      <w:r w:rsidDel="00000000" w:rsidR="00000000" w:rsidRPr="00000000">
        <w:rPr>
          <w:rtl w:val="0"/>
        </w:rPr>
      </w:r>
    </w:p>
    <w:p w:rsidR="00000000" w:rsidDel="00000000" w:rsidP="00000000" w:rsidRDefault="00000000" w:rsidRPr="00000000" w14:paraId="0000004D">
      <w:pPr>
        <w:spacing w:line="360" w:lineRule="auto"/>
        <w:ind w:left="720" w:hanging="720"/>
        <w:rPr>
          <w:rFonts w:ascii="Arial" w:cs="Arial" w:eastAsia="Arial" w:hAnsi="Arial"/>
          <w:highlight w:val="white"/>
        </w:rPr>
      </w:pPr>
      <w:r w:rsidDel="00000000" w:rsidR="00000000" w:rsidRPr="00000000">
        <w:rPr>
          <w:rFonts w:ascii="Arial" w:cs="Arial" w:eastAsia="Arial" w:hAnsi="Arial"/>
          <w:highlight w:val="white"/>
          <w:rtl w:val="0"/>
        </w:rPr>
        <w:t xml:space="preserve">Bromley, D. W. (2019). Possessive individualism: A crisis of capitalism. Oxford University Press.</w:t>
      </w:r>
    </w:p>
    <w:p w:rsidR="00000000" w:rsidDel="00000000" w:rsidP="00000000" w:rsidRDefault="00000000" w:rsidRPr="00000000" w14:paraId="0000004E">
      <w:pPr>
        <w:spacing w:line="360" w:lineRule="auto"/>
        <w:ind w:left="720" w:hanging="720"/>
        <w:rPr>
          <w:rFonts w:ascii="Arial" w:cs="Arial" w:eastAsia="Arial" w:hAnsi="Arial"/>
          <w:highlight w:val="white"/>
        </w:rPr>
      </w:pPr>
      <w:r w:rsidDel="00000000" w:rsidR="00000000" w:rsidRPr="00000000">
        <w:rPr>
          <w:rFonts w:ascii="Arial" w:cs="Arial" w:eastAsia="Arial" w:hAnsi="Arial"/>
          <w:highlight w:val="white"/>
          <w:rtl w:val="0"/>
        </w:rPr>
        <w:t xml:space="preserve">Costello, B. J., &amp; Laub, J. H. (2020). Social Control Theory: The Legacy of Travis Hirschi’s Causes of Delinquency. Annual Review of Criminology, 3(1), 21–41. https://doi.org/10.1146/annurev-criminol-011419-041527</w:t>
      </w:r>
    </w:p>
    <w:p w:rsidR="00000000" w:rsidDel="00000000" w:rsidP="00000000" w:rsidRDefault="00000000" w:rsidRPr="00000000" w14:paraId="0000004F">
      <w:pPr>
        <w:spacing w:line="360" w:lineRule="auto"/>
        <w:ind w:left="720" w:hanging="720"/>
        <w:rPr>
          <w:rFonts w:ascii="Arial" w:cs="Arial" w:eastAsia="Arial" w:hAnsi="Arial"/>
          <w:highlight w:val="white"/>
        </w:rPr>
      </w:pPr>
      <w:r w:rsidDel="00000000" w:rsidR="00000000" w:rsidRPr="00000000">
        <w:rPr>
          <w:rFonts w:ascii="Arial" w:cs="Arial" w:eastAsia="Arial" w:hAnsi="Arial"/>
          <w:highlight w:val="white"/>
          <w:rtl w:val="0"/>
        </w:rPr>
        <w:t xml:space="preserve">Dickinson, N. S., &amp; Claiborne, N. (2019). Supporting the child welfare workforce: The National Child Welfare Workforce Institute. </w:t>
      </w:r>
      <w:r w:rsidDel="00000000" w:rsidR="00000000" w:rsidRPr="00000000">
        <w:rPr>
          <w:rFonts w:ascii="Arial" w:cs="Arial" w:eastAsia="Arial" w:hAnsi="Arial"/>
          <w:i w:val="1"/>
          <w:highlight w:val="white"/>
          <w:rtl w:val="0"/>
        </w:rPr>
        <w:t xml:space="preserve">Journal of Public Child Welfare</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14</w:t>
      </w:r>
      <w:r w:rsidDel="00000000" w:rsidR="00000000" w:rsidRPr="00000000">
        <w:rPr>
          <w:rFonts w:ascii="Arial" w:cs="Arial" w:eastAsia="Arial" w:hAnsi="Arial"/>
          <w:highlight w:val="white"/>
          <w:rtl w:val="0"/>
        </w:rPr>
        <w:t xml:space="preserve">(1), 1–4. https://doi.org/10.1080/15548732.2020.1683942</w:t>
      </w:r>
    </w:p>
    <w:p w:rsidR="00000000" w:rsidDel="00000000" w:rsidP="00000000" w:rsidRDefault="00000000" w:rsidRPr="00000000" w14:paraId="00000050">
      <w:pPr>
        <w:spacing w:line="360" w:lineRule="auto"/>
        <w:ind w:left="720" w:hanging="720"/>
        <w:rPr>
          <w:rFonts w:ascii="Arial" w:cs="Arial" w:eastAsia="Arial" w:hAnsi="Arial"/>
          <w:highlight w:val="white"/>
        </w:rPr>
      </w:pPr>
      <w:r w:rsidDel="00000000" w:rsidR="00000000" w:rsidRPr="00000000">
        <w:rPr>
          <w:rFonts w:ascii="Arial" w:cs="Arial" w:eastAsia="Arial" w:hAnsi="Arial"/>
          <w:highlight w:val="white"/>
          <w:rtl w:val="0"/>
        </w:rPr>
        <w:t xml:space="preserve">Ellis, R. T. (2010). Child Welfare Workers’ Perceptions of Juvenile Court Influence on Child Welfare Practices. </w:t>
      </w:r>
      <w:r w:rsidDel="00000000" w:rsidR="00000000" w:rsidRPr="00000000">
        <w:rPr>
          <w:rFonts w:ascii="Arial" w:cs="Arial" w:eastAsia="Arial" w:hAnsi="Arial"/>
          <w:i w:val="1"/>
          <w:highlight w:val="white"/>
          <w:rtl w:val="0"/>
        </w:rPr>
        <w:t xml:space="preserve">Journal of Public Child Welfare</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4</w:t>
      </w:r>
      <w:r w:rsidDel="00000000" w:rsidR="00000000" w:rsidRPr="00000000">
        <w:rPr>
          <w:rFonts w:ascii="Arial" w:cs="Arial" w:eastAsia="Arial" w:hAnsi="Arial"/>
          <w:highlight w:val="white"/>
          <w:rtl w:val="0"/>
        </w:rPr>
        <w:t xml:space="preserve">(2), 158–173. </w:t>
      </w:r>
      <w:hyperlink r:id="rId9">
        <w:r w:rsidDel="00000000" w:rsidR="00000000" w:rsidRPr="00000000">
          <w:rPr>
            <w:rFonts w:ascii="Arial" w:cs="Arial" w:eastAsia="Arial" w:hAnsi="Arial"/>
            <w:color w:val="000000"/>
            <w:highlight w:val="white"/>
            <w:u w:val="single"/>
            <w:rtl w:val="0"/>
          </w:rPr>
          <w:t xml:space="preserve">https://doi.org/10.1080/15548731003799399</w:t>
        </w:r>
      </w:hyperlink>
      <w:r w:rsidDel="00000000" w:rsidR="00000000" w:rsidRPr="00000000">
        <w:rPr>
          <w:rtl w:val="0"/>
        </w:rPr>
      </w:r>
    </w:p>
    <w:p w:rsidR="00000000" w:rsidDel="00000000" w:rsidP="00000000" w:rsidRDefault="00000000" w:rsidRPr="00000000" w14:paraId="00000051">
      <w:pPr>
        <w:spacing w:line="360" w:lineRule="auto"/>
        <w:ind w:left="720" w:hanging="720"/>
        <w:rPr>
          <w:rFonts w:ascii="Arial" w:cs="Arial" w:eastAsia="Arial" w:hAnsi="Arial"/>
          <w:highlight w:val="white"/>
        </w:rPr>
      </w:pPr>
      <w:r w:rsidDel="00000000" w:rsidR="00000000" w:rsidRPr="00000000">
        <w:rPr>
          <w:rFonts w:ascii="Arial" w:cs="Arial" w:eastAsia="Arial" w:hAnsi="Arial"/>
          <w:color w:val="222222"/>
          <w:highlight w:val="white"/>
          <w:rtl w:val="0"/>
        </w:rPr>
        <w:t xml:space="preserve">Katz, P. C. (2017). Supporting Families and Children of Mothers in Jail: An Integrated Child Welfare 1 and Criminal Justice Strategy. </w:t>
      </w:r>
      <w:r w:rsidDel="00000000" w:rsidR="00000000" w:rsidRPr="00000000">
        <w:rPr>
          <w:rFonts w:ascii="Arial" w:cs="Arial" w:eastAsia="Arial" w:hAnsi="Arial"/>
          <w:i w:val="1"/>
          <w:color w:val="222222"/>
          <w:highlight w:val="white"/>
          <w:rtl w:val="0"/>
        </w:rPr>
        <w:t xml:space="preserve">Children with Parents in Prison</w:t>
      </w:r>
      <w:r w:rsidDel="00000000" w:rsidR="00000000" w:rsidRPr="00000000">
        <w:rPr>
          <w:rFonts w:ascii="Arial" w:cs="Arial" w:eastAsia="Arial" w:hAnsi="Arial"/>
          <w:color w:val="222222"/>
          <w:highlight w:val="white"/>
          <w:rtl w:val="0"/>
        </w:rPr>
        <w:t xml:space="preserve">, 27-44.</w:t>
      </w:r>
      <w:r w:rsidDel="00000000" w:rsidR="00000000" w:rsidRPr="00000000">
        <w:rPr>
          <w:rtl w:val="0"/>
        </w:rPr>
      </w:r>
    </w:p>
    <w:p w:rsidR="00000000" w:rsidDel="00000000" w:rsidP="00000000" w:rsidRDefault="00000000" w:rsidRPr="00000000" w14:paraId="00000052">
      <w:pPr>
        <w:spacing w:line="360" w:lineRule="auto"/>
        <w:ind w:left="720" w:hanging="720"/>
        <w:rPr>
          <w:rFonts w:ascii="Arial" w:cs="Arial" w:eastAsia="Arial" w:hAnsi="Arial"/>
          <w:highlight w:val="white"/>
        </w:rPr>
      </w:pPr>
      <w:r w:rsidDel="00000000" w:rsidR="00000000" w:rsidRPr="00000000">
        <w:rPr>
          <w:rFonts w:ascii="Arial" w:cs="Arial" w:eastAsia="Arial" w:hAnsi="Arial"/>
          <w:highlight w:val="white"/>
          <w:rtl w:val="0"/>
        </w:rPr>
        <w:t xml:space="preserve">Kroese, J., Bernasco, W., Liefbroer, A. C., &amp; Rouwendal, J. (2020). Growing up in single-parent families and the criminal involvement of adolescents: a systematic review. </w:t>
      </w:r>
      <w:r w:rsidDel="00000000" w:rsidR="00000000" w:rsidRPr="00000000">
        <w:rPr>
          <w:rFonts w:ascii="Arial" w:cs="Arial" w:eastAsia="Arial" w:hAnsi="Arial"/>
          <w:i w:val="1"/>
          <w:highlight w:val="white"/>
          <w:rtl w:val="0"/>
        </w:rPr>
        <w:t xml:space="preserve">Psychology, Crime &amp; Law</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27</w:t>
      </w:r>
      <w:r w:rsidDel="00000000" w:rsidR="00000000" w:rsidRPr="00000000">
        <w:rPr>
          <w:rFonts w:ascii="Arial" w:cs="Arial" w:eastAsia="Arial" w:hAnsi="Arial"/>
          <w:highlight w:val="white"/>
          <w:rtl w:val="0"/>
        </w:rPr>
        <w:t xml:space="preserve">(1), 61–75. https://doi.org/10.1080/1068316x.2020.1774589</w:t>
      </w:r>
    </w:p>
    <w:p w:rsidR="00000000" w:rsidDel="00000000" w:rsidP="00000000" w:rsidRDefault="00000000" w:rsidRPr="00000000" w14:paraId="00000053">
      <w:pPr>
        <w:spacing w:line="360" w:lineRule="auto"/>
        <w:ind w:left="720" w:hanging="720"/>
        <w:rPr>
          <w:rFonts w:ascii="Arial" w:cs="Arial" w:eastAsia="Arial" w:hAnsi="Arial"/>
          <w:highlight w:val="white"/>
        </w:rPr>
      </w:pPr>
      <w:r w:rsidDel="00000000" w:rsidR="00000000" w:rsidRPr="00000000">
        <w:rPr>
          <w:rFonts w:ascii="Arial" w:cs="Arial" w:eastAsia="Arial" w:hAnsi="Arial"/>
          <w:highlight w:val="white"/>
          <w:rtl w:val="0"/>
        </w:rPr>
        <w:t xml:space="preserve">Lee, Y. J. (2017). Associations between Use of Single-Parent Facility Programs and Public Support Programs and the Mental Health for Adolescent Single-Parent. </w:t>
      </w:r>
      <w:r w:rsidDel="00000000" w:rsidR="00000000" w:rsidRPr="00000000">
        <w:rPr>
          <w:rFonts w:ascii="Arial" w:cs="Arial" w:eastAsia="Arial" w:hAnsi="Arial"/>
          <w:i w:val="1"/>
          <w:highlight w:val="white"/>
          <w:rtl w:val="0"/>
        </w:rPr>
        <w:t xml:space="preserve">Journal of Korean Home Management Association</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35</w:t>
      </w:r>
      <w:r w:rsidDel="00000000" w:rsidR="00000000" w:rsidRPr="00000000">
        <w:rPr>
          <w:rFonts w:ascii="Arial" w:cs="Arial" w:eastAsia="Arial" w:hAnsi="Arial"/>
          <w:highlight w:val="white"/>
          <w:rtl w:val="0"/>
        </w:rPr>
        <w:t xml:space="preserve">(2), 93–112. https://doi.org/10.7466/jkhma.2017.35.2.93</w:t>
      </w:r>
    </w:p>
    <w:p w:rsidR="00000000" w:rsidDel="00000000" w:rsidP="00000000" w:rsidRDefault="00000000" w:rsidRPr="00000000" w14:paraId="00000054">
      <w:pPr>
        <w:pBdr>
          <w:top w:space="0" w:sz="0" w:val="nil"/>
          <w:left w:space="0" w:sz="0" w:val="nil"/>
          <w:bottom w:space="0" w:sz="0" w:val="nil"/>
          <w:right w:space="0" w:sz="0" w:val="nil"/>
          <w:between w:space="0" w:sz="0" w:val="nil"/>
        </w:pBdr>
        <w:spacing w:line="360" w:lineRule="auto"/>
        <w:ind w:left="720" w:hanging="720"/>
        <w:rPr>
          <w:rFonts w:ascii="Arial" w:cs="Arial" w:eastAsia="Arial" w:hAnsi="Arial"/>
          <w:highlight w:val="white"/>
        </w:rPr>
      </w:pPr>
      <w:r w:rsidDel="00000000" w:rsidR="00000000" w:rsidRPr="00000000">
        <w:rPr>
          <w:rFonts w:ascii="Arial" w:cs="Arial" w:eastAsia="Arial" w:hAnsi="Arial"/>
          <w:highlight w:val="white"/>
          <w:rtl w:val="0"/>
        </w:rPr>
        <w:t xml:space="preserve">Nadan, Y., &amp; Korbin, J. (2018). Cultural Context, Intersectionality, and Child Vulnerability. </w:t>
      </w:r>
      <w:r w:rsidDel="00000000" w:rsidR="00000000" w:rsidRPr="00000000">
        <w:rPr>
          <w:rFonts w:ascii="Arial" w:cs="Arial" w:eastAsia="Arial" w:hAnsi="Arial"/>
          <w:i w:val="1"/>
          <w:highlight w:val="white"/>
          <w:rtl w:val="0"/>
        </w:rPr>
        <w:t xml:space="preserve">Childhood Vulnerability Journal</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1</w:t>
      </w:r>
      <w:r w:rsidDel="00000000" w:rsidR="00000000" w:rsidRPr="00000000">
        <w:rPr>
          <w:rFonts w:ascii="Arial" w:cs="Arial" w:eastAsia="Arial" w:hAnsi="Arial"/>
          <w:highlight w:val="white"/>
          <w:rtl w:val="0"/>
        </w:rPr>
        <w:t xml:space="preserve">(1–3), 5–14. </w:t>
      </w:r>
      <w:hyperlink r:id="rId10">
        <w:r w:rsidDel="00000000" w:rsidR="00000000" w:rsidRPr="00000000">
          <w:rPr>
            <w:rFonts w:ascii="Arial" w:cs="Arial" w:eastAsia="Arial" w:hAnsi="Arial"/>
            <w:highlight w:val="white"/>
            <w:rtl w:val="0"/>
          </w:rPr>
          <w:t xml:space="preserve">https://doi.org/10.1007/s41255-019-00003-7</w:t>
        </w:r>
      </w:hyperlink>
      <w:r w:rsidDel="00000000" w:rsidR="00000000" w:rsidRPr="00000000">
        <w:rPr>
          <w:rtl w:val="0"/>
        </w:rPr>
      </w:r>
    </w:p>
    <w:p w:rsidR="00000000" w:rsidDel="00000000" w:rsidP="00000000" w:rsidRDefault="00000000" w:rsidRPr="00000000" w14:paraId="00000055">
      <w:pPr>
        <w:pBdr>
          <w:top w:space="0" w:sz="0" w:val="nil"/>
          <w:left w:space="0" w:sz="0" w:val="nil"/>
          <w:bottom w:space="0" w:sz="0" w:val="nil"/>
          <w:right w:space="0" w:sz="0" w:val="nil"/>
          <w:between w:space="0" w:sz="0" w:val="nil"/>
        </w:pBdr>
        <w:spacing w:line="360" w:lineRule="auto"/>
        <w:ind w:left="720" w:hanging="720"/>
        <w:rPr>
          <w:rFonts w:ascii="Arial" w:cs="Arial" w:eastAsia="Arial" w:hAnsi="Arial"/>
          <w:highlight w:val="white"/>
        </w:rPr>
      </w:pPr>
      <w:r w:rsidDel="00000000" w:rsidR="00000000" w:rsidRPr="00000000">
        <w:rPr>
          <w:rFonts w:ascii="Arial" w:cs="Arial" w:eastAsia="Arial" w:hAnsi="Arial"/>
          <w:highlight w:val="white"/>
          <w:rtl w:val="0"/>
        </w:rPr>
        <w:t xml:space="preserve">Schmuecker, K. (2017). Universal Credit: a Joseph Rowntree Foundation briefing. Joseph Rowntree</w:t>
      </w:r>
      <w:r w:rsidDel="00000000" w:rsidR="00000000" w:rsidRPr="00000000">
        <w:rPr>
          <w:rFonts w:ascii="Arial" w:cs="Arial" w:eastAsia="Arial" w:hAnsi="Arial"/>
          <w:color w:val="222222"/>
          <w:highlight w:val="white"/>
          <w:rtl w:val="0"/>
        </w:rPr>
        <w:t xml:space="preserve">.</w:t>
      </w:r>
      <w:r w:rsidDel="00000000" w:rsidR="00000000" w:rsidRPr="00000000">
        <w:rPr>
          <w:rtl w:val="0"/>
        </w:rPr>
      </w:r>
    </w:p>
    <w:sectPr>
      <w:headerReference r:id="rId11" w:type="default"/>
      <w:headerReference r:id="rId12"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6">
    <w:pPr>
      <w:pBdr>
        <w:top w:space="0" w:sz="0" w:val="nil"/>
        <w:left w:space="0" w:sz="0" w:val="nil"/>
        <w:bottom w:space="0" w:sz="0" w:val="nil"/>
        <w:right w:space="0" w:sz="0" w:val="nil"/>
        <w:between w:space="0" w:sz="0" w:val="nil"/>
      </w:pBdr>
      <w:tabs>
        <w:tab w:val="center" w:pos="4680"/>
        <w:tab w:val="right" w:pos="9360"/>
      </w:tabs>
      <w:spacing w:after="0" w:line="480" w:lineRule="auto"/>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Running head: CHILDREN, YOUNG PEOPLE AND FAMILIES                                                </w:t>
    </w:r>
    <w:r w:rsidDel="00000000" w:rsidR="00000000" w:rsidRPr="00000000">
      <w:rPr>
        <w:rFonts w:ascii="Times New Roman" w:cs="Times New Roman" w:eastAsia="Times New Roman" w:hAnsi="Times New Roman"/>
        <w:color w:val="000000"/>
        <w:sz w:val="24"/>
        <w:szCs w:val="24"/>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7">
    <w:pPr>
      <w:pBdr>
        <w:top w:space="0" w:sz="0" w:val="nil"/>
        <w:left w:space="0" w:sz="0" w:val="nil"/>
        <w:bottom w:space="0" w:sz="0" w:val="nil"/>
        <w:right w:space="0" w:sz="0" w:val="nil"/>
        <w:between w:space="0" w:sz="0" w:val="nil"/>
      </w:pBdr>
      <w:tabs>
        <w:tab w:val="center" w:pos="4680"/>
        <w:tab w:val="right" w:pos="9360"/>
      </w:tabs>
      <w:spacing w:after="0" w:line="480" w:lineRule="auto"/>
      <w:rPr>
        <w:rFonts w:ascii="Times New Roman" w:cs="Times New Roman" w:eastAsia="Times New Roman" w:hAnsi="Times New Roman"/>
        <w:color w:val="000000"/>
        <w:sz w:val="24"/>
        <w:szCs w:val="24"/>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8">
    <w:pPr>
      <w:pBdr>
        <w:top w:space="0" w:sz="0" w:val="nil"/>
        <w:left w:space="0" w:sz="0" w:val="nil"/>
        <w:bottom w:space="0" w:sz="0" w:val="nil"/>
        <w:right w:space="0" w:sz="0" w:val="nil"/>
        <w:between w:space="0" w:sz="0" w:val="nil"/>
      </w:pBdr>
      <w:tabs>
        <w:tab w:val="center" w:pos="4680"/>
        <w:tab w:val="right" w:pos="9360"/>
      </w:tabs>
      <w:spacing w:after="0" w:line="480" w:lineRule="auto"/>
      <w:jc w:val="right"/>
      <w:rPr>
        <w:color w:val="000000"/>
      </w:rPr>
    </w:pPr>
    <w:r w:rsidDel="00000000" w:rsidR="00000000" w:rsidRPr="00000000">
      <w:rPr>
        <w:rFonts w:ascii="Times New Roman" w:cs="Times New Roman" w:eastAsia="Times New Roman" w:hAnsi="Times New Roman"/>
        <w:color w:val="000000"/>
        <w:sz w:val="24"/>
        <w:szCs w:val="24"/>
        <w:rtl w:val="0"/>
      </w:rPr>
      <w:t xml:space="preserve">CHILDREN, YOUNG PEOPLE AND FAMILIES                                                                        </w:t>
    </w:r>
    <w:r w:rsidDel="00000000" w:rsidR="00000000" w:rsidRPr="00000000">
      <w:rPr>
        <w:rFonts w:ascii="Times New Roman" w:cs="Times New Roman" w:eastAsia="Times New Roman" w:hAnsi="Times New Roman"/>
        <w:color w:val="000000"/>
        <w:sz w:val="24"/>
        <w:szCs w:val="24"/>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9">
    <w:pPr>
      <w:pBdr>
        <w:top w:space="0" w:sz="0" w:val="nil"/>
        <w:left w:space="0" w:sz="0" w:val="nil"/>
        <w:bottom w:space="0" w:sz="0" w:val="nil"/>
        <w:right w:space="0" w:sz="0" w:val="nil"/>
        <w:between w:space="0" w:sz="0" w:val="nil"/>
      </w:pBdr>
      <w:tabs>
        <w:tab w:val="center" w:pos="4680"/>
        <w:tab w:val="right" w:pos="9360"/>
      </w:tabs>
      <w:spacing w:after="0" w:line="240" w:lineRule="auto"/>
      <w:rPr>
        <w:color w:val="00000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2.xml"/><Relationship Id="rId10" Type="http://schemas.openxmlformats.org/officeDocument/2006/relationships/hyperlink" Target="https://doi.org/10.1007/s41255-019-00003-7" TargetMode="External"/><Relationship Id="rId12" Type="http://schemas.openxmlformats.org/officeDocument/2006/relationships/header" Target="header1.xml"/><Relationship Id="rId9" Type="http://schemas.openxmlformats.org/officeDocument/2006/relationships/hyperlink" Target="https://doi.org/10.1080/15548731003799399"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i.org/10.1007/s41255-019-00005-5" TargetMode="External"/><Relationship Id="rId8" Type="http://schemas.openxmlformats.org/officeDocument/2006/relationships/hyperlink" Target="https://doi.org/10.1007/s41255-019-0000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