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7082420"/>
        <w:docPartObj>
          <w:docPartGallery w:val="Cover Pages"/>
          <w:docPartUnique/>
        </w:docPartObj>
      </w:sdtPr>
      <w:sdtContent>
        <w:p w14:paraId="0BFD8BD4" w14:textId="550A045B" w:rsidR="009D10A9" w:rsidRDefault="009D10A9"/>
        <w:p w14:paraId="08B64A96" w14:textId="60C3DD34" w:rsidR="009D10A9" w:rsidRDefault="009D10A9">
          <w:r>
            <w:rPr>
              <w:noProof/>
            </w:rPr>
            <mc:AlternateContent>
              <mc:Choice Requires="wpg">
                <w:drawing>
                  <wp:anchor distT="0" distB="0" distL="114300" distR="114300" simplePos="0" relativeHeight="251659264" behindDoc="1" locked="0" layoutInCell="1" allowOverlap="1" wp14:anchorId="64AE3896" wp14:editId="625F03A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1E7E913" w14:textId="5E14B9B9" w:rsidR="009D10A9" w:rsidRPr="00B14461" w:rsidRDefault="00B14461">
                                  <w:pPr>
                                    <w:rPr>
                                      <w:color w:val="FFFFFF" w:themeColor="background1"/>
                                      <w:sz w:val="72"/>
                                      <w:szCs w:val="72"/>
                                      <w:u w:val="single"/>
                                    </w:rPr>
                                  </w:pPr>
                                  <w:r w:rsidRPr="00B14461">
                                    <w:rPr>
                                      <w:color w:val="FFFFFF" w:themeColor="background1"/>
                                      <w:sz w:val="72"/>
                                      <w:szCs w:val="72"/>
                                      <w:u w:val="single"/>
                                    </w:rPr>
                                    <w:t xml:space="preserve">Liability by Omission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4AE389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1E7E913" w14:textId="5E14B9B9" w:rsidR="009D10A9" w:rsidRPr="00B14461" w:rsidRDefault="00B14461">
                            <w:pPr>
                              <w:rPr>
                                <w:color w:val="FFFFFF" w:themeColor="background1"/>
                                <w:sz w:val="72"/>
                                <w:szCs w:val="72"/>
                                <w:u w:val="single"/>
                              </w:rPr>
                            </w:pPr>
                            <w:r w:rsidRPr="00B14461">
                              <w:rPr>
                                <w:color w:val="FFFFFF" w:themeColor="background1"/>
                                <w:sz w:val="72"/>
                                <w:szCs w:val="72"/>
                                <w:u w:val="single"/>
                              </w:rPr>
                              <w:t xml:space="preserve">Liability by Omission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12DD649F" wp14:editId="7AB692A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158E80" w14:textId="54D96B72" w:rsidR="009D10A9" w:rsidRDefault="009D10A9" w:rsidP="00B14461">
                                <w:pPr>
                                  <w:pStyle w:val="NoSpacing"/>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2DD649F" id="Rectangle 130"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0C158E80" w14:textId="54D96B72" w:rsidR="009D10A9" w:rsidRDefault="009D10A9" w:rsidP="00B14461">
                          <w:pPr>
                            <w:pStyle w:val="NoSpacing"/>
                            <w:rPr>
                              <w:color w:val="FFFFFF" w:themeColor="background1"/>
                              <w:sz w:val="24"/>
                              <w:szCs w:val="24"/>
                            </w:rPr>
                          </w:pPr>
                        </w:p>
                      </w:txbxContent>
                    </v:textbox>
                    <w10:wrap anchorx="margin" anchory="page"/>
                  </v:rect>
                </w:pict>
              </mc:Fallback>
            </mc:AlternateContent>
          </w:r>
        </w:p>
      </w:sdtContent>
    </w:sdt>
    <w:p w14:paraId="728B4454" w14:textId="5A09F2AC" w:rsidR="001641FF" w:rsidRDefault="001641FF"/>
    <w:p w14:paraId="6921A051" w14:textId="77777777" w:rsidR="00B14461" w:rsidRDefault="00B14461"/>
    <w:p w14:paraId="6CB48C85" w14:textId="63ACA51E" w:rsidR="00B14461" w:rsidRDefault="00B14461">
      <w:r>
        <w:rPr>
          <w:noProof/>
        </w:rPr>
        <mc:AlternateContent>
          <mc:Choice Requires="wps">
            <w:drawing>
              <wp:anchor distT="0" distB="0" distL="114300" distR="114300" simplePos="0" relativeHeight="251661312" behindDoc="0" locked="0" layoutInCell="1" allowOverlap="1" wp14:anchorId="40DCC7D8" wp14:editId="7531646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53403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5342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C05D7B" w14:textId="6B3B9489" w:rsidR="009D10A9" w:rsidRDefault="00B14461">
                                <w:pPr>
                                  <w:pStyle w:val="NoSpacing"/>
                                  <w:spacing w:before="40" w:after="40"/>
                                  <w:rPr>
                                    <w:caps/>
                                    <w:color w:val="4472C4" w:themeColor="accent1"/>
                                    <w:sz w:val="28"/>
                                    <w:szCs w:val="28"/>
                                  </w:rPr>
                                </w:pPr>
                                <w:r>
                                  <w:rPr>
                                    <w:caps/>
                                    <w:color w:val="4472C4" w:themeColor="accent1"/>
                                    <w:sz w:val="28"/>
                                    <w:szCs w:val="28"/>
                                  </w:rPr>
                                  <w:t>Criminal law – Assingment 1      lecturer:   sadie france</w:t>
                                </w:r>
                              </w:p>
                            </w:sdtContent>
                          </w:sdt>
                          <w:sdt>
                            <w:sdtPr>
                              <w:rPr>
                                <w:caps/>
                                <w:color w:val="5B9BD5"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8CF1E44" w14:textId="256FC41B" w:rsidR="009D10A9" w:rsidRPr="00B14461" w:rsidRDefault="009D10A9">
                                <w:pPr>
                                  <w:pStyle w:val="NoSpacing"/>
                                  <w:spacing w:before="40" w:after="40"/>
                                  <w:rPr>
                                    <w:caps/>
                                    <w:color w:val="5B9BD5" w:themeColor="accent5"/>
                                    <w:sz w:val="28"/>
                                    <w:szCs w:val="28"/>
                                  </w:rPr>
                                </w:pPr>
                                <w:r w:rsidRPr="00B14461">
                                  <w:rPr>
                                    <w:caps/>
                                    <w:color w:val="5B9BD5" w:themeColor="accent5"/>
                                    <w:sz w:val="28"/>
                                    <w:szCs w:val="28"/>
                                  </w:rPr>
                                  <w:t>Lilu Meah (2009177)</w:t>
                                </w:r>
                                <w:r w:rsidR="00B14461" w:rsidRPr="00B14461">
                                  <w:rPr>
                                    <w:caps/>
                                    <w:color w:val="5B9BD5" w:themeColor="accent5"/>
                                    <w:sz w:val="28"/>
                                    <w:szCs w:val="28"/>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40DCC7D8" id="_x0000_t202" coordsize="21600,21600" o:spt="202" path="m,l,21600r21600,l21600,xe">
                <v:stroke joinstyle="miter"/>
                <v:path gradientshapeok="t" o:connecttype="rect"/>
              </v:shapetype>
              <v:shape id="Text Box 129" o:spid="_x0000_s1030" type="#_x0000_t202" style="position:absolute;margin-left:0;margin-top:0;width:453pt;height:42.0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C05D7B" w14:textId="6B3B9489" w:rsidR="009D10A9" w:rsidRDefault="00B14461">
                          <w:pPr>
                            <w:pStyle w:val="NoSpacing"/>
                            <w:spacing w:before="40" w:after="40"/>
                            <w:rPr>
                              <w:caps/>
                              <w:color w:val="4472C4" w:themeColor="accent1"/>
                              <w:sz w:val="28"/>
                              <w:szCs w:val="28"/>
                            </w:rPr>
                          </w:pPr>
                          <w:r>
                            <w:rPr>
                              <w:caps/>
                              <w:color w:val="4472C4" w:themeColor="accent1"/>
                              <w:sz w:val="28"/>
                              <w:szCs w:val="28"/>
                            </w:rPr>
                            <w:t>Criminal law – Assingment 1      lecturer:   sadie france</w:t>
                          </w:r>
                        </w:p>
                      </w:sdtContent>
                    </w:sdt>
                    <w:sdt>
                      <w:sdtPr>
                        <w:rPr>
                          <w:caps/>
                          <w:color w:val="5B9BD5"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8CF1E44" w14:textId="256FC41B" w:rsidR="009D10A9" w:rsidRPr="00B14461" w:rsidRDefault="009D10A9">
                          <w:pPr>
                            <w:pStyle w:val="NoSpacing"/>
                            <w:spacing w:before="40" w:after="40"/>
                            <w:rPr>
                              <w:caps/>
                              <w:color w:val="5B9BD5" w:themeColor="accent5"/>
                              <w:sz w:val="28"/>
                              <w:szCs w:val="28"/>
                            </w:rPr>
                          </w:pPr>
                          <w:r w:rsidRPr="00B14461">
                            <w:rPr>
                              <w:caps/>
                              <w:color w:val="5B9BD5" w:themeColor="accent5"/>
                              <w:sz w:val="28"/>
                              <w:szCs w:val="28"/>
                            </w:rPr>
                            <w:t>Lilu Meah (2009177)</w:t>
                          </w:r>
                          <w:r w:rsidR="00B14461" w:rsidRPr="00B14461">
                            <w:rPr>
                              <w:caps/>
                              <w:color w:val="5B9BD5" w:themeColor="accent5"/>
                              <w:sz w:val="28"/>
                              <w:szCs w:val="28"/>
                            </w:rPr>
                            <w:t xml:space="preserve"> </w:t>
                          </w:r>
                        </w:p>
                      </w:sdtContent>
                    </w:sdt>
                  </w:txbxContent>
                </v:textbox>
                <w10:wrap type="square" anchorx="page" anchory="page"/>
              </v:shape>
            </w:pict>
          </mc:Fallback>
        </mc:AlternateContent>
      </w:r>
      <w:r>
        <w:br w:type="page"/>
      </w:r>
    </w:p>
    <w:p w14:paraId="2B81ECDE" w14:textId="779E5FA5" w:rsidR="001641FF" w:rsidRDefault="00B14461">
      <w:pPr>
        <w:rPr>
          <w:sz w:val="28"/>
          <w:szCs w:val="28"/>
          <w:u w:val="single"/>
        </w:rPr>
      </w:pPr>
      <w:r w:rsidRPr="00B14461">
        <w:rPr>
          <w:noProof/>
          <w:sz w:val="28"/>
          <w:szCs w:val="28"/>
          <w:u w:val="single"/>
        </w:rPr>
        <w:lastRenderedPageBreak/>
        <mc:AlternateContent>
          <mc:Choice Requires="wps">
            <w:drawing>
              <wp:anchor distT="0" distB="0" distL="114300" distR="114300" simplePos="0" relativeHeight="251662336" behindDoc="0" locked="0" layoutInCell="1" allowOverlap="1" wp14:anchorId="2E547354" wp14:editId="11C826F8">
                <wp:simplePos x="0" y="0"/>
                <wp:positionH relativeFrom="page">
                  <wp:posOffset>472440</wp:posOffset>
                </wp:positionH>
                <wp:positionV relativeFrom="margin">
                  <wp:posOffset>8424545</wp:posOffset>
                </wp:positionV>
                <wp:extent cx="5753100" cy="433705"/>
                <wp:effectExtent l="0" t="0" r="0" b="444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4337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E5145E" w14:textId="4A197DE6" w:rsidR="009D10A9" w:rsidRPr="00B14461" w:rsidRDefault="009D10A9" w:rsidP="00B14461">
                            <w:pPr>
                              <w:pStyle w:val="NoSpacing"/>
                              <w:jc w:val="center"/>
                              <w:rPr>
                                <w:color w:val="7F7F7F" w:themeColor="text1" w:themeTint="80"/>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B14461">
                                  <w:rPr>
                                    <w:caps/>
                                    <w:color w:val="7F7F7F" w:themeColor="text1" w:themeTint="80"/>
                                    <w:sz w:val="18"/>
                                    <w:szCs w:val="18"/>
                                  </w:rPr>
                                  <w:t xml:space="preserve">     </w:t>
                                </w:r>
                              </w:sdtContent>
                            </w:sdt>
                            <w:r>
                              <w:rPr>
                                <w:caps/>
                                <w:color w:val="7F7F7F" w:themeColor="text1" w:themeTint="80"/>
                                <w:sz w:val="18"/>
                                <w:szCs w:val="18"/>
                              </w:rPr>
                              <w:t> </w:t>
                            </w:r>
                            <w:r>
                              <w:rPr>
                                <w:color w:val="7F7F7F" w:themeColor="text1" w:themeTint="80"/>
                                <w:sz w:val="18"/>
                                <w:szCs w:val="18"/>
                              </w:rPr>
                              <w:t> </w:t>
                            </w:r>
                            <w:sdt>
                              <w:sdtPr>
                                <w:rPr>
                                  <w:color w:val="000000" w:themeColor="text1"/>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B14461" w:rsidRPr="00B14461">
                                  <w:rPr>
                                    <w:color w:val="000000" w:themeColor="text1"/>
                                    <w:sz w:val="28"/>
                                    <w:szCs w:val="28"/>
                                  </w:rPr>
                                  <w:t>Module Code: BMLW40005/BMPL4009</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2E547354" id="Text Box 128" o:spid="_x0000_s1031" type="#_x0000_t202" style="position:absolute;margin-left:37.2pt;margin-top:663.35pt;width:453pt;height:34.1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" filled="f" stroked="f" strokeweight=".5pt">
                <v:textbox inset="1in,0,86.4pt,0">
                  <w:txbxContent>
                    <w:p w14:paraId="22E5145E" w14:textId="4A197DE6" w:rsidR="009D10A9" w:rsidRPr="00B14461" w:rsidRDefault="009D10A9" w:rsidP="00B14461">
                      <w:pPr>
                        <w:pStyle w:val="NoSpacing"/>
                        <w:jc w:val="center"/>
                        <w:rPr>
                          <w:color w:val="7F7F7F" w:themeColor="text1" w:themeTint="80"/>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B14461">
                            <w:rPr>
                              <w:caps/>
                              <w:color w:val="7F7F7F" w:themeColor="text1" w:themeTint="80"/>
                              <w:sz w:val="18"/>
                              <w:szCs w:val="18"/>
                            </w:rPr>
                            <w:t xml:space="preserve">     </w:t>
                          </w:r>
                        </w:sdtContent>
                      </w:sdt>
                      <w:r>
                        <w:rPr>
                          <w:caps/>
                          <w:color w:val="7F7F7F" w:themeColor="text1" w:themeTint="80"/>
                          <w:sz w:val="18"/>
                          <w:szCs w:val="18"/>
                        </w:rPr>
                        <w:t> </w:t>
                      </w:r>
                      <w:r>
                        <w:rPr>
                          <w:color w:val="7F7F7F" w:themeColor="text1" w:themeTint="80"/>
                          <w:sz w:val="18"/>
                          <w:szCs w:val="18"/>
                        </w:rPr>
                        <w:t> </w:t>
                      </w:r>
                      <w:sdt>
                        <w:sdtPr>
                          <w:rPr>
                            <w:color w:val="000000" w:themeColor="text1"/>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B14461" w:rsidRPr="00B14461">
                            <w:rPr>
                              <w:color w:val="000000" w:themeColor="text1"/>
                              <w:sz w:val="28"/>
                              <w:szCs w:val="28"/>
                            </w:rPr>
                            <w:t>Module Code: BMLW40005/BMPL4009</w:t>
                          </w:r>
                        </w:sdtContent>
                      </w:sdt>
                    </w:p>
                  </w:txbxContent>
                </v:textbox>
                <w10:wrap type="square" anchorx="page" anchory="margin"/>
              </v:shape>
            </w:pict>
          </mc:Fallback>
        </mc:AlternateContent>
      </w:r>
      <w:r w:rsidRPr="00B14461">
        <w:rPr>
          <w:sz w:val="28"/>
          <w:szCs w:val="28"/>
          <w:u w:val="single"/>
        </w:rPr>
        <w:t>Discuss when criminal liability will be upheld for failing to act.</w:t>
      </w:r>
    </w:p>
    <w:p w14:paraId="3588D8F1" w14:textId="05B01BB1" w:rsidR="00B14461" w:rsidRDefault="0030026D">
      <w:pPr>
        <w:rPr>
          <w:sz w:val="24"/>
          <w:szCs w:val="24"/>
        </w:rPr>
      </w:pPr>
      <w:r>
        <w:rPr>
          <w:sz w:val="24"/>
          <w:szCs w:val="24"/>
        </w:rPr>
        <w:t xml:space="preserve">To introduce this assignment, </w:t>
      </w:r>
      <w:r w:rsidR="001E1352">
        <w:rPr>
          <w:sz w:val="24"/>
          <w:szCs w:val="24"/>
        </w:rPr>
        <w:t>this</w:t>
      </w:r>
      <w:r>
        <w:rPr>
          <w:sz w:val="24"/>
          <w:szCs w:val="24"/>
        </w:rPr>
        <w:t xml:space="preserve"> </w:t>
      </w:r>
      <w:r w:rsidR="00AE6D33">
        <w:rPr>
          <w:sz w:val="24"/>
          <w:szCs w:val="24"/>
        </w:rPr>
        <w:t xml:space="preserve">assignment </w:t>
      </w:r>
      <w:r>
        <w:rPr>
          <w:sz w:val="24"/>
          <w:szCs w:val="24"/>
        </w:rPr>
        <w:t>will be talking about criminal liability and its failure to act and how it can be spoken into more depth. Furthermore,</w:t>
      </w:r>
      <w:r w:rsidR="001E1352">
        <w:rPr>
          <w:sz w:val="24"/>
          <w:szCs w:val="24"/>
        </w:rPr>
        <w:t xml:space="preserve"> it </w:t>
      </w:r>
      <w:r>
        <w:rPr>
          <w:sz w:val="24"/>
          <w:szCs w:val="24"/>
        </w:rPr>
        <w:t xml:space="preserve">will be outlining the importance of the failure to act </w:t>
      </w:r>
      <w:r w:rsidR="00D03532">
        <w:rPr>
          <w:sz w:val="24"/>
          <w:szCs w:val="24"/>
        </w:rPr>
        <w:t>which is known as the term ‘omissions’ and breaking it down into depth to understand liability of omissions effectively.</w:t>
      </w:r>
      <w:r w:rsidR="00552EE8">
        <w:rPr>
          <w:sz w:val="24"/>
          <w:szCs w:val="24"/>
        </w:rPr>
        <w:t xml:space="preserve"> </w:t>
      </w:r>
    </w:p>
    <w:p w14:paraId="54AF09F6" w14:textId="537007A6" w:rsidR="001E1352" w:rsidRDefault="001E1352">
      <w:pPr>
        <w:rPr>
          <w:sz w:val="24"/>
          <w:szCs w:val="24"/>
        </w:rPr>
      </w:pPr>
      <w:r>
        <w:rPr>
          <w:sz w:val="24"/>
          <w:szCs w:val="24"/>
        </w:rPr>
        <w:t xml:space="preserve">Omissions is seen as the failure to act, to have the responsibility to be a </w:t>
      </w:r>
      <w:r w:rsidR="003E655C">
        <w:rPr>
          <w:sz w:val="24"/>
          <w:szCs w:val="24"/>
        </w:rPr>
        <w:t>person’s</w:t>
      </w:r>
      <w:r>
        <w:rPr>
          <w:sz w:val="24"/>
          <w:szCs w:val="24"/>
        </w:rPr>
        <w:t xml:space="preserve"> duty of care and being liable for a specific duty of care, however failing to come </w:t>
      </w:r>
      <w:r w:rsidR="00AE6D33">
        <w:rPr>
          <w:sz w:val="24"/>
          <w:szCs w:val="24"/>
        </w:rPr>
        <w:t>into</w:t>
      </w:r>
      <w:r>
        <w:rPr>
          <w:sz w:val="24"/>
          <w:szCs w:val="24"/>
        </w:rPr>
        <w:t xml:space="preserve"> terms and meet with the needs which is also known as negligence</w:t>
      </w:r>
      <w:r w:rsidR="00AE6D33">
        <w:rPr>
          <w:sz w:val="24"/>
          <w:szCs w:val="24"/>
        </w:rPr>
        <w:t xml:space="preserve">, can result in an omission. Omission is seen as </w:t>
      </w:r>
      <w:r>
        <w:rPr>
          <w:sz w:val="24"/>
          <w:szCs w:val="24"/>
        </w:rPr>
        <w:t>‘’the opposite of action- it is non-action (which is not doing), an absence of action’’. (Ambos,2020).</w:t>
      </w:r>
    </w:p>
    <w:p w14:paraId="10B68394" w14:textId="363EE6BE" w:rsidR="003E655C" w:rsidRDefault="003E655C">
      <w:pPr>
        <w:rPr>
          <w:sz w:val="24"/>
          <w:szCs w:val="24"/>
        </w:rPr>
      </w:pPr>
      <w:r>
        <w:rPr>
          <w:sz w:val="24"/>
          <w:szCs w:val="24"/>
        </w:rPr>
        <w:t>An omission can also be seen as a pre agreed contract or promise, but then is failed to act upon. This can be towards a duty of care for an individual or the public. An example of an omission in criminal law is a mother failing to provide her baby wit</w:t>
      </w:r>
      <w:r w:rsidR="00AE6D33">
        <w:rPr>
          <w:sz w:val="24"/>
          <w:szCs w:val="24"/>
        </w:rPr>
        <w:t>h</w:t>
      </w:r>
      <w:r>
        <w:rPr>
          <w:sz w:val="24"/>
          <w:szCs w:val="24"/>
        </w:rPr>
        <w:t xml:space="preserve"> food which resulted in her baby’s death. This is seen as an omission as the mother had a duty to take </w:t>
      </w:r>
      <w:r w:rsidR="00AE6D33">
        <w:rPr>
          <w:sz w:val="24"/>
          <w:szCs w:val="24"/>
        </w:rPr>
        <w:t xml:space="preserve">care </w:t>
      </w:r>
      <w:r>
        <w:rPr>
          <w:sz w:val="24"/>
          <w:szCs w:val="24"/>
        </w:rPr>
        <w:t>of her child, therefore, she is liable and responsible for an omission. This is supported through the case of</w:t>
      </w:r>
      <w:r w:rsidR="00FC54A6">
        <w:rPr>
          <w:sz w:val="24"/>
          <w:szCs w:val="24"/>
        </w:rPr>
        <w:t xml:space="preserve"> R v Hood [2003], where the defendant’s wife had been suffering from osteoporosis and had fallen. The husband ha</w:t>
      </w:r>
      <w:r w:rsidR="00AE6D33">
        <w:rPr>
          <w:sz w:val="24"/>
          <w:szCs w:val="24"/>
        </w:rPr>
        <w:t xml:space="preserve">d </w:t>
      </w:r>
      <w:r w:rsidR="00FC54A6">
        <w:rPr>
          <w:sz w:val="24"/>
          <w:szCs w:val="24"/>
        </w:rPr>
        <w:t xml:space="preserve">failed to get her medical attention, her state had </w:t>
      </w:r>
      <w:r w:rsidR="00572EB4">
        <w:rPr>
          <w:sz w:val="24"/>
          <w:szCs w:val="24"/>
        </w:rPr>
        <w:t>deteriorated,</w:t>
      </w:r>
      <w:r w:rsidR="00FC54A6">
        <w:rPr>
          <w:sz w:val="24"/>
          <w:szCs w:val="24"/>
        </w:rPr>
        <w:t xml:space="preserve"> and she died. The mens rea of this case is failing to get medical attention for weeks. The husband had been aware of her disease yet failed to </w:t>
      </w:r>
      <w:proofErr w:type="gramStart"/>
      <w:r w:rsidR="00AE6D33">
        <w:rPr>
          <w:sz w:val="24"/>
          <w:szCs w:val="24"/>
        </w:rPr>
        <w:t>take</w:t>
      </w:r>
      <w:r w:rsidR="00FC54A6">
        <w:rPr>
          <w:sz w:val="24"/>
          <w:szCs w:val="24"/>
        </w:rPr>
        <w:t xml:space="preserve"> action</w:t>
      </w:r>
      <w:proofErr w:type="gramEnd"/>
      <w:r w:rsidR="00FC54A6">
        <w:rPr>
          <w:sz w:val="24"/>
          <w:szCs w:val="24"/>
        </w:rPr>
        <w:t xml:space="preserve">. (Loquitur,2022). </w:t>
      </w:r>
      <w:r w:rsidR="00AE6D33">
        <w:rPr>
          <w:sz w:val="24"/>
          <w:szCs w:val="24"/>
        </w:rPr>
        <w:t>A failure to meet a d</w:t>
      </w:r>
      <w:r w:rsidR="007848AA">
        <w:rPr>
          <w:sz w:val="24"/>
          <w:szCs w:val="24"/>
        </w:rPr>
        <w:t xml:space="preserve">uty of care </w:t>
      </w:r>
      <w:r w:rsidR="00AE6D33">
        <w:rPr>
          <w:sz w:val="24"/>
          <w:szCs w:val="24"/>
        </w:rPr>
        <w:t>also</w:t>
      </w:r>
      <w:r w:rsidR="007848AA">
        <w:rPr>
          <w:sz w:val="24"/>
          <w:szCs w:val="24"/>
        </w:rPr>
        <w:t xml:space="preserve"> means if a person created a dangerous situation, then they are fully responsible for any harm that is caused. </w:t>
      </w:r>
      <w:r w:rsidR="00AE559A">
        <w:rPr>
          <w:sz w:val="24"/>
          <w:szCs w:val="24"/>
        </w:rPr>
        <w:t xml:space="preserve">‘Duty of care is related to a low threshold for a legal responsibility for the outcome and consequence of a person’s </w:t>
      </w:r>
      <w:r w:rsidR="00FC54A6">
        <w:rPr>
          <w:sz w:val="24"/>
          <w:szCs w:val="24"/>
        </w:rPr>
        <w:t>actions</w:t>
      </w:r>
      <w:r w:rsidR="00AE559A">
        <w:rPr>
          <w:sz w:val="24"/>
          <w:szCs w:val="24"/>
        </w:rPr>
        <w:t>. (Dill, 2019)</w:t>
      </w:r>
      <w:r w:rsidR="00B8531A">
        <w:rPr>
          <w:sz w:val="24"/>
          <w:szCs w:val="24"/>
        </w:rPr>
        <w:t>.</w:t>
      </w:r>
    </w:p>
    <w:p w14:paraId="335DA3CF" w14:textId="4E2C5820" w:rsidR="00B8531A" w:rsidRDefault="000538ED">
      <w:pPr>
        <w:rPr>
          <w:sz w:val="24"/>
          <w:szCs w:val="24"/>
        </w:rPr>
      </w:pPr>
      <w:r>
        <w:rPr>
          <w:sz w:val="24"/>
          <w:szCs w:val="24"/>
        </w:rPr>
        <w:t>‘Lord Atkin had highlighted in the House of Lords that there is an overall conception of relationships giving rise to a duty of care’. (David, 2019).</w:t>
      </w:r>
      <w:r w:rsidR="00AE6D33">
        <w:rPr>
          <w:sz w:val="24"/>
          <w:szCs w:val="24"/>
        </w:rPr>
        <w:t xml:space="preserve"> This is supported in the case of </w:t>
      </w:r>
      <w:r w:rsidR="006D7098">
        <w:rPr>
          <w:sz w:val="24"/>
          <w:szCs w:val="24"/>
        </w:rPr>
        <w:t xml:space="preserve">R v Willoughby [2004], where the appellant and Mr Drury had been involved in burning their pub as they were in debt. The building ended up collapsing, killing Mr Drury. Its seen that the appellant had a duty of care to be responsible for Mr Drury’s death, as he had the mens rea to set the pub on fire, knowing the potential dangers of the action which is his actus reus, and still going ahead with the act. This was seen as a duty to act as the appellant has ownership over the building and had </w:t>
      </w:r>
      <w:r w:rsidR="00EF73AB">
        <w:rPr>
          <w:sz w:val="24"/>
          <w:szCs w:val="24"/>
        </w:rPr>
        <w:t xml:space="preserve">used misdirection, causing a dangerous situation which led too death. </w:t>
      </w:r>
    </w:p>
    <w:p w14:paraId="5818BA8D" w14:textId="60F48839" w:rsidR="00191ADA" w:rsidRDefault="000538ED">
      <w:pPr>
        <w:rPr>
          <w:sz w:val="24"/>
          <w:szCs w:val="24"/>
        </w:rPr>
      </w:pPr>
      <w:r>
        <w:rPr>
          <w:sz w:val="24"/>
          <w:szCs w:val="24"/>
        </w:rPr>
        <w:t xml:space="preserve">One of the common questions regarding to omissions is if </w:t>
      </w:r>
      <w:r w:rsidR="00C50559">
        <w:rPr>
          <w:sz w:val="24"/>
          <w:szCs w:val="24"/>
        </w:rPr>
        <w:t>it</w:t>
      </w:r>
      <w:r w:rsidR="00191ADA">
        <w:rPr>
          <w:sz w:val="24"/>
          <w:szCs w:val="24"/>
        </w:rPr>
        <w:t>’</w:t>
      </w:r>
      <w:r w:rsidR="00C50559">
        <w:rPr>
          <w:sz w:val="24"/>
          <w:szCs w:val="24"/>
        </w:rPr>
        <w:t>s regarded as an offence. An omission</w:t>
      </w:r>
      <w:r w:rsidR="00191ADA">
        <w:rPr>
          <w:sz w:val="24"/>
          <w:szCs w:val="24"/>
        </w:rPr>
        <w:t>. An omission that includes both mens rea and actus reus will result in a negligence and a failure to act, which is formed into an offence if a defendant fails to meet standards. ‘’R v Evans [2009] holds that if a person merely facilitates another to create a dangerous situation for himself, that person may be held criminally liable for an offence’’ (Dennis 2012)</w:t>
      </w:r>
      <w:r w:rsidR="00E05486">
        <w:rPr>
          <w:sz w:val="24"/>
          <w:szCs w:val="24"/>
        </w:rPr>
        <w:t>.</w:t>
      </w:r>
      <w:r w:rsidR="00415C20">
        <w:rPr>
          <w:sz w:val="24"/>
          <w:szCs w:val="24"/>
        </w:rPr>
        <w:t xml:space="preserve"> </w:t>
      </w:r>
      <w:r w:rsidR="00E05486">
        <w:rPr>
          <w:sz w:val="24"/>
          <w:szCs w:val="24"/>
        </w:rPr>
        <w:t>I</w:t>
      </w:r>
      <w:r w:rsidR="00415C20">
        <w:rPr>
          <w:sz w:val="24"/>
          <w:szCs w:val="24"/>
        </w:rPr>
        <w:t xml:space="preserve">n the case of R v Evans, </w:t>
      </w:r>
      <w:r w:rsidR="00E05486">
        <w:rPr>
          <w:sz w:val="24"/>
          <w:szCs w:val="24"/>
        </w:rPr>
        <w:t xml:space="preserve">Evans had bought her half-sister Carly heroin. Carly proceeded to inject herself with heroin, resulting in her death. Evans realised Carly had </w:t>
      </w:r>
      <w:r w:rsidR="00E05486">
        <w:rPr>
          <w:sz w:val="24"/>
          <w:szCs w:val="24"/>
        </w:rPr>
        <w:lastRenderedPageBreak/>
        <w:t xml:space="preserve">symptoms of an overdose but proceeded to not get medical assistance and put her to bed. The next day, Carly was found dead. </w:t>
      </w:r>
      <w:r w:rsidR="00685C7B">
        <w:rPr>
          <w:sz w:val="24"/>
          <w:szCs w:val="24"/>
        </w:rPr>
        <w:t>The outcome of thi</w:t>
      </w:r>
      <w:r w:rsidR="00C05C5D">
        <w:rPr>
          <w:sz w:val="24"/>
          <w:szCs w:val="24"/>
        </w:rPr>
        <w:t xml:space="preserve">s case was held that Evans was </w:t>
      </w:r>
      <w:r w:rsidR="0061763F">
        <w:rPr>
          <w:sz w:val="24"/>
          <w:szCs w:val="24"/>
        </w:rPr>
        <w:t xml:space="preserve">gross negligence manslaughter. </w:t>
      </w:r>
      <w:r w:rsidR="00FA4A90">
        <w:rPr>
          <w:sz w:val="24"/>
          <w:szCs w:val="24"/>
        </w:rPr>
        <w:t>T</w:t>
      </w:r>
      <w:r w:rsidR="0061763F" w:rsidRPr="00FA4A90">
        <w:rPr>
          <w:sz w:val="24"/>
          <w:szCs w:val="24"/>
        </w:rPr>
        <w:t>here needs to be a mens rea and actus reus apparent in order to claim an offence</w:t>
      </w:r>
      <w:r w:rsidR="0061763F" w:rsidRPr="00E46AED">
        <w:rPr>
          <w:i/>
          <w:iCs/>
          <w:sz w:val="24"/>
          <w:szCs w:val="24"/>
        </w:rPr>
        <w:t>.</w:t>
      </w:r>
      <w:r w:rsidR="0061763F">
        <w:rPr>
          <w:sz w:val="24"/>
          <w:szCs w:val="24"/>
        </w:rPr>
        <w:t xml:space="preserve"> As Evans had a partial contribution to Carly’s death by creating a life-threatening situation by not take the steps to help her life, its seen that her mens rea of her mentality of getting into trouble was more important than saving a person’s life. The actus reus was present by seeing the symptoms of an overdose but not taking further action as well as giving Carly heroin. </w:t>
      </w:r>
      <w:r w:rsidR="00FA4A90">
        <w:rPr>
          <w:sz w:val="24"/>
          <w:szCs w:val="24"/>
        </w:rPr>
        <w:t>(Murphy 2010).</w:t>
      </w:r>
      <w:r w:rsidR="00C65231">
        <w:rPr>
          <w:sz w:val="24"/>
          <w:szCs w:val="24"/>
        </w:rPr>
        <w:t xml:space="preserve"> </w:t>
      </w:r>
    </w:p>
    <w:p w14:paraId="201ADC5C" w14:textId="5A208E4F" w:rsidR="00C65231" w:rsidRDefault="00C65231">
      <w:pPr>
        <w:rPr>
          <w:sz w:val="24"/>
          <w:szCs w:val="24"/>
        </w:rPr>
      </w:pPr>
      <w:r>
        <w:rPr>
          <w:sz w:val="24"/>
          <w:szCs w:val="24"/>
        </w:rPr>
        <w:t xml:space="preserve">In relation to the question, there needs to be both the </w:t>
      </w:r>
      <w:r w:rsidR="00D60567">
        <w:rPr>
          <w:sz w:val="24"/>
          <w:szCs w:val="24"/>
        </w:rPr>
        <w:t>guilty</w:t>
      </w:r>
      <w:r>
        <w:rPr>
          <w:sz w:val="24"/>
          <w:szCs w:val="24"/>
        </w:rPr>
        <w:t xml:space="preserve"> act of the mind as well as the physical action, this is known as mens rea and actus reus. A physical element of a crime would be stabbing a person, the mens rea would be the intention/planning of killing that person. Mens rea is seen as the guilty mind of an individual, this is required for most cases of murder as it is required to be proven as part of an element of the crime. The definition of negligence is also seen in more detail in (Simeter,2011) where ‘</w:t>
      </w:r>
      <w:r w:rsidR="00F306F1">
        <w:rPr>
          <w:sz w:val="24"/>
          <w:szCs w:val="24"/>
        </w:rPr>
        <w:t xml:space="preserve">criminal conviction is establishing the element of the guilty of the mind, for that reason the guilt tests are not only on intent but on the elements as well’. </w:t>
      </w:r>
    </w:p>
    <w:p w14:paraId="62991FA8" w14:textId="127F61F4" w:rsidR="00F306F1" w:rsidRDefault="00F306F1">
      <w:pPr>
        <w:rPr>
          <w:sz w:val="24"/>
          <w:szCs w:val="24"/>
        </w:rPr>
      </w:pPr>
      <w:r>
        <w:rPr>
          <w:sz w:val="24"/>
          <w:szCs w:val="24"/>
        </w:rPr>
        <w:t>Generally</w:t>
      </w:r>
      <w:r w:rsidR="00DB65CA">
        <w:rPr>
          <w:sz w:val="24"/>
          <w:szCs w:val="24"/>
        </w:rPr>
        <w:t>,</w:t>
      </w:r>
      <w:r>
        <w:rPr>
          <w:sz w:val="24"/>
          <w:szCs w:val="24"/>
        </w:rPr>
        <w:t xml:space="preserve"> there is a duty to act in criminal law, this is given when the defendant accepted and applied reasonable steps. If the defendant creates a harmful or a dangerous situation, then they may be applied under a duty to take the reasonable steps in order to divert danger or to stop/prevent it. In addition, in </w:t>
      </w:r>
      <w:r w:rsidR="00DB65CA">
        <w:rPr>
          <w:sz w:val="24"/>
          <w:szCs w:val="24"/>
        </w:rPr>
        <w:t>statutory</w:t>
      </w:r>
      <w:r>
        <w:rPr>
          <w:sz w:val="24"/>
          <w:szCs w:val="24"/>
        </w:rPr>
        <w:t xml:space="preserve"> duty regarding to criminal law, a breach of duty is imposed on an individual or by a body of </w:t>
      </w:r>
      <w:r w:rsidR="002D0E31">
        <w:rPr>
          <w:sz w:val="24"/>
          <w:szCs w:val="24"/>
        </w:rPr>
        <w:t>statute</w:t>
      </w:r>
      <w:r>
        <w:rPr>
          <w:sz w:val="24"/>
          <w:szCs w:val="24"/>
        </w:rPr>
        <w:t xml:space="preserve">. This means that the person who is involved in the breach of duty of </w:t>
      </w:r>
      <w:r w:rsidR="00DB65CA">
        <w:rPr>
          <w:sz w:val="24"/>
          <w:szCs w:val="24"/>
        </w:rPr>
        <w:t>statutory</w:t>
      </w:r>
      <w:r>
        <w:rPr>
          <w:sz w:val="24"/>
          <w:szCs w:val="24"/>
        </w:rPr>
        <w:t xml:space="preserve"> duty is responsible and liable for any criminal consequences such as a penalty which is given by the </w:t>
      </w:r>
      <w:r w:rsidR="002D0E31">
        <w:rPr>
          <w:sz w:val="24"/>
          <w:szCs w:val="24"/>
        </w:rPr>
        <w:t>statute</w:t>
      </w:r>
      <w:r>
        <w:rPr>
          <w:sz w:val="24"/>
          <w:szCs w:val="24"/>
        </w:rPr>
        <w:t>. Furthermore, this may also mean that the individual may be liable to pay a person who is injured. In in order to establish a duty of care, ‘whether it is owed or not owed, the courts must follow  authority’ (Tofaris, 2018)</w:t>
      </w:r>
      <w:r w:rsidR="00145535">
        <w:rPr>
          <w:sz w:val="24"/>
          <w:szCs w:val="24"/>
        </w:rPr>
        <w:t xml:space="preserve">. Generally, </w:t>
      </w:r>
      <w:r w:rsidR="002D0E31">
        <w:rPr>
          <w:sz w:val="24"/>
          <w:szCs w:val="24"/>
        </w:rPr>
        <w:t xml:space="preserve">mostly everything in the court consists of duty of care, whether if that’s between a manager and their employees and their safety, to a father and his child or even doctors to their patients. All these consists of a general duty of care. </w:t>
      </w:r>
    </w:p>
    <w:p w14:paraId="7A0664AB" w14:textId="39C74FE7" w:rsidR="000C690B" w:rsidRDefault="000C690B">
      <w:pPr>
        <w:rPr>
          <w:sz w:val="24"/>
          <w:szCs w:val="24"/>
        </w:rPr>
      </w:pPr>
      <w:r>
        <w:rPr>
          <w:sz w:val="24"/>
          <w:szCs w:val="24"/>
        </w:rPr>
        <w:t>There are a few conditions that must be apparent and met for a breach o</w:t>
      </w:r>
      <w:r w:rsidR="00572EB4">
        <w:rPr>
          <w:sz w:val="24"/>
          <w:szCs w:val="24"/>
        </w:rPr>
        <w:t>f</w:t>
      </w:r>
      <w:r>
        <w:rPr>
          <w:sz w:val="24"/>
          <w:szCs w:val="24"/>
        </w:rPr>
        <w:t xml:space="preserve"> duty. One of the things that must be highlighted is that there must be a statutory duty given to the claimant. There needs to be a breach of duty by the defendant as well as damage to the claimant. The damager however must be seen and caused by the breach of duty. </w:t>
      </w:r>
    </w:p>
    <w:p w14:paraId="146C811B" w14:textId="211553F8" w:rsidR="003E655C" w:rsidRDefault="005A2B95" w:rsidP="001E1352">
      <w:pPr>
        <w:rPr>
          <w:sz w:val="24"/>
          <w:szCs w:val="24"/>
        </w:rPr>
      </w:pPr>
      <w:r>
        <w:rPr>
          <w:sz w:val="24"/>
          <w:szCs w:val="24"/>
        </w:rPr>
        <w:t xml:space="preserve">A contractual duty initially sets out an agreement for the employee which includes their employment conditions, responsibilities in the workplace as well as their rights within the workplace. However, if the organisation is unable to do so, then ‘the contractor is liable for any loss or damage caused’(Union,2016). Furthermore, a contractual duty is underlining that a party/organisation is liable and legally responsible to provide a contract agreement. </w:t>
      </w:r>
      <w:r w:rsidR="00572EB4">
        <w:rPr>
          <w:sz w:val="24"/>
          <w:szCs w:val="24"/>
        </w:rPr>
        <w:t>This sets out the care for the people that might b injured if a contract is not set out.</w:t>
      </w:r>
      <w:r w:rsidR="007D1A1E">
        <w:rPr>
          <w:sz w:val="24"/>
          <w:szCs w:val="24"/>
        </w:rPr>
        <w:t xml:space="preserve"> </w:t>
      </w:r>
      <w:r w:rsidR="00572EB4">
        <w:rPr>
          <w:sz w:val="24"/>
          <w:szCs w:val="24"/>
        </w:rPr>
        <w:t xml:space="preserve">R v </w:t>
      </w:r>
      <w:r w:rsidR="007D1A1E">
        <w:rPr>
          <w:sz w:val="24"/>
          <w:szCs w:val="24"/>
        </w:rPr>
        <w:t>Pitt wood</w:t>
      </w:r>
      <w:r w:rsidR="00572EB4">
        <w:rPr>
          <w:sz w:val="24"/>
          <w:szCs w:val="24"/>
        </w:rPr>
        <w:t xml:space="preserve"> [1902] 19 TLR 37, is seen that the defendant was gate keeper on a railway crossing, he has left the gate open before he went to lunch, forgetting to close it. This resulted in a person getting stuck on the tracks and the defendant was convicted of </w:t>
      </w:r>
      <w:r w:rsidR="007D1A1E">
        <w:rPr>
          <w:sz w:val="24"/>
          <w:szCs w:val="24"/>
        </w:rPr>
        <w:t xml:space="preserve">manslaughter. In </w:t>
      </w:r>
      <w:r w:rsidR="007D1A1E">
        <w:rPr>
          <w:sz w:val="24"/>
          <w:szCs w:val="24"/>
        </w:rPr>
        <w:lastRenderedPageBreak/>
        <w:t>terms of c contractual duty, its known that in a matter of time, the contract would end/be terminated.</w:t>
      </w:r>
    </w:p>
    <w:p w14:paraId="5401D469" w14:textId="4DD0FE2A" w:rsidR="005A2B95" w:rsidRDefault="005A2B95" w:rsidP="001E1352">
      <w:pPr>
        <w:rPr>
          <w:sz w:val="24"/>
          <w:szCs w:val="24"/>
        </w:rPr>
      </w:pPr>
      <w:r>
        <w:rPr>
          <w:sz w:val="24"/>
          <w:szCs w:val="24"/>
        </w:rPr>
        <w:t>In terms of duty of care, ‘’its seen as it is used to cover several aspects of law’’(Chris</w:t>
      </w:r>
      <w:r w:rsidR="00061C03">
        <w:rPr>
          <w:sz w:val="24"/>
          <w:szCs w:val="24"/>
        </w:rPr>
        <w:t>,202</w:t>
      </w:r>
      <w:r w:rsidR="00042EC0">
        <w:rPr>
          <w:sz w:val="24"/>
          <w:szCs w:val="24"/>
        </w:rPr>
        <w:t xml:space="preserve">0). </w:t>
      </w:r>
      <w:r w:rsidR="0048770C">
        <w:rPr>
          <w:sz w:val="24"/>
          <w:szCs w:val="24"/>
        </w:rPr>
        <w:t>This is seen i</w:t>
      </w:r>
      <w:r w:rsidR="00042EC0">
        <w:rPr>
          <w:sz w:val="24"/>
          <w:szCs w:val="24"/>
        </w:rPr>
        <w:t>n the case of Airedale NHS Trust v Bland</w:t>
      </w:r>
      <w:r w:rsidR="0048770C">
        <w:rPr>
          <w:sz w:val="24"/>
          <w:szCs w:val="24"/>
        </w:rPr>
        <w:t xml:space="preserve"> 1993, Bland was injured when he was seventeen and was unresponsive, thus, he was put in a life support machine which he was technically alive as his heart and body was still functioning. As doctors were feeding Bland through a tube and had the approval to remove the feeding the tube as his state was not improving. The issue with this was the patient didn’t have a say in their treatment and the decision that the doctors made. Doctors are allowed to make a decision which is in the best interests of the </w:t>
      </w:r>
      <w:r w:rsidR="00DB65CA">
        <w:rPr>
          <w:sz w:val="24"/>
          <w:szCs w:val="24"/>
        </w:rPr>
        <w:t>patient however</w:t>
      </w:r>
      <w:r w:rsidR="0048770C">
        <w:rPr>
          <w:sz w:val="24"/>
          <w:szCs w:val="24"/>
        </w:rPr>
        <w:t xml:space="preserve"> its seen in this case that they have made Bland situation dangerous or to accelerate death. The mens rea of this case was the intention to remove the tube for the </w:t>
      </w:r>
      <w:r w:rsidR="00572EB4">
        <w:rPr>
          <w:sz w:val="24"/>
          <w:szCs w:val="24"/>
        </w:rPr>
        <w:t>patient’s</w:t>
      </w:r>
      <w:r w:rsidR="0048770C">
        <w:rPr>
          <w:sz w:val="24"/>
          <w:szCs w:val="24"/>
        </w:rPr>
        <w:t xml:space="preserve"> </w:t>
      </w:r>
      <w:r w:rsidR="00DB65CA">
        <w:rPr>
          <w:sz w:val="24"/>
          <w:szCs w:val="24"/>
        </w:rPr>
        <w:t>welfare, fully knowing that this might deteriorate their state. The actus reus is the removal of the tube without consent. (Brown 1993)</w:t>
      </w:r>
    </w:p>
    <w:p w14:paraId="726B2719" w14:textId="10BA1D03" w:rsidR="00247522" w:rsidRDefault="00247522" w:rsidP="001E1352">
      <w:pPr>
        <w:rPr>
          <w:sz w:val="24"/>
          <w:szCs w:val="24"/>
        </w:rPr>
      </w:pPr>
      <w:r>
        <w:rPr>
          <w:sz w:val="24"/>
          <w:szCs w:val="24"/>
        </w:rPr>
        <w:t xml:space="preserve">General duty to act is providing workers with a safe environment, avoiding any hazards that may cause injuries or death. ‘’legal should also be equitable, and conversely.’’(Valcke,2019). To conclude this assignment, all duty to care and act is necessary to the law today as everything consists of responsibility. This duty of care and act applies to </w:t>
      </w:r>
      <w:r w:rsidR="009D0C1E">
        <w:rPr>
          <w:sz w:val="24"/>
          <w:szCs w:val="24"/>
        </w:rPr>
        <w:t xml:space="preserve">different relationships, whether that’s within a workplace or a legal relation between a mother and her child. It is important to understand the duty of care ad who is liable or not in a situation. </w:t>
      </w:r>
    </w:p>
    <w:p w14:paraId="53C51EC7" w14:textId="06D918B0" w:rsidR="003E655C" w:rsidRDefault="003E655C" w:rsidP="001E1352">
      <w:pPr>
        <w:rPr>
          <w:sz w:val="24"/>
          <w:szCs w:val="24"/>
        </w:rPr>
      </w:pPr>
    </w:p>
    <w:p w14:paraId="5194C784" w14:textId="53B6F9E7" w:rsidR="006D7098" w:rsidRDefault="006D7098" w:rsidP="001E1352">
      <w:pPr>
        <w:rPr>
          <w:sz w:val="24"/>
          <w:szCs w:val="24"/>
        </w:rPr>
      </w:pPr>
    </w:p>
    <w:p w14:paraId="2D9E02CA" w14:textId="21DDBA21" w:rsidR="006D7098" w:rsidRDefault="006D7098" w:rsidP="001E1352">
      <w:pPr>
        <w:rPr>
          <w:sz w:val="24"/>
          <w:szCs w:val="24"/>
        </w:rPr>
      </w:pPr>
    </w:p>
    <w:p w14:paraId="523A470C" w14:textId="20C48701" w:rsidR="006D7098" w:rsidRDefault="006D7098" w:rsidP="001E1352">
      <w:pPr>
        <w:rPr>
          <w:sz w:val="24"/>
          <w:szCs w:val="24"/>
        </w:rPr>
      </w:pPr>
    </w:p>
    <w:p w14:paraId="2E7BFD91" w14:textId="65BB7319" w:rsidR="006D7098" w:rsidRDefault="006D7098" w:rsidP="001E1352">
      <w:pPr>
        <w:rPr>
          <w:sz w:val="24"/>
          <w:szCs w:val="24"/>
        </w:rPr>
      </w:pPr>
    </w:p>
    <w:p w14:paraId="633B7499" w14:textId="7AF50EB6" w:rsidR="006D7098" w:rsidRDefault="006D7098" w:rsidP="001E1352">
      <w:pPr>
        <w:rPr>
          <w:sz w:val="24"/>
          <w:szCs w:val="24"/>
        </w:rPr>
      </w:pPr>
    </w:p>
    <w:p w14:paraId="264242FF" w14:textId="5710F33F" w:rsidR="006D7098" w:rsidRDefault="006D7098" w:rsidP="001E1352">
      <w:pPr>
        <w:rPr>
          <w:sz w:val="24"/>
          <w:szCs w:val="24"/>
        </w:rPr>
      </w:pPr>
    </w:p>
    <w:p w14:paraId="4050A415" w14:textId="70B39E8E" w:rsidR="006D7098" w:rsidRDefault="006D7098" w:rsidP="001E1352">
      <w:pPr>
        <w:rPr>
          <w:sz w:val="24"/>
          <w:szCs w:val="24"/>
        </w:rPr>
      </w:pPr>
    </w:p>
    <w:p w14:paraId="35D6A120" w14:textId="05F02610" w:rsidR="006D7098" w:rsidRDefault="006D7098" w:rsidP="001E1352">
      <w:pPr>
        <w:rPr>
          <w:sz w:val="24"/>
          <w:szCs w:val="24"/>
        </w:rPr>
      </w:pPr>
    </w:p>
    <w:p w14:paraId="68F0FAB1" w14:textId="7FCE520E" w:rsidR="006D7098" w:rsidRDefault="006D7098" w:rsidP="001E1352">
      <w:pPr>
        <w:rPr>
          <w:sz w:val="24"/>
          <w:szCs w:val="24"/>
        </w:rPr>
      </w:pPr>
    </w:p>
    <w:p w14:paraId="292EE9A9" w14:textId="07C6B491" w:rsidR="006D7098" w:rsidRDefault="006D7098" w:rsidP="001E1352">
      <w:pPr>
        <w:rPr>
          <w:sz w:val="24"/>
          <w:szCs w:val="24"/>
        </w:rPr>
      </w:pPr>
    </w:p>
    <w:p w14:paraId="6D09CCAE" w14:textId="2BFE1D48" w:rsidR="006D7098" w:rsidRDefault="006D7098" w:rsidP="001E1352">
      <w:pPr>
        <w:rPr>
          <w:sz w:val="24"/>
          <w:szCs w:val="24"/>
        </w:rPr>
      </w:pPr>
    </w:p>
    <w:p w14:paraId="4EB6268D" w14:textId="3CF1CF6E" w:rsidR="006D7098" w:rsidRDefault="006D7098" w:rsidP="001E1352">
      <w:pPr>
        <w:rPr>
          <w:sz w:val="24"/>
          <w:szCs w:val="24"/>
        </w:rPr>
      </w:pPr>
    </w:p>
    <w:p w14:paraId="23AF917E" w14:textId="216D6325" w:rsidR="006D7098" w:rsidRDefault="006D7098" w:rsidP="001E1352">
      <w:pPr>
        <w:rPr>
          <w:sz w:val="24"/>
          <w:szCs w:val="24"/>
        </w:rPr>
      </w:pPr>
    </w:p>
    <w:p w14:paraId="267952A2" w14:textId="1763D8C9" w:rsidR="006D7098" w:rsidRDefault="006D7098" w:rsidP="001E1352">
      <w:pPr>
        <w:rPr>
          <w:sz w:val="24"/>
          <w:szCs w:val="24"/>
        </w:rPr>
      </w:pPr>
    </w:p>
    <w:p w14:paraId="2C7AB96B" w14:textId="77777777" w:rsidR="006D7098" w:rsidRDefault="006D7098" w:rsidP="001E1352">
      <w:pPr>
        <w:rPr>
          <w:sz w:val="24"/>
          <w:szCs w:val="24"/>
        </w:rPr>
      </w:pPr>
    </w:p>
    <w:p w14:paraId="51DD71C9" w14:textId="55FAE4C0" w:rsidR="001E1352" w:rsidRDefault="003E655C" w:rsidP="001E1352">
      <w:pPr>
        <w:rPr>
          <w:sz w:val="24"/>
          <w:szCs w:val="24"/>
        </w:rPr>
      </w:pPr>
      <w:r>
        <w:rPr>
          <w:sz w:val="24"/>
          <w:szCs w:val="24"/>
        </w:rPr>
        <w:lastRenderedPageBreak/>
        <w:t xml:space="preserve">References </w:t>
      </w:r>
    </w:p>
    <w:p w14:paraId="25EAB331" w14:textId="77777777" w:rsidR="005236C2" w:rsidRDefault="005236C2" w:rsidP="001E1352">
      <w:pPr>
        <w:pStyle w:val="ListParagraph"/>
        <w:numPr>
          <w:ilvl w:val="0"/>
          <w:numId w:val="2"/>
        </w:numPr>
        <w:rPr>
          <w:sz w:val="24"/>
          <w:szCs w:val="24"/>
        </w:rPr>
      </w:pPr>
      <w:r>
        <w:rPr>
          <w:sz w:val="24"/>
          <w:szCs w:val="24"/>
        </w:rPr>
        <w:t xml:space="preserve">Ambos, </w:t>
      </w:r>
      <w:proofErr w:type="gramStart"/>
      <w:r>
        <w:rPr>
          <w:sz w:val="24"/>
          <w:szCs w:val="24"/>
        </w:rPr>
        <w:t>K.(</w:t>
      </w:r>
      <w:proofErr w:type="gramEnd"/>
      <w:r>
        <w:rPr>
          <w:sz w:val="24"/>
          <w:szCs w:val="24"/>
        </w:rPr>
        <w:t>2020). Omissions in K. Ambos, A. Duff, J. Roberts, T. Weigend, and A. Core Concepts in Criminal Law and Criminal Justice: Volume I (pp.17- 53).</w:t>
      </w:r>
    </w:p>
    <w:p w14:paraId="37E9272F" w14:textId="77777777" w:rsidR="005236C2" w:rsidRDefault="005236C2" w:rsidP="001E1352">
      <w:pPr>
        <w:pStyle w:val="ListParagraph"/>
        <w:numPr>
          <w:ilvl w:val="0"/>
          <w:numId w:val="2"/>
        </w:numPr>
        <w:rPr>
          <w:sz w:val="24"/>
          <w:szCs w:val="24"/>
        </w:rPr>
      </w:pPr>
      <w:r>
        <w:rPr>
          <w:sz w:val="24"/>
          <w:szCs w:val="24"/>
        </w:rPr>
        <w:t xml:space="preserve">Baker, Dennis (2012). </w:t>
      </w:r>
      <w:r w:rsidRPr="00654CD2">
        <w:rPr>
          <w:i/>
          <w:iCs/>
          <w:sz w:val="24"/>
          <w:szCs w:val="24"/>
        </w:rPr>
        <w:t>Omissions Liability for Homicide Offences</w:t>
      </w:r>
      <w:r>
        <w:rPr>
          <w:sz w:val="24"/>
          <w:szCs w:val="24"/>
        </w:rPr>
        <w:t xml:space="preserve">: Reconciling R v Kennedy with R v Evans. The journal of Criminal Law. </w:t>
      </w:r>
    </w:p>
    <w:p w14:paraId="0690FB63" w14:textId="77777777" w:rsidR="005236C2" w:rsidRPr="006D7098" w:rsidRDefault="005236C2" w:rsidP="001E1352">
      <w:pPr>
        <w:pStyle w:val="ListParagraph"/>
        <w:numPr>
          <w:ilvl w:val="0"/>
          <w:numId w:val="2"/>
        </w:numPr>
        <w:rPr>
          <w:i/>
          <w:iCs/>
          <w:sz w:val="24"/>
          <w:szCs w:val="24"/>
        </w:rPr>
      </w:pPr>
      <w:r>
        <w:rPr>
          <w:sz w:val="24"/>
          <w:szCs w:val="24"/>
        </w:rPr>
        <w:t xml:space="preserve">Catherine Valcke (2019). Bhasin v </w:t>
      </w:r>
      <w:proofErr w:type="spellStart"/>
      <w:r>
        <w:rPr>
          <w:sz w:val="24"/>
          <w:szCs w:val="24"/>
        </w:rPr>
        <w:t>Hrynew</w:t>
      </w:r>
      <w:proofErr w:type="spellEnd"/>
      <w:r>
        <w:rPr>
          <w:sz w:val="24"/>
          <w:szCs w:val="24"/>
        </w:rPr>
        <w:t xml:space="preserve">: </w:t>
      </w:r>
      <w:r w:rsidRPr="006D7098">
        <w:rPr>
          <w:i/>
          <w:iCs/>
          <w:sz w:val="24"/>
          <w:szCs w:val="24"/>
        </w:rPr>
        <w:t>why a general duty of good faith would be out of place in English contract law.</w:t>
      </w:r>
    </w:p>
    <w:p w14:paraId="0308B91E" w14:textId="77777777" w:rsidR="005236C2" w:rsidRPr="001E1352" w:rsidRDefault="005236C2" w:rsidP="001E1352">
      <w:pPr>
        <w:pStyle w:val="ListParagraph"/>
        <w:numPr>
          <w:ilvl w:val="0"/>
          <w:numId w:val="2"/>
        </w:numPr>
        <w:rPr>
          <w:sz w:val="24"/>
          <w:szCs w:val="24"/>
        </w:rPr>
      </w:pPr>
      <w:r>
        <w:rPr>
          <w:sz w:val="24"/>
          <w:szCs w:val="24"/>
        </w:rPr>
        <w:t xml:space="preserve">Chan, W </w:t>
      </w:r>
      <w:proofErr w:type="spellStart"/>
      <w:r>
        <w:rPr>
          <w:sz w:val="24"/>
          <w:szCs w:val="24"/>
        </w:rPr>
        <w:t>Simester</w:t>
      </w:r>
      <w:proofErr w:type="spellEnd"/>
      <w:r>
        <w:rPr>
          <w:sz w:val="24"/>
          <w:szCs w:val="24"/>
        </w:rPr>
        <w:t xml:space="preserve">, A.P (2011): </w:t>
      </w:r>
      <w:r w:rsidRPr="006D7098">
        <w:rPr>
          <w:i/>
          <w:iCs/>
          <w:sz w:val="24"/>
          <w:szCs w:val="24"/>
        </w:rPr>
        <w:t>Four Functions of mens rea</w:t>
      </w:r>
      <w:r>
        <w:rPr>
          <w:sz w:val="24"/>
          <w:szCs w:val="24"/>
        </w:rPr>
        <w:t>. The Cambridge Law journal, vol.70, page 381-396.</w:t>
      </w:r>
    </w:p>
    <w:p w14:paraId="00B27790" w14:textId="77777777" w:rsidR="005236C2" w:rsidRDefault="005236C2" w:rsidP="001E1352">
      <w:pPr>
        <w:pStyle w:val="ListParagraph"/>
        <w:numPr>
          <w:ilvl w:val="0"/>
          <w:numId w:val="2"/>
        </w:numPr>
        <w:rPr>
          <w:sz w:val="24"/>
          <w:szCs w:val="24"/>
        </w:rPr>
      </w:pPr>
      <w:r>
        <w:rPr>
          <w:sz w:val="24"/>
          <w:szCs w:val="24"/>
        </w:rPr>
        <w:t xml:space="preserve">Chris dent (2020), </w:t>
      </w:r>
      <w:r w:rsidRPr="00654CD2">
        <w:rPr>
          <w:i/>
          <w:iCs/>
          <w:sz w:val="24"/>
          <w:szCs w:val="24"/>
        </w:rPr>
        <w:t>the introduction of duty into English law and the development of the legal subject</w:t>
      </w:r>
      <w:r>
        <w:rPr>
          <w:sz w:val="24"/>
          <w:szCs w:val="24"/>
        </w:rPr>
        <w:t>. Oxford Journal of Legal Studies, Volume 40, issue 1 pages 158-182.</w:t>
      </w:r>
    </w:p>
    <w:p w14:paraId="59A1839D" w14:textId="77777777" w:rsidR="005236C2" w:rsidRDefault="005236C2" w:rsidP="001E1352">
      <w:pPr>
        <w:pStyle w:val="ListParagraph"/>
        <w:numPr>
          <w:ilvl w:val="0"/>
          <w:numId w:val="2"/>
        </w:numPr>
        <w:rPr>
          <w:sz w:val="24"/>
          <w:szCs w:val="24"/>
        </w:rPr>
      </w:pPr>
      <w:r>
        <w:rPr>
          <w:sz w:val="24"/>
          <w:szCs w:val="24"/>
        </w:rPr>
        <w:t>Council of the European union, General Secretariat, 2016.</w:t>
      </w:r>
    </w:p>
    <w:p w14:paraId="244306A2" w14:textId="77777777" w:rsidR="005236C2" w:rsidRDefault="005236C2" w:rsidP="001E1352">
      <w:pPr>
        <w:pStyle w:val="ListParagraph"/>
        <w:numPr>
          <w:ilvl w:val="0"/>
          <w:numId w:val="2"/>
        </w:numPr>
        <w:rPr>
          <w:sz w:val="24"/>
          <w:szCs w:val="24"/>
        </w:rPr>
      </w:pPr>
      <w:r>
        <w:rPr>
          <w:sz w:val="24"/>
          <w:szCs w:val="24"/>
        </w:rPr>
        <w:t>Dill, J (2019). Do attackers have a legal duty of care</w:t>
      </w:r>
      <w:r w:rsidRPr="00654CD2">
        <w:rPr>
          <w:i/>
          <w:iCs/>
          <w:sz w:val="24"/>
          <w:szCs w:val="24"/>
        </w:rPr>
        <w:t>? Limits to the individualization of war. International Theory</w:t>
      </w:r>
      <w:r>
        <w:rPr>
          <w:sz w:val="24"/>
          <w:szCs w:val="24"/>
        </w:rPr>
        <w:t>, 1-25.</w:t>
      </w:r>
    </w:p>
    <w:p w14:paraId="3A622B1A" w14:textId="77777777" w:rsidR="005236C2" w:rsidRDefault="005236C2" w:rsidP="001E1352">
      <w:pPr>
        <w:pStyle w:val="ListParagraph"/>
        <w:numPr>
          <w:ilvl w:val="0"/>
          <w:numId w:val="2"/>
        </w:numPr>
        <w:rPr>
          <w:sz w:val="24"/>
          <w:szCs w:val="24"/>
        </w:rPr>
      </w:pPr>
      <w:r>
        <w:rPr>
          <w:sz w:val="24"/>
          <w:szCs w:val="24"/>
        </w:rPr>
        <w:t>Ian Murphy, QC: R v Evans 2009, England and Wales Court of Appeal, (</w:t>
      </w:r>
      <w:proofErr w:type="gramStart"/>
      <w:r>
        <w:rPr>
          <w:sz w:val="24"/>
          <w:szCs w:val="24"/>
        </w:rPr>
        <w:t>2010)+</w:t>
      </w:r>
      <w:proofErr w:type="gramEnd"/>
      <w:r>
        <w:rPr>
          <w:sz w:val="24"/>
          <w:szCs w:val="24"/>
        </w:rPr>
        <w:t>--</w:t>
      </w:r>
    </w:p>
    <w:p w14:paraId="631C4B67" w14:textId="77777777" w:rsidR="005236C2" w:rsidRDefault="005236C2" w:rsidP="001E1352">
      <w:pPr>
        <w:pStyle w:val="ListParagraph"/>
        <w:numPr>
          <w:ilvl w:val="0"/>
          <w:numId w:val="2"/>
        </w:numPr>
        <w:rPr>
          <w:sz w:val="24"/>
          <w:szCs w:val="24"/>
        </w:rPr>
      </w:pPr>
      <w:proofErr w:type="spellStart"/>
      <w:r>
        <w:rPr>
          <w:sz w:val="24"/>
          <w:szCs w:val="24"/>
        </w:rPr>
        <w:t>Ipsa</w:t>
      </w:r>
      <w:proofErr w:type="spellEnd"/>
      <w:r>
        <w:rPr>
          <w:sz w:val="24"/>
          <w:szCs w:val="24"/>
        </w:rPr>
        <w:t xml:space="preserve"> Loquitur, 2022. R v Hood [2003]: EWCA Crim 2772.</w:t>
      </w:r>
    </w:p>
    <w:p w14:paraId="4F8588C8" w14:textId="77777777" w:rsidR="005236C2" w:rsidRDefault="005236C2" w:rsidP="001E1352">
      <w:pPr>
        <w:pStyle w:val="ListParagraph"/>
        <w:numPr>
          <w:ilvl w:val="0"/>
          <w:numId w:val="2"/>
        </w:numPr>
        <w:rPr>
          <w:sz w:val="24"/>
          <w:szCs w:val="24"/>
        </w:rPr>
      </w:pPr>
      <w:r>
        <w:rPr>
          <w:sz w:val="24"/>
          <w:szCs w:val="24"/>
        </w:rPr>
        <w:t xml:space="preserve">Isaacs David (2019) Duty of care, Journal of </w:t>
      </w:r>
      <w:proofErr w:type="gramStart"/>
      <w:r>
        <w:rPr>
          <w:sz w:val="24"/>
          <w:szCs w:val="24"/>
        </w:rPr>
        <w:t>Paediatrics</w:t>
      </w:r>
      <w:proofErr w:type="gramEnd"/>
      <w:r>
        <w:rPr>
          <w:sz w:val="24"/>
          <w:szCs w:val="24"/>
        </w:rPr>
        <w:t xml:space="preserve"> and child health: Volume 55 Issue 3, page 258-259.</w:t>
      </w:r>
    </w:p>
    <w:p w14:paraId="50DD3CBE" w14:textId="77777777" w:rsidR="005236C2" w:rsidRDefault="005236C2" w:rsidP="001E1352">
      <w:pPr>
        <w:pStyle w:val="ListParagraph"/>
        <w:numPr>
          <w:ilvl w:val="0"/>
          <w:numId w:val="2"/>
        </w:numPr>
        <w:rPr>
          <w:sz w:val="24"/>
          <w:szCs w:val="24"/>
        </w:rPr>
      </w:pPr>
      <w:r>
        <w:rPr>
          <w:sz w:val="24"/>
          <w:szCs w:val="24"/>
        </w:rPr>
        <w:t>Sir Stephen Brown P: Family Division Airedale NHS Trust v Bland [1993]</w:t>
      </w:r>
    </w:p>
    <w:p w14:paraId="527027EE" w14:textId="77777777" w:rsidR="005236C2" w:rsidRDefault="005236C2" w:rsidP="001E1352">
      <w:pPr>
        <w:pStyle w:val="ListParagraph"/>
        <w:numPr>
          <w:ilvl w:val="0"/>
          <w:numId w:val="2"/>
        </w:numPr>
        <w:rPr>
          <w:sz w:val="24"/>
          <w:szCs w:val="24"/>
        </w:rPr>
      </w:pPr>
      <w:r>
        <w:rPr>
          <w:sz w:val="24"/>
          <w:szCs w:val="24"/>
        </w:rPr>
        <w:t xml:space="preserve">Tofaris, S. (2018). </w:t>
      </w:r>
      <w:r w:rsidRPr="00654CD2">
        <w:rPr>
          <w:i/>
          <w:iCs/>
          <w:sz w:val="24"/>
          <w:szCs w:val="24"/>
        </w:rPr>
        <w:t>Duty of care in negligence a return to orthodoxy?</w:t>
      </w:r>
      <w:r>
        <w:rPr>
          <w:sz w:val="24"/>
          <w:szCs w:val="24"/>
        </w:rPr>
        <w:t xml:space="preserve"> The Cambridge Law Journal </w:t>
      </w:r>
      <w:proofErr w:type="spellStart"/>
      <w:r>
        <w:rPr>
          <w:sz w:val="24"/>
          <w:szCs w:val="24"/>
        </w:rPr>
        <w:t>pg</w:t>
      </w:r>
      <w:proofErr w:type="spellEnd"/>
      <w:r>
        <w:rPr>
          <w:sz w:val="24"/>
          <w:szCs w:val="24"/>
        </w:rPr>
        <w:t xml:space="preserve">, 454-457. </w:t>
      </w:r>
    </w:p>
    <w:p w14:paraId="505B4FD6" w14:textId="278A4FAA" w:rsidR="00B14461" w:rsidRPr="00B14461" w:rsidRDefault="00B14461">
      <w:pPr>
        <w:rPr>
          <w:sz w:val="24"/>
          <w:szCs w:val="24"/>
        </w:rPr>
      </w:pPr>
    </w:p>
    <w:p w14:paraId="7D468388" w14:textId="2F21C2BF" w:rsidR="00B14461" w:rsidRDefault="00B14461"/>
    <w:sectPr w:rsidR="00B14461" w:rsidSect="009D10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966F7"/>
    <w:multiLevelType w:val="hybridMultilevel"/>
    <w:tmpl w:val="0EFE9D0A"/>
    <w:lvl w:ilvl="0" w:tplc="F718EB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975517"/>
    <w:multiLevelType w:val="hybridMultilevel"/>
    <w:tmpl w:val="10F28A9A"/>
    <w:lvl w:ilvl="0" w:tplc="8EE220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022038">
    <w:abstractNumId w:val="1"/>
  </w:num>
  <w:num w:numId="2" w16cid:durableId="1420564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1FF"/>
    <w:rsid w:val="00042EC0"/>
    <w:rsid w:val="000538ED"/>
    <w:rsid w:val="00061C03"/>
    <w:rsid w:val="000B4044"/>
    <w:rsid w:val="000C690B"/>
    <w:rsid w:val="00145535"/>
    <w:rsid w:val="00151AB5"/>
    <w:rsid w:val="001641FF"/>
    <w:rsid w:val="00191ADA"/>
    <w:rsid w:val="001E1352"/>
    <w:rsid w:val="001F4875"/>
    <w:rsid w:val="00211237"/>
    <w:rsid w:val="002223EA"/>
    <w:rsid w:val="00247522"/>
    <w:rsid w:val="002B27CD"/>
    <w:rsid w:val="002D0E31"/>
    <w:rsid w:val="0030026D"/>
    <w:rsid w:val="0039155B"/>
    <w:rsid w:val="003E655C"/>
    <w:rsid w:val="00415C20"/>
    <w:rsid w:val="0048770C"/>
    <w:rsid w:val="005236C2"/>
    <w:rsid w:val="00552EE8"/>
    <w:rsid w:val="00572EB4"/>
    <w:rsid w:val="005A2B95"/>
    <w:rsid w:val="0061763F"/>
    <w:rsid w:val="00654CD2"/>
    <w:rsid w:val="00685C7B"/>
    <w:rsid w:val="006D7098"/>
    <w:rsid w:val="00754A8E"/>
    <w:rsid w:val="007848AA"/>
    <w:rsid w:val="007B66A8"/>
    <w:rsid w:val="007D1A1E"/>
    <w:rsid w:val="00805829"/>
    <w:rsid w:val="009D0C1E"/>
    <w:rsid w:val="009D10A9"/>
    <w:rsid w:val="00A86E0E"/>
    <w:rsid w:val="00A94FCA"/>
    <w:rsid w:val="00AE559A"/>
    <w:rsid w:val="00AE6D33"/>
    <w:rsid w:val="00B14461"/>
    <w:rsid w:val="00B8531A"/>
    <w:rsid w:val="00B92650"/>
    <w:rsid w:val="00C05C5D"/>
    <w:rsid w:val="00C50559"/>
    <w:rsid w:val="00C65231"/>
    <w:rsid w:val="00C94B45"/>
    <w:rsid w:val="00D03532"/>
    <w:rsid w:val="00D60567"/>
    <w:rsid w:val="00DB65CA"/>
    <w:rsid w:val="00E05486"/>
    <w:rsid w:val="00E46AED"/>
    <w:rsid w:val="00E57039"/>
    <w:rsid w:val="00E7594D"/>
    <w:rsid w:val="00EF242C"/>
    <w:rsid w:val="00EF73AB"/>
    <w:rsid w:val="00F306F1"/>
    <w:rsid w:val="00F3651D"/>
    <w:rsid w:val="00FA4A90"/>
    <w:rsid w:val="00FB25E0"/>
    <w:rsid w:val="00FC5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07E97"/>
  <w15:chartTrackingRefBased/>
  <w15:docId w15:val="{2663693C-51B5-48AD-9466-8F7FA3112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0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0A9"/>
    <w:rPr>
      <w:rFonts w:eastAsiaTheme="minorEastAsia"/>
      <w:lang w:val="en-US"/>
    </w:rPr>
  </w:style>
  <w:style w:type="paragraph" w:styleId="ListParagraph">
    <w:name w:val="List Paragraph"/>
    <w:basedOn w:val="Normal"/>
    <w:uiPriority w:val="34"/>
    <w:qFormat/>
    <w:rsid w:val="001E13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Code: BMLW40005/BMPL4009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F68906-D66F-4F23-A7FD-4A3043E23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1474</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Criminal law – Assingment 1      lecturer:   sadie france</dc:subject>
  <dc:creator>Lilu Meah (2009177)</dc:creator>
  <cp:keywords/>
  <dc:description/>
  <cp:lastModifiedBy>Lilu Meah (2009177)</cp:lastModifiedBy>
  <cp:revision>2</cp:revision>
  <dcterms:created xsi:type="dcterms:W3CDTF">2023-03-30T20:39:00Z</dcterms:created>
  <dcterms:modified xsi:type="dcterms:W3CDTF">2023-03-30T20:39:00Z</dcterms:modified>
</cp:coreProperties>
</file>