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0163AF" w14:textId="4F26A978" w:rsidR="00042A4E" w:rsidRDefault="00042A4E">
      <w:r>
        <w:rPr>
          <w:noProof/>
        </w:rPr>
        <w:drawing>
          <wp:anchor distT="0" distB="0" distL="114300" distR="114300" simplePos="0" relativeHeight="251659264" behindDoc="0" locked="0" layoutInCell="1" allowOverlap="1" wp14:anchorId="19404C0B" wp14:editId="27A16A8C">
            <wp:simplePos x="0" y="0"/>
            <wp:positionH relativeFrom="column">
              <wp:posOffset>-758825</wp:posOffset>
            </wp:positionH>
            <wp:positionV relativeFrom="paragraph">
              <wp:posOffset>0</wp:posOffset>
            </wp:positionV>
            <wp:extent cx="7217410" cy="2256790"/>
            <wp:effectExtent l="0" t="0" r="0" b="3810"/>
            <wp:wrapTopAndBottom/>
            <wp:docPr id="8250547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054762" name="Picture 825054762"/>
                    <pic:cNvPicPr/>
                  </pic:nvPicPr>
                  <pic:blipFill>
                    <a:blip r:embed="rId5">
                      <a:extLst>
                        <a:ext uri="{28A0092B-C50C-407E-A947-70E740481C1C}">
                          <a14:useLocalDpi xmlns:a14="http://schemas.microsoft.com/office/drawing/2010/main" val="0"/>
                        </a:ext>
                      </a:extLst>
                    </a:blip>
                    <a:stretch>
                      <a:fillRect/>
                    </a:stretch>
                  </pic:blipFill>
                  <pic:spPr>
                    <a:xfrm>
                      <a:off x="0" y="0"/>
                      <a:ext cx="7217410" cy="2256790"/>
                    </a:xfrm>
                    <a:prstGeom prst="rect">
                      <a:avLst/>
                    </a:prstGeom>
                  </pic:spPr>
                </pic:pic>
              </a:graphicData>
            </a:graphic>
            <wp14:sizeRelH relativeFrom="margin">
              <wp14:pctWidth>0</wp14:pctWidth>
            </wp14:sizeRelH>
            <wp14:sizeRelV relativeFrom="margin">
              <wp14:pctHeight>0</wp14:pctHeight>
            </wp14:sizeRelV>
          </wp:anchor>
        </w:drawing>
      </w:r>
    </w:p>
    <w:p w14:paraId="251D35C8" w14:textId="77777777" w:rsidR="00DD512E" w:rsidRDefault="00DD512E"/>
    <w:p w14:paraId="13978ED4" w14:textId="77777777" w:rsidR="00DD512E" w:rsidRPr="00EE0747" w:rsidRDefault="00DD512E" w:rsidP="00DE0264">
      <w:pPr>
        <w:spacing w:before="100" w:beforeAutospacing="1" w:after="100" w:afterAutospacing="1" w:line="360" w:lineRule="auto"/>
        <w:outlineLvl w:val="1"/>
        <w:rPr>
          <w:rFonts w:ascii="Arial" w:eastAsia="Arial" w:hAnsi="Arial" w:cs="Arial"/>
        </w:rPr>
      </w:pPr>
      <w:r w:rsidRPr="00EE0747">
        <w:rPr>
          <w:rFonts w:ascii="Arial" w:eastAsia="Arial" w:hAnsi="Arial" w:cs="Arial"/>
          <w:b/>
          <w:bCs/>
          <w:kern w:val="0"/>
          <w14:ligatures w14:val="none"/>
        </w:rPr>
        <w:t>Name</w:t>
      </w:r>
      <w:r w:rsidRPr="00EE0747">
        <w:rPr>
          <w:rFonts w:ascii="Arial" w:eastAsia="Arial" w:hAnsi="Arial" w:cs="Arial"/>
          <w:kern w:val="0"/>
          <w14:ligatures w14:val="none"/>
        </w:rPr>
        <w:t xml:space="preserve">: Aysha Hussain </w:t>
      </w:r>
    </w:p>
    <w:p w14:paraId="384F1B28" w14:textId="77777777" w:rsidR="00DD512E" w:rsidRPr="00EE0747" w:rsidRDefault="00DD512E" w:rsidP="00DE0264">
      <w:pPr>
        <w:spacing w:beforeAutospacing="1" w:afterAutospacing="1" w:line="360" w:lineRule="auto"/>
        <w:outlineLvl w:val="1"/>
        <w:rPr>
          <w:rFonts w:ascii="Arial" w:eastAsia="Arial" w:hAnsi="Arial" w:cs="Arial"/>
        </w:rPr>
      </w:pPr>
    </w:p>
    <w:p w14:paraId="4DD19397" w14:textId="77777777" w:rsidR="00DD512E" w:rsidRPr="00EE0747" w:rsidRDefault="00DD512E" w:rsidP="00DE0264">
      <w:pPr>
        <w:spacing w:before="100" w:beforeAutospacing="1" w:after="100" w:afterAutospacing="1" w:line="360" w:lineRule="auto"/>
        <w:outlineLvl w:val="1"/>
        <w:rPr>
          <w:rFonts w:ascii="Arial" w:eastAsia="Arial" w:hAnsi="Arial" w:cs="Arial"/>
          <w:kern w:val="0"/>
          <w14:ligatures w14:val="none"/>
        </w:rPr>
      </w:pPr>
      <w:r w:rsidRPr="00EE0747">
        <w:rPr>
          <w:rFonts w:ascii="Arial" w:eastAsia="Arial" w:hAnsi="Arial" w:cs="Arial"/>
          <w:b/>
          <w:bCs/>
          <w:kern w:val="0"/>
          <w14:ligatures w14:val="none"/>
        </w:rPr>
        <w:t>Student ID</w:t>
      </w:r>
      <w:r w:rsidRPr="00EE0747">
        <w:rPr>
          <w:rFonts w:ascii="Arial" w:eastAsia="Arial" w:hAnsi="Arial" w:cs="Arial"/>
          <w:kern w:val="0"/>
          <w14:ligatures w14:val="none"/>
        </w:rPr>
        <w:t>:2319032</w:t>
      </w:r>
    </w:p>
    <w:p w14:paraId="7C17DB52" w14:textId="77777777" w:rsidR="00DD512E" w:rsidRPr="00EE0747" w:rsidRDefault="00DD512E" w:rsidP="00DE0264">
      <w:pPr>
        <w:spacing w:beforeAutospacing="1" w:afterAutospacing="1" w:line="360" w:lineRule="auto"/>
        <w:outlineLvl w:val="1"/>
        <w:rPr>
          <w:rFonts w:ascii="Arial" w:eastAsia="Arial" w:hAnsi="Arial" w:cs="Arial"/>
        </w:rPr>
      </w:pPr>
    </w:p>
    <w:p w14:paraId="3A45E654" w14:textId="3EDA101F" w:rsidR="00DD512E" w:rsidRPr="00EE0747" w:rsidRDefault="00DD512E" w:rsidP="00DE0264">
      <w:pPr>
        <w:spacing w:before="100" w:beforeAutospacing="1" w:after="100" w:afterAutospacing="1" w:line="360" w:lineRule="auto"/>
        <w:outlineLvl w:val="1"/>
        <w:rPr>
          <w:rFonts w:ascii="Arial" w:eastAsia="Arial" w:hAnsi="Arial" w:cs="Arial"/>
          <w:kern w:val="0"/>
          <w14:ligatures w14:val="none"/>
        </w:rPr>
      </w:pPr>
      <w:r w:rsidRPr="00EE0747">
        <w:rPr>
          <w:rFonts w:ascii="Arial" w:eastAsia="Arial" w:hAnsi="Arial" w:cs="Arial"/>
          <w:b/>
          <w:bCs/>
          <w:kern w:val="0"/>
          <w14:ligatures w14:val="none"/>
        </w:rPr>
        <w:t>Lecture</w:t>
      </w:r>
      <w:r w:rsidRPr="00EE0747">
        <w:rPr>
          <w:rFonts w:ascii="Arial" w:eastAsia="Arial" w:hAnsi="Arial" w:cs="Arial"/>
          <w:kern w:val="0"/>
          <w14:ligatures w14:val="none"/>
        </w:rPr>
        <w:t>: Farah Islam</w:t>
      </w:r>
    </w:p>
    <w:p w14:paraId="26A20301" w14:textId="3C2245CB" w:rsidR="00DD512E" w:rsidRPr="00EE0747" w:rsidRDefault="00DD512E" w:rsidP="00DE0264">
      <w:pPr>
        <w:spacing w:beforeAutospacing="1" w:afterAutospacing="1" w:line="360" w:lineRule="auto"/>
        <w:outlineLvl w:val="1"/>
        <w:rPr>
          <w:rFonts w:ascii="Arial" w:eastAsia="Arial" w:hAnsi="Arial" w:cs="Arial"/>
        </w:rPr>
      </w:pPr>
    </w:p>
    <w:p w14:paraId="3059F2B7" w14:textId="3F89873F" w:rsidR="00DD512E" w:rsidRDefault="00DD512E" w:rsidP="00DE0264">
      <w:pPr>
        <w:spacing w:before="100" w:beforeAutospacing="1" w:after="100" w:afterAutospacing="1" w:line="360" w:lineRule="auto"/>
        <w:outlineLvl w:val="1"/>
        <w:rPr>
          <w:rFonts w:ascii="Arial" w:eastAsia="Arial" w:hAnsi="Arial" w:cs="Arial"/>
          <w:kern w:val="0"/>
          <w14:ligatures w14:val="none"/>
        </w:rPr>
      </w:pPr>
      <w:r w:rsidRPr="00EE0747">
        <w:rPr>
          <w:rFonts w:ascii="Arial" w:eastAsia="Arial" w:hAnsi="Arial" w:cs="Arial"/>
          <w:b/>
          <w:bCs/>
          <w:kern w:val="0"/>
          <w14:ligatures w14:val="none"/>
        </w:rPr>
        <w:t>Module Code</w:t>
      </w:r>
      <w:r w:rsidRPr="00EE0747">
        <w:rPr>
          <w:rFonts w:ascii="Arial" w:eastAsia="Arial" w:hAnsi="Arial" w:cs="Arial"/>
          <w:kern w:val="0"/>
          <w14:ligatures w14:val="none"/>
        </w:rPr>
        <w:t xml:space="preserve">: </w:t>
      </w:r>
      <w:r w:rsidRPr="008630E1">
        <w:rPr>
          <w:rFonts w:ascii="Arial" w:hAnsi="Arial" w:cs="Arial"/>
          <w:bCs/>
          <w:sz w:val="22"/>
          <w:szCs w:val="22"/>
        </w:rPr>
        <w:t>BMHP5016</w:t>
      </w:r>
    </w:p>
    <w:p w14:paraId="05C1168C" w14:textId="7CCA5680" w:rsidR="00DD512E" w:rsidRPr="00EE0747" w:rsidRDefault="00DD512E" w:rsidP="00DE0264">
      <w:pPr>
        <w:spacing w:before="100" w:beforeAutospacing="1" w:after="100" w:afterAutospacing="1" w:line="360" w:lineRule="auto"/>
        <w:outlineLvl w:val="1"/>
        <w:rPr>
          <w:rFonts w:ascii="Arial" w:eastAsia="Arial" w:hAnsi="Arial" w:cs="Arial"/>
        </w:rPr>
      </w:pPr>
    </w:p>
    <w:p w14:paraId="4B374AE1" w14:textId="77777777" w:rsidR="00E174E3" w:rsidRDefault="00DD512E">
      <w:pPr>
        <w:rPr>
          <w:rFonts w:ascii="Arial" w:eastAsia="Arial" w:hAnsi="Arial" w:cs="Arial"/>
          <w:kern w:val="0"/>
          <w14:ligatures w14:val="none"/>
        </w:rPr>
      </w:pPr>
      <w:r w:rsidRPr="00EE0747">
        <w:rPr>
          <w:rFonts w:ascii="Arial" w:eastAsia="Arial" w:hAnsi="Arial" w:cs="Arial"/>
          <w:b/>
          <w:bCs/>
          <w:kern w:val="0"/>
          <w14:ligatures w14:val="none"/>
        </w:rPr>
        <w:t xml:space="preserve">Assignment </w:t>
      </w:r>
      <w:r w:rsidR="00E174E3" w:rsidRPr="00EE0747">
        <w:rPr>
          <w:rFonts w:ascii="Arial" w:eastAsia="Arial" w:hAnsi="Arial" w:cs="Arial"/>
          <w:b/>
          <w:bCs/>
          <w:kern w:val="0"/>
          <w14:ligatures w14:val="none"/>
        </w:rPr>
        <w:t>Title</w:t>
      </w:r>
      <w:r w:rsidR="00E174E3">
        <w:rPr>
          <w:rFonts w:ascii="Arial" w:eastAsia="Arial" w:hAnsi="Arial" w:cs="Arial"/>
          <w:kern w:val="0"/>
          <w14:ligatures w14:val="none"/>
        </w:rPr>
        <w:t>: Written assignment report</w:t>
      </w:r>
    </w:p>
    <w:p w14:paraId="7B50FE6A" w14:textId="218E3F3F" w:rsidR="00E174E3" w:rsidRDefault="00E174E3">
      <w:pPr>
        <w:rPr>
          <w:rFonts w:ascii="Arial" w:eastAsia="Arial" w:hAnsi="Arial" w:cs="Arial"/>
          <w:kern w:val="0"/>
          <w14:ligatures w14:val="none"/>
        </w:rPr>
      </w:pPr>
    </w:p>
    <w:p w14:paraId="100464B1" w14:textId="23050F7E" w:rsidR="00DD512E" w:rsidRDefault="00DD512E">
      <w:pPr>
        <w:rPr>
          <w:rFonts w:ascii="Arial" w:eastAsia="Arial" w:hAnsi="Arial" w:cs="Arial"/>
          <w:noProof/>
          <w:kern w:val="0"/>
        </w:rPr>
      </w:pPr>
    </w:p>
    <w:p w14:paraId="13F8370F" w14:textId="77777777" w:rsidR="00E250CF" w:rsidRDefault="00E250CF">
      <w:pPr>
        <w:rPr>
          <w:rFonts w:ascii="Arial" w:eastAsia="Arial" w:hAnsi="Arial" w:cs="Arial"/>
          <w:kern w:val="0"/>
          <w14:ligatures w14:val="none"/>
        </w:rPr>
      </w:pPr>
    </w:p>
    <w:p w14:paraId="7D9B6F52" w14:textId="77777777" w:rsidR="002F3BF7" w:rsidRDefault="002F3BF7">
      <w:pPr>
        <w:rPr>
          <w:rFonts w:ascii="Arial" w:eastAsia="Arial" w:hAnsi="Arial" w:cs="Arial"/>
          <w:kern w:val="0"/>
          <w14:ligatures w14:val="none"/>
        </w:rPr>
      </w:pPr>
    </w:p>
    <w:p w14:paraId="66D65B31" w14:textId="77777777" w:rsidR="002F3BF7" w:rsidRDefault="002F3BF7">
      <w:pPr>
        <w:rPr>
          <w:rFonts w:ascii="Arial" w:eastAsia="Arial" w:hAnsi="Arial" w:cs="Arial"/>
          <w:kern w:val="0"/>
          <w14:ligatures w14:val="none"/>
        </w:rPr>
      </w:pPr>
    </w:p>
    <w:p w14:paraId="579C29F6" w14:textId="77777777" w:rsidR="002F3BF7" w:rsidRDefault="002F3BF7">
      <w:pPr>
        <w:rPr>
          <w:rFonts w:ascii="Arial" w:eastAsia="Arial" w:hAnsi="Arial" w:cs="Arial"/>
          <w:kern w:val="0"/>
          <w14:ligatures w14:val="none"/>
        </w:rPr>
      </w:pPr>
    </w:p>
    <w:p w14:paraId="0A09B997" w14:textId="77777777" w:rsidR="002F3BF7" w:rsidRDefault="002F3BF7">
      <w:pPr>
        <w:rPr>
          <w:rFonts w:ascii="Arial" w:eastAsia="Arial" w:hAnsi="Arial" w:cs="Arial"/>
          <w:kern w:val="0"/>
          <w14:ligatures w14:val="none"/>
        </w:rPr>
      </w:pPr>
    </w:p>
    <w:p w14:paraId="4C635D24" w14:textId="1EB82E43" w:rsidR="002F3BF7" w:rsidRDefault="00171CDD">
      <w:pPr>
        <w:rPr>
          <w:rFonts w:ascii="Arial" w:eastAsia="Arial" w:hAnsi="Arial" w:cs="Arial"/>
          <w:kern w:val="0"/>
          <w14:ligatures w14:val="none"/>
        </w:rPr>
      </w:pPr>
      <w:r>
        <w:rPr>
          <w:rFonts w:ascii="Arial" w:eastAsia="Arial" w:hAnsi="Arial" w:cs="Arial"/>
          <w:noProof/>
          <w:kern w:val="0"/>
        </w:rPr>
        <w:drawing>
          <wp:anchor distT="0" distB="0" distL="114300" distR="114300" simplePos="0" relativeHeight="251660288" behindDoc="0" locked="0" layoutInCell="1" allowOverlap="1" wp14:anchorId="2809EA8D" wp14:editId="1AD37EC2">
            <wp:simplePos x="0" y="0"/>
            <wp:positionH relativeFrom="column">
              <wp:posOffset>-914400</wp:posOffset>
            </wp:positionH>
            <wp:positionV relativeFrom="paragraph">
              <wp:posOffset>0</wp:posOffset>
            </wp:positionV>
            <wp:extent cx="2082800" cy="2197735"/>
            <wp:effectExtent l="0" t="0" r="0" b="0"/>
            <wp:wrapTopAndBottom/>
            <wp:docPr id="3913501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1350118" name="Picture 391350118"/>
                    <pic:cNvPicPr/>
                  </pic:nvPicPr>
                  <pic:blipFill>
                    <a:blip r:embed="rId6" cstate="print">
                      <a:extLst>
                        <a:ext uri="{28A0092B-C50C-407E-A947-70E740481C1C}">
                          <a14:useLocalDpi xmlns:a14="http://schemas.microsoft.com/office/drawing/2010/main" val="0"/>
                        </a:ext>
                      </a:extLst>
                    </a:blip>
                    <a:stretch>
                      <a:fillRect/>
                    </a:stretch>
                  </pic:blipFill>
                  <pic:spPr>
                    <a:xfrm>
                      <a:off x="0" y="0"/>
                      <a:ext cx="2082800" cy="2197735"/>
                    </a:xfrm>
                    <a:prstGeom prst="rect">
                      <a:avLst/>
                    </a:prstGeom>
                  </pic:spPr>
                </pic:pic>
              </a:graphicData>
            </a:graphic>
            <wp14:sizeRelH relativeFrom="margin">
              <wp14:pctWidth>0</wp14:pctWidth>
            </wp14:sizeRelH>
            <wp14:sizeRelV relativeFrom="margin">
              <wp14:pctHeight>0</wp14:pctHeight>
            </wp14:sizeRelV>
          </wp:anchor>
        </w:drawing>
      </w:r>
    </w:p>
    <w:p w14:paraId="5EA8F46E" w14:textId="77777777" w:rsidR="002F3BF7" w:rsidRDefault="002F3BF7">
      <w:pPr>
        <w:rPr>
          <w:rFonts w:ascii="Arial" w:eastAsia="Arial" w:hAnsi="Arial" w:cs="Arial"/>
          <w:kern w:val="0"/>
          <w14:ligatures w14:val="none"/>
        </w:rPr>
      </w:pPr>
    </w:p>
    <w:p w14:paraId="4E097C3D" w14:textId="034C0992" w:rsidR="00E250CF" w:rsidRDefault="00E250CF">
      <w:pPr>
        <w:rPr>
          <w:rFonts w:ascii="Arial" w:eastAsia="Arial" w:hAnsi="Arial" w:cs="Arial"/>
          <w:kern w:val="0"/>
          <w14:ligatures w14:val="none"/>
        </w:rPr>
      </w:pPr>
    </w:p>
    <w:p w14:paraId="667222A4" w14:textId="549FE271" w:rsidR="00665453" w:rsidRPr="008D0235" w:rsidRDefault="00665453">
      <w:pPr>
        <w:pStyle w:val="p1"/>
        <w:rPr>
          <w:rFonts w:ascii="Arial" w:hAnsi="Arial" w:cs="Arial"/>
        </w:rPr>
      </w:pPr>
      <w:r w:rsidRPr="008D0235">
        <w:rPr>
          <w:rStyle w:val="s1"/>
          <w:rFonts w:ascii="Arial" w:hAnsi="Arial" w:cs="Arial"/>
        </w:rPr>
        <w:t xml:space="preserve">Assessment of Partnerships and </w:t>
      </w:r>
      <w:r w:rsidR="001C49C2" w:rsidRPr="008D0235">
        <w:rPr>
          <w:rStyle w:val="s1"/>
          <w:rFonts w:ascii="Arial" w:hAnsi="Arial" w:cs="Arial"/>
        </w:rPr>
        <w:t>Person-</w:t>
      </w:r>
      <w:r w:rsidR="008D0235" w:rsidRPr="008D0235">
        <w:rPr>
          <w:rStyle w:val="s1"/>
          <w:rFonts w:ascii="Arial" w:hAnsi="Arial" w:cs="Arial"/>
        </w:rPr>
        <w:t xml:space="preserve">Centred </w:t>
      </w:r>
      <w:r w:rsidRPr="008D0235">
        <w:rPr>
          <w:rStyle w:val="s1"/>
          <w:rFonts w:ascii="Arial" w:hAnsi="Arial" w:cs="Arial"/>
        </w:rPr>
        <w:t>Care in Mental Health Services</w:t>
      </w:r>
    </w:p>
    <w:p w14:paraId="6B4014D7" w14:textId="77777777" w:rsidR="002F3BF7" w:rsidRPr="008D0235" w:rsidRDefault="002F3BF7">
      <w:pPr>
        <w:pStyle w:val="p3"/>
        <w:rPr>
          <w:rFonts w:ascii="Arial" w:hAnsi="Arial" w:cs="Arial"/>
        </w:rPr>
      </w:pPr>
    </w:p>
    <w:p w14:paraId="21A70762" w14:textId="77777777" w:rsidR="00665453" w:rsidRPr="008D0235" w:rsidRDefault="00665453">
      <w:pPr>
        <w:pStyle w:val="p3"/>
        <w:rPr>
          <w:rFonts w:ascii="Arial" w:hAnsi="Arial" w:cs="Arial"/>
        </w:rPr>
      </w:pPr>
    </w:p>
    <w:p w14:paraId="1FD30B60" w14:textId="77777777" w:rsidR="00665453" w:rsidRPr="008D0235" w:rsidRDefault="00665453">
      <w:pPr>
        <w:pStyle w:val="p4"/>
        <w:rPr>
          <w:rFonts w:ascii="Arial" w:hAnsi="Arial" w:cs="Arial"/>
        </w:rPr>
      </w:pPr>
      <w:r w:rsidRPr="008D0235">
        <w:rPr>
          <w:rStyle w:val="s3"/>
          <w:rFonts w:ascii="Arial" w:hAnsi="Arial" w:cs="Arial"/>
        </w:rPr>
        <w:t>The introduction</w:t>
      </w:r>
    </w:p>
    <w:p w14:paraId="7E68345E" w14:textId="77777777" w:rsidR="00665453" w:rsidRPr="008D0235" w:rsidRDefault="00665453">
      <w:pPr>
        <w:pStyle w:val="p3"/>
        <w:rPr>
          <w:rFonts w:ascii="Arial" w:hAnsi="Arial" w:cs="Arial"/>
        </w:rPr>
      </w:pPr>
    </w:p>
    <w:p w14:paraId="7EADF9D3" w14:textId="1F1AD2EA" w:rsidR="00665453" w:rsidRPr="008D0235" w:rsidRDefault="00665453">
      <w:pPr>
        <w:pStyle w:val="p4"/>
        <w:rPr>
          <w:rFonts w:ascii="Arial" w:hAnsi="Arial" w:cs="Arial"/>
        </w:rPr>
      </w:pPr>
      <w:r w:rsidRPr="008D0235">
        <w:rPr>
          <w:rStyle w:val="s2"/>
          <w:rFonts w:ascii="Arial" w:hAnsi="Arial" w:cs="Arial"/>
        </w:rPr>
        <w:t xml:space="preserve">Partnership working (PW) and </w:t>
      </w:r>
      <w:r w:rsidR="002F3BF7" w:rsidRPr="008D0235">
        <w:rPr>
          <w:rStyle w:val="s2"/>
          <w:rFonts w:ascii="Arial" w:hAnsi="Arial" w:cs="Arial"/>
        </w:rPr>
        <w:t>person-centred</w:t>
      </w:r>
      <w:r w:rsidRPr="008D0235">
        <w:rPr>
          <w:rStyle w:val="s2"/>
          <w:rFonts w:ascii="Arial" w:hAnsi="Arial" w:cs="Arial"/>
        </w:rPr>
        <w:t xml:space="preserve"> care (PCC) are fundamental tenets of modern health and social care policy and practice in the United Kingdom. Both strategies </w:t>
      </w:r>
      <w:r w:rsidR="002F3BF7" w:rsidRPr="008D0235">
        <w:rPr>
          <w:rStyle w:val="s2"/>
          <w:rFonts w:ascii="Arial" w:hAnsi="Arial" w:cs="Arial"/>
        </w:rPr>
        <w:t>look</w:t>
      </w:r>
      <w:r w:rsidRPr="008D0235">
        <w:rPr>
          <w:rStyle w:val="s2"/>
          <w:rFonts w:ascii="Arial" w:hAnsi="Arial" w:cs="Arial"/>
        </w:rPr>
        <w:t xml:space="preserve"> to improve the standard of care, encourage patient autonomy, and guarantee coordinated multidisciplinary </w:t>
      </w:r>
      <w:r w:rsidR="002F3BF7" w:rsidRPr="008D0235">
        <w:rPr>
          <w:rStyle w:val="s2"/>
          <w:rFonts w:ascii="Arial" w:hAnsi="Arial" w:cs="Arial"/>
        </w:rPr>
        <w:t>aid</w:t>
      </w:r>
      <w:r w:rsidRPr="008D0235">
        <w:rPr>
          <w:rStyle w:val="s2"/>
          <w:rFonts w:ascii="Arial" w:hAnsi="Arial" w:cs="Arial"/>
        </w:rPr>
        <w:t xml:space="preserve"> for people with complicated needs, especially in the context of mental health services. The Care Act 2014 and the NHS Long Term Plan (2019), which place a strong emphasis on empowerment, collaboration, and </w:t>
      </w:r>
      <w:r w:rsidR="002F3BF7" w:rsidRPr="008D0235">
        <w:rPr>
          <w:rStyle w:val="s2"/>
          <w:rFonts w:ascii="Arial" w:hAnsi="Arial" w:cs="Arial"/>
        </w:rPr>
        <w:t>individualised</w:t>
      </w:r>
      <w:r w:rsidRPr="008D0235">
        <w:rPr>
          <w:rStyle w:val="s2"/>
          <w:rFonts w:ascii="Arial" w:hAnsi="Arial" w:cs="Arial"/>
        </w:rPr>
        <w:t xml:space="preserve"> support, are two national policy frameworks that strongly support the integration of PCC and PW (Department of Health and Social Care, 2014; NHS England, 2019).</w:t>
      </w:r>
    </w:p>
    <w:p w14:paraId="73560145" w14:textId="77777777" w:rsidR="00665453" w:rsidRPr="008D0235" w:rsidRDefault="00665453">
      <w:pPr>
        <w:pStyle w:val="p3"/>
        <w:rPr>
          <w:rFonts w:ascii="Arial" w:hAnsi="Arial" w:cs="Arial"/>
        </w:rPr>
      </w:pPr>
    </w:p>
    <w:p w14:paraId="5E03CE6A" w14:textId="7116BA7E" w:rsidR="00E56667" w:rsidRPr="00E56667" w:rsidRDefault="00665453">
      <w:pPr>
        <w:pStyle w:val="p1"/>
        <w:rPr>
          <w:rFonts w:ascii="Arial" w:hAnsi="Arial" w:cs="Arial"/>
          <w:sz w:val="24"/>
          <w:szCs w:val="24"/>
        </w:rPr>
      </w:pPr>
      <w:r w:rsidRPr="008D0235">
        <w:rPr>
          <w:rStyle w:val="s2"/>
          <w:rFonts w:ascii="Arial" w:hAnsi="Arial" w:cs="Arial"/>
        </w:rPr>
        <w:t xml:space="preserve">This report examines the theoretical underpinnings of PCC, critically evaluates its concepts, benefits, and limitations, examines ethical principles in health and social care, and evaluates PW's operations in mental health contexts. The discussion of pertinent UK laws and policies </w:t>
      </w:r>
      <w:bookmarkStart w:id="0" w:name="_Int_wDqPOHo6"/>
      <w:r w:rsidRPr="008D0235">
        <w:rPr>
          <w:rStyle w:val="s2"/>
          <w:rFonts w:ascii="Arial" w:hAnsi="Arial" w:cs="Arial"/>
        </w:rPr>
        <w:t>is followed</w:t>
      </w:r>
      <w:bookmarkEnd w:id="0"/>
      <w:r w:rsidRPr="008D0235">
        <w:rPr>
          <w:rStyle w:val="s2"/>
          <w:rFonts w:ascii="Arial" w:hAnsi="Arial" w:cs="Arial"/>
        </w:rPr>
        <w:t xml:space="preserve"> by suggestions for enhancing PCC and PW going </w:t>
      </w:r>
      <w:r w:rsidR="00E56667" w:rsidRPr="00E56667">
        <w:rPr>
          <w:rStyle w:val="s2"/>
          <w:rFonts w:ascii="Arial" w:hAnsi="Arial" w:cs="Arial"/>
        </w:rPr>
        <w:t>forward</w:t>
      </w:r>
      <w:r w:rsidR="0098666F">
        <w:rPr>
          <w:rStyle w:val="s2"/>
          <w:rFonts w:ascii="Arial" w:hAnsi="Arial" w:cs="Arial"/>
        </w:rPr>
        <w:t>.</w:t>
      </w:r>
      <w:r w:rsidR="00E56667" w:rsidRPr="00E56667">
        <w:rPr>
          <w:rFonts w:ascii="Arial" w:hAnsi="Arial" w:cs="Arial"/>
          <w:sz w:val="24"/>
          <w:szCs w:val="24"/>
        </w:rPr>
        <w:t xml:space="preserve"> (McCormack and McCance, 2017).</w:t>
      </w:r>
    </w:p>
    <w:p w14:paraId="457BAA61" w14:textId="5312A108" w:rsidR="00665453" w:rsidRPr="00E56667" w:rsidRDefault="00E56667">
      <w:pPr>
        <w:pStyle w:val="p4"/>
        <w:rPr>
          <w:rFonts w:ascii="Arial" w:hAnsi="Arial" w:cs="Arial"/>
        </w:rPr>
      </w:pPr>
      <w:r w:rsidRPr="00E56667">
        <w:rPr>
          <w:rStyle w:val="s2"/>
          <w:rFonts w:ascii="Arial" w:hAnsi="Arial" w:cs="Arial"/>
        </w:rPr>
        <w:t xml:space="preserve"> </w:t>
      </w:r>
    </w:p>
    <w:p w14:paraId="34441DE3" w14:textId="77777777" w:rsidR="00665453" w:rsidRPr="00E56667" w:rsidRDefault="00665453">
      <w:pPr>
        <w:pStyle w:val="p3"/>
        <w:rPr>
          <w:rFonts w:ascii="Arial" w:hAnsi="Arial" w:cs="Arial"/>
        </w:rPr>
      </w:pPr>
    </w:p>
    <w:p w14:paraId="343B4E5B" w14:textId="77777777" w:rsidR="00665453" w:rsidRPr="008D0235" w:rsidRDefault="00665453">
      <w:pPr>
        <w:pStyle w:val="p3"/>
        <w:rPr>
          <w:rFonts w:ascii="Arial" w:hAnsi="Arial" w:cs="Arial"/>
        </w:rPr>
      </w:pPr>
    </w:p>
    <w:p w14:paraId="6239B812" w14:textId="77777777" w:rsidR="00665453" w:rsidRPr="008D0235" w:rsidRDefault="00665453">
      <w:pPr>
        <w:pStyle w:val="p4"/>
        <w:rPr>
          <w:rFonts w:ascii="Arial" w:hAnsi="Arial" w:cs="Arial"/>
        </w:rPr>
      </w:pPr>
      <w:r w:rsidRPr="008D0235">
        <w:rPr>
          <w:rStyle w:val="s3"/>
          <w:rFonts w:ascii="Arial" w:hAnsi="Arial" w:cs="Arial"/>
        </w:rPr>
        <w:t>What Person-Centred Care Is:</w:t>
      </w:r>
    </w:p>
    <w:p w14:paraId="5B578186" w14:textId="77777777" w:rsidR="00665453" w:rsidRPr="008D0235" w:rsidRDefault="00665453">
      <w:pPr>
        <w:pStyle w:val="p3"/>
        <w:rPr>
          <w:rFonts w:ascii="Arial" w:hAnsi="Arial" w:cs="Arial"/>
        </w:rPr>
      </w:pPr>
    </w:p>
    <w:p w14:paraId="4710DC9A" w14:textId="77777777" w:rsidR="00665453" w:rsidRPr="008D0235" w:rsidRDefault="00665453">
      <w:pPr>
        <w:pStyle w:val="p4"/>
        <w:rPr>
          <w:rFonts w:ascii="Arial" w:hAnsi="Arial" w:cs="Arial"/>
        </w:rPr>
      </w:pPr>
      <w:r w:rsidRPr="008D0235">
        <w:rPr>
          <w:rStyle w:val="s2"/>
          <w:rFonts w:ascii="Arial" w:hAnsi="Arial" w:cs="Arial"/>
        </w:rPr>
        <w:t xml:space="preserve">According to McCormack and McCance (2017), person-centred care is an approach that values each person's preferences, needs, and participation in care decision-making because it acknowledges each person as unique. PCC </w:t>
      </w:r>
      <w:bookmarkStart w:id="1" w:name="_Int_MDsf5rdN"/>
      <w:r w:rsidRPr="008D0235">
        <w:rPr>
          <w:rStyle w:val="s2"/>
          <w:rFonts w:ascii="Arial" w:hAnsi="Arial" w:cs="Arial"/>
        </w:rPr>
        <w:t>is defined</w:t>
      </w:r>
      <w:bookmarkEnd w:id="1"/>
      <w:r w:rsidRPr="008D0235">
        <w:rPr>
          <w:rStyle w:val="s2"/>
          <w:rFonts w:ascii="Arial" w:hAnsi="Arial" w:cs="Arial"/>
        </w:rPr>
        <w:t xml:space="preserve"> by the Health Foundation (2016) as care that treats individuals with respect, dignity, and compassion, concentrating on their priorities rather than just their illness.</w:t>
      </w:r>
    </w:p>
    <w:p w14:paraId="6CEBE180" w14:textId="77777777" w:rsidR="00665453" w:rsidRPr="008D0235" w:rsidRDefault="00665453">
      <w:pPr>
        <w:pStyle w:val="p3"/>
        <w:rPr>
          <w:rFonts w:ascii="Arial" w:hAnsi="Arial" w:cs="Arial"/>
        </w:rPr>
      </w:pPr>
    </w:p>
    <w:p w14:paraId="3036D85F" w14:textId="1BBC034B" w:rsidR="00665453" w:rsidRPr="008D0235" w:rsidRDefault="00665453">
      <w:pPr>
        <w:pStyle w:val="p4"/>
        <w:rPr>
          <w:rFonts w:ascii="Arial" w:hAnsi="Arial" w:cs="Arial"/>
        </w:rPr>
      </w:pPr>
      <w:r w:rsidRPr="008D0235">
        <w:rPr>
          <w:rStyle w:val="s2"/>
          <w:rFonts w:ascii="Arial" w:hAnsi="Arial" w:cs="Arial"/>
        </w:rPr>
        <w:t xml:space="preserve">PCC places a strong emphasis on recovery-oriented practice in mental health services, </w:t>
      </w:r>
      <w:r w:rsidR="002F3BF7" w:rsidRPr="008D0235">
        <w:rPr>
          <w:rStyle w:val="s2"/>
          <w:rFonts w:ascii="Arial" w:hAnsi="Arial" w:cs="Arial"/>
        </w:rPr>
        <w:t>helping</w:t>
      </w:r>
      <w:r w:rsidRPr="008D0235">
        <w:rPr>
          <w:rStyle w:val="s2"/>
          <w:rFonts w:ascii="Arial" w:hAnsi="Arial" w:cs="Arial"/>
        </w:rPr>
        <w:t xml:space="preserve"> people in leading fulfilling lives outside of their diagnosis. It promotes empowerment, collaborative decision-making, and therapeutic relationships (Borg and Kristiansen, </w:t>
      </w:r>
      <w:r w:rsidR="00792A66" w:rsidRPr="008D0235">
        <w:rPr>
          <w:rStyle w:val="s2"/>
          <w:rFonts w:ascii="Arial" w:hAnsi="Arial" w:cs="Arial"/>
        </w:rPr>
        <w:t>2021</w:t>
      </w:r>
      <w:r w:rsidR="00792A66">
        <w:rPr>
          <w:rStyle w:val="s2"/>
          <w:rFonts w:ascii="Arial" w:hAnsi="Arial" w:cs="Arial"/>
        </w:rPr>
        <w:t xml:space="preserve">; </w:t>
      </w:r>
      <w:r w:rsidR="00B41BD9">
        <w:rPr>
          <w:rStyle w:val="s2"/>
          <w:rFonts w:ascii="Arial" w:hAnsi="Arial" w:cs="Arial"/>
        </w:rPr>
        <w:t>Millar,</w:t>
      </w:r>
      <w:r w:rsidR="00792A66">
        <w:rPr>
          <w:rStyle w:val="s2"/>
          <w:rFonts w:ascii="Arial" w:hAnsi="Arial" w:cs="Arial"/>
        </w:rPr>
        <w:t>2017</w:t>
      </w:r>
      <w:r w:rsidRPr="008D0235">
        <w:rPr>
          <w:rStyle w:val="s2"/>
          <w:rFonts w:ascii="Arial" w:hAnsi="Arial" w:cs="Arial"/>
        </w:rPr>
        <w:t xml:space="preserve">). PCC is a moral commitment to upholding autonomy and fostering wellbeing in addition to being a clinical </w:t>
      </w:r>
      <w:r w:rsidR="00792A66" w:rsidRPr="008D0235">
        <w:rPr>
          <w:rStyle w:val="s2"/>
          <w:rFonts w:ascii="Arial" w:hAnsi="Arial" w:cs="Arial"/>
        </w:rPr>
        <w:t>framework.</w:t>
      </w:r>
      <w:r w:rsidR="00792A66">
        <w:rPr>
          <w:rStyle w:val="s2"/>
          <w:rFonts w:ascii="Arial" w:hAnsi="Arial" w:cs="Arial"/>
        </w:rPr>
        <w:t xml:space="preserve"> (Wasim,2023).</w:t>
      </w:r>
    </w:p>
    <w:p w14:paraId="43178B81" w14:textId="77777777" w:rsidR="00665453" w:rsidRPr="008D0235" w:rsidRDefault="00665453">
      <w:pPr>
        <w:pStyle w:val="p3"/>
        <w:rPr>
          <w:rFonts w:ascii="Arial" w:hAnsi="Arial" w:cs="Arial"/>
        </w:rPr>
      </w:pPr>
    </w:p>
    <w:p w14:paraId="794FA947" w14:textId="77777777" w:rsidR="00665453" w:rsidRPr="008D0235" w:rsidRDefault="00665453">
      <w:pPr>
        <w:pStyle w:val="p3"/>
        <w:rPr>
          <w:rFonts w:ascii="Arial" w:hAnsi="Arial" w:cs="Arial"/>
        </w:rPr>
      </w:pPr>
    </w:p>
    <w:p w14:paraId="001E0BB2" w14:textId="77777777" w:rsidR="00665453" w:rsidRPr="008D0235" w:rsidRDefault="00665453">
      <w:pPr>
        <w:pStyle w:val="p3"/>
        <w:rPr>
          <w:rFonts w:ascii="Arial" w:hAnsi="Arial" w:cs="Arial"/>
        </w:rPr>
      </w:pPr>
    </w:p>
    <w:p w14:paraId="1BB36BBB" w14:textId="3D936AD9" w:rsidR="00665453" w:rsidRPr="008D0235" w:rsidRDefault="00665453">
      <w:pPr>
        <w:pStyle w:val="p4"/>
        <w:rPr>
          <w:rFonts w:ascii="Arial" w:hAnsi="Arial" w:cs="Arial"/>
        </w:rPr>
      </w:pPr>
      <w:r w:rsidRPr="008D0235">
        <w:rPr>
          <w:rStyle w:val="s3"/>
          <w:rFonts w:ascii="Arial" w:hAnsi="Arial" w:cs="Arial"/>
        </w:rPr>
        <w:t xml:space="preserve">The advantages and restrictions of </w:t>
      </w:r>
      <w:r w:rsidR="002F3BF7" w:rsidRPr="008D0235">
        <w:rPr>
          <w:rStyle w:val="s3"/>
          <w:rFonts w:ascii="Arial" w:hAnsi="Arial" w:cs="Arial"/>
        </w:rPr>
        <w:t>person-centred</w:t>
      </w:r>
      <w:r w:rsidRPr="008D0235">
        <w:rPr>
          <w:rStyle w:val="s3"/>
          <w:rFonts w:ascii="Arial" w:hAnsi="Arial" w:cs="Arial"/>
        </w:rPr>
        <w:t xml:space="preserve"> care:</w:t>
      </w:r>
    </w:p>
    <w:p w14:paraId="4D38A406" w14:textId="77777777" w:rsidR="00665453" w:rsidRPr="008D0235" w:rsidRDefault="00665453">
      <w:pPr>
        <w:pStyle w:val="p3"/>
        <w:rPr>
          <w:rFonts w:ascii="Arial" w:hAnsi="Arial" w:cs="Arial"/>
        </w:rPr>
      </w:pPr>
    </w:p>
    <w:p w14:paraId="10F96029" w14:textId="14C39FAE" w:rsidR="00665453" w:rsidRPr="008D0235" w:rsidRDefault="00665453">
      <w:pPr>
        <w:pStyle w:val="p4"/>
        <w:rPr>
          <w:rFonts w:ascii="Arial" w:hAnsi="Arial" w:cs="Arial"/>
        </w:rPr>
      </w:pPr>
      <w:r w:rsidRPr="008D0235">
        <w:rPr>
          <w:rStyle w:val="s3"/>
          <w:rFonts w:ascii="Arial" w:hAnsi="Arial" w:cs="Arial"/>
        </w:rPr>
        <w:t xml:space="preserve">The </w:t>
      </w:r>
      <w:r w:rsidR="00FB3E6C" w:rsidRPr="008D0235">
        <w:rPr>
          <w:rStyle w:val="s3"/>
          <w:rFonts w:ascii="Arial" w:hAnsi="Arial" w:cs="Arial"/>
        </w:rPr>
        <w:t>Benefits</w:t>
      </w:r>
      <w:r w:rsidR="00FB3E6C">
        <w:rPr>
          <w:rStyle w:val="s3"/>
          <w:rFonts w:ascii="Arial" w:hAnsi="Arial" w:cs="Arial"/>
        </w:rPr>
        <w:t>.</w:t>
      </w:r>
    </w:p>
    <w:p w14:paraId="49EAC08A" w14:textId="77777777" w:rsidR="00665453" w:rsidRPr="008D0235" w:rsidRDefault="00665453">
      <w:pPr>
        <w:pStyle w:val="p3"/>
        <w:rPr>
          <w:rFonts w:ascii="Arial" w:hAnsi="Arial" w:cs="Arial"/>
        </w:rPr>
      </w:pPr>
    </w:p>
    <w:p w14:paraId="4DE93816" w14:textId="397D23D8" w:rsidR="00665453" w:rsidRPr="008D0235" w:rsidRDefault="00665453">
      <w:pPr>
        <w:pStyle w:val="p4"/>
        <w:rPr>
          <w:rFonts w:ascii="Arial" w:hAnsi="Arial" w:cs="Arial"/>
        </w:rPr>
      </w:pPr>
      <w:r w:rsidRPr="008D0235">
        <w:rPr>
          <w:rStyle w:val="s2"/>
          <w:rFonts w:ascii="Arial" w:hAnsi="Arial" w:cs="Arial"/>
        </w:rPr>
        <w:t xml:space="preserve">There is ample evidence of PCC's advantages in mental health services. It builds trust between patients and professionals, increases treatment adherence, and improves service user satisfaction (Beck et al., 2022). Better health outcomes result from increased participation in care plans by people who feel valued and heard (Herbert et al., </w:t>
      </w:r>
      <w:r w:rsidR="004F7B5B" w:rsidRPr="008D0235">
        <w:rPr>
          <w:rStyle w:val="s2"/>
          <w:rFonts w:ascii="Arial" w:hAnsi="Arial" w:cs="Arial"/>
        </w:rPr>
        <w:t>2021</w:t>
      </w:r>
      <w:r w:rsidR="004F7B5B">
        <w:rPr>
          <w:rStyle w:val="s2"/>
          <w:rFonts w:ascii="Arial" w:hAnsi="Arial" w:cs="Arial"/>
        </w:rPr>
        <w:t>; Millar and Salloum 2018).</w:t>
      </w:r>
    </w:p>
    <w:p w14:paraId="0719888D" w14:textId="77777777" w:rsidR="00665453" w:rsidRPr="008D0235" w:rsidRDefault="00665453">
      <w:pPr>
        <w:pStyle w:val="p3"/>
        <w:rPr>
          <w:rFonts w:ascii="Arial" w:hAnsi="Arial" w:cs="Arial"/>
        </w:rPr>
      </w:pPr>
    </w:p>
    <w:p w14:paraId="7998338E" w14:textId="1E8816FB" w:rsidR="00665453" w:rsidRPr="008D0235" w:rsidRDefault="00665453">
      <w:pPr>
        <w:pStyle w:val="p4"/>
        <w:rPr>
          <w:rFonts w:ascii="Arial" w:hAnsi="Arial" w:cs="Arial"/>
        </w:rPr>
      </w:pPr>
      <w:r w:rsidRPr="008D0235">
        <w:rPr>
          <w:rStyle w:val="s2"/>
          <w:rFonts w:ascii="Arial" w:hAnsi="Arial" w:cs="Arial"/>
        </w:rPr>
        <w:t xml:space="preserve">Additionally, recovery-oriented practice—which </w:t>
      </w:r>
      <w:r w:rsidR="00A11398" w:rsidRPr="008D0235">
        <w:rPr>
          <w:rStyle w:val="s2"/>
          <w:rFonts w:ascii="Arial" w:hAnsi="Arial" w:cs="Arial"/>
        </w:rPr>
        <w:t>emphasises</w:t>
      </w:r>
      <w:r w:rsidRPr="008D0235">
        <w:rPr>
          <w:rStyle w:val="s2"/>
          <w:rFonts w:ascii="Arial" w:hAnsi="Arial" w:cs="Arial"/>
        </w:rPr>
        <w:t xml:space="preserve"> empowerment, identity, and hope—aligns with PCC. Research </w:t>
      </w:r>
      <w:r w:rsidR="00DE20FF" w:rsidRPr="008D0235">
        <w:rPr>
          <w:rStyle w:val="s2"/>
          <w:rFonts w:ascii="Arial" w:hAnsi="Arial" w:cs="Arial"/>
        </w:rPr>
        <w:t>writes down</w:t>
      </w:r>
      <w:r w:rsidRPr="008D0235">
        <w:rPr>
          <w:rStyle w:val="s2"/>
          <w:rFonts w:ascii="Arial" w:hAnsi="Arial" w:cs="Arial"/>
        </w:rPr>
        <w:t xml:space="preserve"> that PCC enhances recovery experiences by lowering coercive </w:t>
      </w:r>
      <w:r w:rsidR="00A11398" w:rsidRPr="008D0235">
        <w:rPr>
          <w:rStyle w:val="s2"/>
          <w:rFonts w:ascii="Arial" w:hAnsi="Arial" w:cs="Arial"/>
        </w:rPr>
        <w:t>behaviours</w:t>
      </w:r>
      <w:r w:rsidRPr="008D0235">
        <w:rPr>
          <w:rStyle w:val="s2"/>
          <w:rFonts w:ascii="Arial" w:hAnsi="Arial" w:cs="Arial"/>
        </w:rPr>
        <w:t xml:space="preserve">, fostering autonomy, and encouraging cooperative relationships (Lean et al., 2020). According to Esposito et al. (2020), PCC also helps provide more comprehensive care by addressing the psychological, social, and environmental factors that affect mental </w:t>
      </w:r>
      <w:r w:rsidR="00D521FD" w:rsidRPr="008D0235">
        <w:rPr>
          <w:rStyle w:val="s2"/>
          <w:rFonts w:ascii="Arial" w:hAnsi="Arial" w:cs="Arial"/>
        </w:rPr>
        <w:t>health</w:t>
      </w:r>
      <w:r w:rsidR="00D521FD">
        <w:rPr>
          <w:rStyle w:val="s2"/>
          <w:rFonts w:ascii="Arial" w:hAnsi="Arial" w:cs="Arial"/>
        </w:rPr>
        <w:t xml:space="preserve"> (</w:t>
      </w:r>
      <w:r w:rsidR="00491FD6">
        <w:rPr>
          <w:rStyle w:val="s2"/>
          <w:rFonts w:ascii="Arial" w:hAnsi="Arial" w:cs="Arial"/>
        </w:rPr>
        <w:t>Lee et al.,</w:t>
      </w:r>
      <w:r w:rsidR="00D521FD">
        <w:rPr>
          <w:rStyle w:val="s2"/>
          <w:rFonts w:ascii="Arial" w:hAnsi="Arial" w:cs="Arial"/>
        </w:rPr>
        <w:t>2024).</w:t>
      </w:r>
    </w:p>
    <w:p w14:paraId="5EFEC07A" w14:textId="77777777" w:rsidR="00665453" w:rsidRPr="008D0235" w:rsidRDefault="00665453">
      <w:pPr>
        <w:pStyle w:val="p3"/>
        <w:rPr>
          <w:rFonts w:ascii="Arial" w:hAnsi="Arial" w:cs="Arial"/>
        </w:rPr>
      </w:pPr>
    </w:p>
    <w:p w14:paraId="6E2AE5C1" w14:textId="77777777" w:rsidR="00665453" w:rsidRPr="008D0235" w:rsidRDefault="00665453">
      <w:pPr>
        <w:pStyle w:val="p3"/>
        <w:rPr>
          <w:rFonts w:ascii="Arial" w:hAnsi="Arial" w:cs="Arial"/>
        </w:rPr>
      </w:pPr>
    </w:p>
    <w:p w14:paraId="7EBD0A5B" w14:textId="77777777" w:rsidR="00665453" w:rsidRPr="008D0235" w:rsidRDefault="00665453">
      <w:pPr>
        <w:pStyle w:val="p3"/>
        <w:rPr>
          <w:rFonts w:ascii="Arial" w:hAnsi="Arial" w:cs="Arial"/>
        </w:rPr>
      </w:pPr>
    </w:p>
    <w:p w14:paraId="35433ED1" w14:textId="77777777" w:rsidR="00665453" w:rsidRPr="008D0235" w:rsidRDefault="00665453">
      <w:pPr>
        <w:pStyle w:val="p4"/>
        <w:rPr>
          <w:rFonts w:ascii="Arial" w:hAnsi="Arial" w:cs="Arial"/>
        </w:rPr>
      </w:pPr>
      <w:r w:rsidRPr="008D0235">
        <w:rPr>
          <w:rStyle w:val="s3"/>
          <w:rFonts w:ascii="Arial" w:hAnsi="Arial" w:cs="Arial"/>
        </w:rPr>
        <w:t>Limitations:</w:t>
      </w:r>
    </w:p>
    <w:p w14:paraId="6FCDB835" w14:textId="77777777" w:rsidR="00665453" w:rsidRPr="008D0235" w:rsidRDefault="00665453">
      <w:pPr>
        <w:pStyle w:val="p3"/>
        <w:rPr>
          <w:rFonts w:ascii="Arial" w:hAnsi="Arial" w:cs="Arial"/>
        </w:rPr>
      </w:pPr>
    </w:p>
    <w:p w14:paraId="4220B2C1" w14:textId="66812A41" w:rsidR="00665453" w:rsidRPr="008D0235" w:rsidRDefault="00665453">
      <w:pPr>
        <w:pStyle w:val="p4"/>
        <w:rPr>
          <w:rFonts w:ascii="Arial" w:hAnsi="Arial" w:cs="Arial"/>
        </w:rPr>
      </w:pPr>
      <w:r w:rsidRPr="008D0235">
        <w:rPr>
          <w:rStyle w:val="s2"/>
          <w:rFonts w:ascii="Arial" w:hAnsi="Arial" w:cs="Arial"/>
        </w:rPr>
        <w:t xml:space="preserve">But putting PCC into practice is not without its difficulties. High caseloads, staffing shortages, and time restraints can make it difficult for practitioners to provide </w:t>
      </w:r>
      <w:r w:rsidR="00A11398" w:rsidRPr="008D0235">
        <w:rPr>
          <w:rStyle w:val="s2"/>
          <w:rFonts w:ascii="Arial" w:hAnsi="Arial" w:cs="Arial"/>
        </w:rPr>
        <w:t>individualised</w:t>
      </w:r>
      <w:r w:rsidRPr="008D0235">
        <w:rPr>
          <w:rStyle w:val="s2"/>
          <w:rFonts w:ascii="Arial" w:hAnsi="Arial" w:cs="Arial"/>
        </w:rPr>
        <w:t xml:space="preserve"> care (McDonagh et al., 2023). According to Davies et al. (2023), individuals with severe mental illness may </w:t>
      </w:r>
      <w:r w:rsidR="00A11398" w:rsidRPr="008D0235">
        <w:rPr>
          <w:rStyle w:val="s2"/>
          <w:rFonts w:ascii="Arial" w:hAnsi="Arial" w:cs="Arial"/>
        </w:rPr>
        <w:t>meet</w:t>
      </w:r>
      <w:r w:rsidRPr="008D0235">
        <w:rPr>
          <w:rStyle w:val="s2"/>
          <w:rFonts w:ascii="Arial" w:hAnsi="Arial" w:cs="Arial"/>
        </w:rPr>
        <w:t xml:space="preserve"> obstacles to active participation because of symptoms like emotional distress or cognitive impairment.</w:t>
      </w:r>
    </w:p>
    <w:p w14:paraId="7B76665C" w14:textId="77777777" w:rsidR="00665453" w:rsidRPr="008D0235" w:rsidRDefault="00665453">
      <w:pPr>
        <w:pStyle w:val="p3"/>
        <w:rPr>
          <w:rFonts w:ascii="Arial" w:hAnsi="Arial" w:cs="Arial"/>
        </w:rPr>
      </w:pPr>
    </w:p>
    <w:p w14:paraId="2EA10F51" w14:textId="09505483" w:rsidR="001863DD" w:rsidRPr="001863DD" w:rsidRDefault="00665453">
      <w:pPr>
        <w:pStyle w:val="p1"/>
        <w:rPr>
          <w:rFonts w:ascii="Arial" w:hAnsi="Arial" w:cs="Arial"/>
          <w:sz w:val="24"/>
          <w:szCs w:val="24"/>
        </w:rPr>
      </w:pPr>
      <w:r w:rsidRPr="008D0235">
        <w:rPr>
          <w:rStyle w:val="s2"/>
          <w:rFonts w:ascii="Arial" w:hAnsi="Arial" w:cs="Arial"/>
        </w:rPr>
        <w:t xml:space="preserve">Another risk is tokenism, in which </w:t>
      </w:r>
      <w:r w:rsidR="00A11398" w:rsidRPr="008D0235">
        <w:rPr>
          <w:rStyle w:val="s2"/>
          <w:rFonts w:ascii="Arial" w:hAnsi="Arial" w:cs="Arial"/>
        </w:rPr>
        <w:t>organisations</w:t>
      </w:r>
      <w:r w:rsidRPr="008D0235">
        <w:rPr>
          <w:rStyle w:val="s2"/>
          <w:rFonts w:ascii="Arial" w:hAnsi="Arial" w:cs="Arial"/>
        </w:rPr>
        <w:t xml:space="preserve"> make claims to offer PCC but do not actually include service users in decision-making (Colberg et al., 2020). In the absence of sufficient instruction and institutional backing, PCC may turn into a theoretical </w:t>
      </w:r>
      <w:r w:rsidR="00A11398" w:rsidRPr="008D0235">
        <w:rPr>
          <w:rStyle w:val="s2"/>
          <w:rFonts w:ascii="Arial" w:hAnsi="Arial" w:cs="Arial"/>
        </w:rPr>
        <w:t>goal</w:t>
      </w:r>
      <w:r w:rsidRPr="008D0235">
        <w:rPr>
          <w:rStyle w:val="s2"/>
          <w:rFonts w:ascii="Arial" w:hAnsi="Arial" w:cs="Arial"/>
        </w:rPr>
        <w:t xml:space="preserve"> instead of a lived </w:t>
      </w:r>
      <w:r w:rsidR="001863DD" w:rsidRPr="008D0235">
        <w:rPr>
          <w:rStyle w:val="s2"/>
          <w:rFonts w:ascii="Arial" w:hAnsi="Arial" w:cs="Arial"/>
        </w:rPr>
        <w:t>reality</w:t>
      </w:r>
      <w:r w:rsidR="001863DD">
        <w:rPr>
          <w:rStyle w:val="s2"/>
          <w:rFonts w:ascii="Arial" w:hAnsi="Arial" w:cs="Arial"/>
        </w:rPr>
        <w:t xml:space="preserve"> </w:t>
      </w:r>
      <w:r w:rsidR="001863DD" w:rsidRPr="001863DD">
        <w:rPr>
          <w:rFonts w:ascii="UICTFontTextStyleBody" w:hAnsi="UICTFontTextStyleBody"/>
          <w:sz w:val="24"/>
          <w:szCs w:val="24"/>
        </w:rPr>
        <w:t>(</w:t>
      </w:r>
      <w:r w:rsidR="001863DD" w:rsidRPr="001863DD">
        <w:rPr>
          <w:rFonts w:ascii="Arial" w:hAnsi="Arial" w:cs="Arial"/>
          <w:sz w:val="24"/>
          <w:szCs w:val="24"/>
        </w:rPr>
        <w:t xml:space="preserve">McCormack and McCance, </w:t>
      </w:r>
      <w:r w:rsidR="000B732C" w:rsidRPr="001863DD">
        <w:rPr>
          <w:rFonts w:ascii="Arial" w:hAnsi="Arial" w:cs="Arial"/>
          <w:sz w:val="24"/>
          <w:szCs w:val="24"/>
        </w:rPr>
        <w:t>2017</w:t>
      </w:r>
      <w:r w:rsidR="000B732C">
        <w:rPr>
          <w:rFonts w:ascii="Arial" w:hAnsi="Arial" w:cs="Arial"/>
          <w:sz w:val="24"/>
          <w:szCs w:val="24"/>
        </w:rPr>
        <w:t>; Edvardsson,2015).</w:t>
      </w:r>
    </w:p>
    <w:p w14:paraId="0841C5DF" w14:textId="73D55CDB" w:rsidR="00665453" w:rsidRPr="001863DD" w:rsidRDefault="00665453">
      <w:pPr>
        <w:pStyle w:val="p4"/>
        <w:rPr>
          <w:rFonts w:ascii="Arial" w:hAnsi="Arial" w:cs="Arial"/>
        </w:rPr>
      </w:pPr>
    </w:p>
    <w:p w14:paraId="5E50A572" w14:textId="77777777" w:rsidR="00665453" w:rsidRPr="008D0235" w:rsidRDefault="00665453">
      <w:pPr>
        <w:pStyle w:val="p3"/>
        <w:rPr>
          <w:rFonts w:ascii="Arial" w:hAnsi="Arial" w:cs="Arial"/>
        </w:rPr>
      </w:pPr>
    </w:p>
    <w:p w14:paraId="56E7F169" w14:textId="77777777" w:rsidR="00665453" w:rsidRPr="008D0235" w:rsidRDefault="00665453">
      <w:pPr>
        <w:pStyle w:val="p3"/>
        <w:rPr>
          <w:rFonts w:ascii="Arial" w:hAnsi="Arial" w:cs="Arial"/>
        </w:rPr>
      </w:pPr>
    </w:p>
    <w:p w14:paraId="1B2531AC" w14:textId="77777777" w:rsidR="00665453" w:rsidRPr="008D0235" w:rsidRDefault="00665453">
      <w:pPr>
        <w:pStyle w:val="p4"/>
        <w:rPr>
          <w:rFonts w:ascii="Arial" w:hAnsi="Arial" w:cs="Arial"/>
        </w:rPr>
      </w:pPr>
      <w:r w:rsidRPr="008D0235">
        <w:rPr>
          <w:rStyle w:val="s3"/>
          <w:rFonts w:ascii="Arial" w:hAnsi="Arial" w:cs="Arial"/>
        </w:rPr>
        <w:t>Theoretical Model Underpinning PCC: Carl Rogers’ Humanistic Theory:</w:t>
      </w:r>
    </w:p>
    <w:p w14:paraId="7CEF55DE" w14:textId="77777777" w:rsidR="00665453" w:rsidRPr="008D0235" w:rsidRDefault="00665453">
      <w:pPr>
        <w:pStyle w:val="p3"/>
        <w:rPr>
          <w:rFonts w:ascii="Arial" w:hAnsi="Arial" w:cs="Arial"/>
        </w:rPr>
      </w:pPr>
    </w:p>
    <w:p w14:paraId="737C05D6" w14:textId="4558AD7B" w:rsidR="00510ED5" w:rsidRPr="008D0235" w:rsidRDefault="00665453" w:rsidP="00667A60">
      <w:pPr>
        <w:pStyle w:val="p4"/>
        <w:rPr>
          <w:rFonts w:ascii="Arial" w:hAnsi="Arial" w:cs="Arial"/>
        </w:rPr>
      </w:pPr>
      <w:r w:rsidRPr="008D0235">
        <w:rPr>
          <w:rStyle w:val="s2"/>
          <w:rFonts w:ascii="Arial" w:hAnsi="Arial" w:cs="Arial"/>
        </w:rPr>
        <w:t xml:space="preserve">A key theoretical foundation for PCC is Carl Rogers’ (1951) humanistic person-centred theory. Rogers proposed that individuals </w:t>
      </w:r>
      <w:r w:rsidR="00A11398" w:rsidRPr="008D0235">
        <w:rPr>
          <w:rStyle w:val="s2"/>
          <w:rFonts w:ascii="Arial" w:hAnsi="Arial" w:cs="Arial"/>
        </w:rPr>
        <w:t>have</w:t>
      </w:r>
      <w:r w:rsidRPr="008D0235">
        <w:rPr>
          <w:rStyle w:val="s2"/>
          <w:rFonts w:ascii="Arial" w:hAnsi="Arial" w:cs="Arial"/>
        </w:rPr>
        <w:t xml:space="preserve"> an innate capacity for growth and self-actualisation when provided with empathy, unconditional positive regard, and congruence from </w:t>
      </w:r>
      <w:r w:rsidR="00510ED5" w:rsidRPr="008D0235">
        <w:rPr>
          <w:rStyle w:val="s2"/>
          <w:rFonts w:ascii="Arial" w:hAnsi="Arial" w:cs="Arial"/>
        </w:rPr>
        <w:t>others</w:t>
      </w:r>
      <w:r w:rsidR="00510ED5">
        <w:rPr>
          <w:rStyle w:val="s2"/>
          <w:rFonts w:ascii="Arial" w:hAnsi="Arial" w:cs="Arial"/>
        </w:rPr>
        <w:t xml:space="preserve"> (Guyton</w:t>
      </w:r>
      <w:r w:rsidR="00510ED5" w:rsidRPr="008D0235">
        <w:rPr>
          <w:rStyle w:val="s2"/>
          <w:rFonts w:ascii="Arial" w:hAnsi="Arial" w:cs="Arial"/>
        </w:rPr>
        <w:t xml:space="preserve"> and Hall, 2023)</w:t>
      </w:r>
      <w:r w:rsidR="00023886">
        <w:rPr>
          <w:rStyle w:val="s2"/>
          <w:rFonts w:ascii="Arial" w:hAnsi="Arial" w:cs="Arial"/>
        </w:rPr>
        <w:t>.</w:t>
      </w:r>
    </w:p>
    <w:p w14:paraId="4B997988" w14:textId="77777777" w:rsidR="00B54011" w:rsidRPr="00B54011" w:rsidRDefault="00665453">
      <w:pPr>
        <w:pStyle w:val="p1"/>
        <w:rPr>
          <w:rFonts w:ascii="Arial" w:hAnsi="Arial" w:cs="Arial"/>
          <w:sz w:val="24"/>
          <w:szCs w:val="24"/>
        </w:rPr>
      </w:pPr>
      <w:r w:rsidRPr="008D0235">
        <w:rPr>
          <w:rStyle w:val="s2"/>
          <w:rFonts w:ascii="Arial" w:hAnsi="Arial" w:cs="Arial"/>
        </w:rPr>
        <w:t>In mental health services, this theory translates into therapeutic relationships built on mutual respect, empathy, and authenticity (</w:t>
      </w:r>
      <w:r w:rsidR="00B54011" w:rsidRPr="00B54011">
        <w:rPr>
          <w:rFonts w:ascii="Arial" w:hAnsi="Arial" w:cs="Arial"/>
          <w:sz w:val="24"/>
          <w:szCs w:val="24"/>
        </w:rPr>
        <w:t>McCormack and McCance, 2017; McCormack, 2016).</w:t>
      </w:r>
    </w:p>
    <w:p w14:paraId="04BE234F" w14:textId="59D8266E" w:rsidR="00665453" w:rsidRPr="008D0235" w:rsidRDefault="00665453">
      <w:pPr>
        <w:pStyle w:val="p4"/>
        <w:rPr>
          <w:rFonts w:ascii="Arial" w:hAnsi="Arial" w:cs="Arial"/>
        </w:rPr>
      </w:pPr>
    </w:p>
    <w:p w14:paraId="0D5D3258" w14:textId="77777777" w:rsidR="00665453" w:rsidRPr="008D0235" w:rsidRDefault="00665453">
      <w:pPr>
        <w:pStyle w:val="p3"/>
        <w:rPr>
          <w:rFonts w:ascii="Arial" w:hAnsi="Arial" w:cs="Arial"/>
        </w:rPr>
      </w:pPr>
    </w:p>
    <w:p w14:paraId="4B6106A0" w14:textId="77777777" w:rsidR="00665453" w:rsidRPr="008D0235" w:rsidRDefault="00665453">
      <w:pPr>
        <w:pStyle w:val="p4"/>
        <w:rPr>
          <w:rFonts w:ascii="Arial" w:hAnsi="Arial" w:cs="Arial"/>
        </w:rPr>
      </w:pPr>
      <w:r w:rsidRPr="008D0235">
        <w:rPr>
          <w:rStyle w:val="s2"/>
          <w:rFonts w:ascii="Arial" w:hAnsi="Arial" w:cs="Arial"/>
        </w:rPr>
        <w:t>Rogers’ theory underpins modern PCC frameworks, including McCormack and McCance’s (2017) Person-Centred Nursing Framework, which emphasises knowing the person, creating a therapeutic environment, and empowering service users.</w:t>
      </w:r>
    </w:p>
    <w:p w14:paraId="64480BDA" w14:textId="77777777" w:rsidR="00665453" w:rsidRPr="008D0235" w:rsidRDefault="00665453">
      <w:pPr>
        <w:pStyle w:val="p3"/>
        <w:rPr>
          <w:rFonts w:ascii="Arial" w:hAnsi="Arial" w:cs="Arial"/>
        </w:rPr>
      </w:pPr>
    </w:p>
    <w:p w14:paraId="3AFBA155" w14:textId="77777777" w:rsidR="00665453" w:rsidRPr="008D0235" w:rsidRDefault="00665453">
      <w:pPr>
        <w:pStyle w:val="p3"/>
        <w:rPr>
          <w:rFonts w:ascii="Arial" w:hAnsi="Arial" w:cs="Arial"/>
        </w:rPr>
      </w:pPr>
    </w:p>
    <w:p w14:paraId="62690C60" w14:textId="212051EB" w:rsidR="00665453" w:rsidRPr="008D0235" w:rsidRDefault="00665453">
      <w:pPr>
        <w:pStyle w:val="p4"/>
        <w:rPr>
          <w:rFonts w:ascii="Arial" w:hAnsi="Arial" w:cs="Arial"/>
        </w:rPr>
      </w:pPr>
      <w:r w:rsidRPr="008D0235">
        <w:rPr>
          <w:rStyle w:val="s2"/>
          <w:rFonts w:ascii="Arial" w:hAnsi="Arial" w:cs="Arial"/>
        </w:rPr>
        <w:t xml:space="preserve">A key premise of the humanistic model is that people can grow on their own, but this may not always be the case in cases of severe mental illness. Therefore, practitioners must </w:t>
      </w:r>
      <w:r w:rsidR="002F3BF7" w:rsidRPr="008D0235">
        <w:rPr>
          <w:rStyle w:val="s2"/>
          <w:rFonts w:ascii="Arial" w:hAnsi="Arial" w:cs="Arial"/>
        </w:rPr>
        <w:t>change</w:t>
      </w:r>
      <w:r w:rsidRPr="008D0235">
        <w:rPr>
          <w:rStyle w:val="s2"/>
          <w:rFonts w:ascii="Arial" w:hAnsi="Arial" w:cs="Arial"/>
        </w:rPr>
        <w:t xml:space="preserve"> Rogers' model to account for changing capacity and the requirement for safeguarding, even though it offers a useful philosophical foundation (Pan et al., 2022).</w:t>
      </w:r>
    </w:p>
    <w:p w14:paraId="730C9830" w14:textId="77777777" w:rsidR="00665453" w:rsidRPr="008D0235" w:rsidRDefault="00665453">
      <w:pPr>
        <w:pStyle w:val="p3"/>
        <w:rPr>
          <w:rFonts w:ascii="Arial" w:hAnsi="Arial" w:cs="Arial"/>
        </w:rPr>
      </w:pPr>
    </w:p>
    <w:p w14:paraId="4537570F" w14:textId="77777777" w:rsidR="00665453" w:rsidRPr="008D0235" w:rsidRDefault="00665453">
      <w:pPr>
        <w:pStyle w:val="p3"/>
        <w:rPr>
          <w:rFonts w:ascii="Arial" w:hAnsi="Arial" w:cs="Arial"/>
        </w:rPr>
      </w:pPr>
    </w:p>
    <w:p w14:paraId="7713AA65" w14:textId="77777777" w:rsidR="00665453" w:rsidRPr="008D0235" w:rsidRDefault="00665453">
      <w:pPr>
        <w:pStyle w:val="p4"/>
        <w:rPr>
          <w:rFonts w:ascii="Arial" w:hAnsi="Arial" w:cs="Arial"/>
        </w:rPr>
      </w:pPr>
      <w:r w:rsidRPr="008D0235">
        <w:rPr>
          <w:rStyle w:val="s3"/>
          <w:rFonts w:ascii="Arial" w:hAnsi="Arial" w:cs="Arial"/>
        </w:rPr>
        <w:t>Principles of Health and Social Care Ethics:</w:t>
      </w:r>
    </w:p>
    <w:p w14:paraId="487CDDA0" w14:textId="77777777" w:rsidR="00665453" w:rsidRPr="008D0235" w:rsidRDefault="00665453">
      <w:pPr>
        <w:pStyle w:val="p3"/>
        <w:rPr>
          <w:rFonts w:ascii="Arial" w:hAnsi="Arial" w:cs="Arial"/>
        </w:rPr>
      </w:pPr>
    </w:p>
    <w:p w14:paraId="794F2368" w14:textId="77777777" w:rsidR="00665453" w:rsidRPr="008D0235" w:rsidRDefault="00665453">
      <w:pPr>
        <w:pStyle w:val="p4"/>
        <w:rPr>
          <w:rFonts w:ascii="Arial" w:hAnsi="Arial" w:cs="Arial"/>
        </w:rPr>
      </w:pPr>
      <w:r w:rsidRPr="008D0235">
        <w:rPr>
          <w:rStyle w:val="s2"/>
          <w:rFonts w:ascii="Arial" w:hAnsi="Arial" w:cs="Arial"/>
        </w:rPr>
        <w:t xml:space="preserve">Ethics are essential to both PW and PCC. Professional practice </w:t>
      </w:r>
      <w:bookmarkStart w:id="2" w:name="_Int_ufBMEQou"/>
      <w:r w:rsidRPr="008D0235">
        <w:rPr>
          <w:rStyle w:val="s2"/>
          <w:rFonts w:ascii="Arial" w:hAnsi="Arial" w:cs="Arial"/>
        </w:rPr>
        <w:t>is governed</w:t>
      </w:r>
      <w:bookmarkEnd w:id="2"/>
      <w:r w:rsidRPr="008D0235">
        <w:rPr>
          <w:rStyle w:val="s2"/>
          <w:rFonts w:ascii="Arial" w:hAnsi="Arial" w:cs="Arial"/>
        </w:rPr>
        <w:t xml:space="preserve"> by the four fundamental biomedical ethics principles of autonomy, beneficence, non-maleficence, and justice (Beauchamp and Childress, 2019).</w:t>
      </w:r>
    </w:p>
    <w:p w14:paraId="6C0E3647" w14:textId="42D1BF14" w:rsidR="00665453" w:rsidRPr="008D0235" w:rsidRDefault="00665453">
      <w:pPr>
        <w:pStyle w:val="p4"/>
        <w:rPr>
          <w:rFonts w:ascii="Arial" w:hAnsi="Arial" w:cs="Arial"/>
        </w:rPr>
      </w:pPr>
      <w:r w:rsidRPr="008D0235">
        <w:rPr>
          <w:rStyle w:val="s2"/>
          <w:rFonts w:ascii="Arial" w:hAnsi="Arial" w:cs="Arial"/>
        </w:rPr>
        <w:t xml:space="preserve">• Autonomy </w:t>
      </w:r>
      <w:r w:rsidR="00D16E98" w:rsidRPr="008D0235">
        <w:rPr>
          <w:rStyle w:val="s2"/>
          <w:rFonts w:ascii="Arial" w:hAnsi="Arial" w:cs="Arial"/>
        </w:rPr>
        <w:t>needs</w:t>
      </w:r>
      <w:r w:rsidRPr="008D0235">
        <w:rPr>
          <w:rStyle w:val="s2"/>
          <w:rFonts w:ascii="Arial" w:hAnsi="Arial" w:cs="Arial"/>
        </w:rPr>
        <w:t xml:space="preserve"> respecting people's rights to make knowledgeable healthcare decisions.</w:t>
      </w:r>
    </w:p>
    <w:p w14:paraId="78453867" w14:textId="77777777" w:rsidR="00665453" w:rsidRPr="008D0235" w:rsidRDefault="00665453">
      <w:pPr>
        <w:pStyle w:val="p4"/>
        <w:rPr>
          <w:rFonts w:ascii="Arial" w:hAnsi="Arial" w:cs="Arial"/>
        </w:rPr>
      </w:pPr>
      <w:r w:rsidRPr="008D0235">
        <w:rPr>
          <w:rStyle w:val="s2"/>
          <w:rFonts w:ascii="Arial" w:hAnsi="Arial" w:cs="Arial"/>
        </w:rPr>
        <w:t xml:space="preserve">• Actions </w:t>
      </w:r>
      <w:bookmarkStart w:id="3" w:name="_Int_svsfPcJ8"/>
      <w:r w:rsidRPr="008D0235">
        <w:rPr>
          <w:rStyle w:val="s2"/>
          <w:rFonts w:ascii="Arial" w:hAnsi="Arial" w:cs="Arial"/>
        </w:rPr>
        <w:t>are guaranteed</w:t>
      </w:r>
      <w:bookmarkEnd w:id="3"/>
      <w:r w:rsidRPr="008D0235">
        <w:rPr>
          <w:rStyle w:val="s2"/>
          <w:rFonts w:ascii="Arial" w:hAnsi="Arial" w:cs="Arial"/>
        </w:rPr>
        <w:t xml:space="preserve"> to be beneficial and non-harmful when they are based on beneficence and non-maleficence.</w:t>
      </w:r>
    </w:p>
    <w:p w14:paraId="1291B5F1" w14:textId="32C9EA12" w:rsidR="00665453" w:rsidRPr="008D0235" w:rsidRDefault="00665453">
      <w:pPr>
        <w:pStyle w:val="p4"/>
        <w:rPr>
          <w:rFonts w:ascii="Arial" w:hAnsi="Arial" w:cs="Arial"/>
        </w:rPr>
      </w:pPr>
      <w:r w:rsidRPr="008D0235">
        <w:rPr>
          <w:rStyle w:val="s2"/>
          <w:rFonts w:ascii="Arial" w:hAnsi="Arial" w:cs="Arial"/>
        </w:rPr>
        <w:t xml:space="preserve">• Justice is associated with </w:t>
      </w:r>
      <w:r w:rsidR="00D16E98" w:rsidRPr="008D0235">
        <w:rPr>
          <w:rStyle w:val="s2"/>
          <w:rFonts w:ascii="Arial" w:hAnsi="Arial" w:cs="Arial"/>
        </w:rPr>
        <w:t>fair</w:t>
      </w:r>
      <w:r w:rsidRPr="008D0235">
        <w:rPr>
          <w:rStyle w:val="s2"/>
          <w:rFonts w:ascii="Arial" w:hAnsi="Arial" w:cs="Arial"/>
        </w:rPr>
        <w:t xml:space="preserve"> allocation of resources and care.</w:t>
      </w:r>
    </w:p>
    <w:p w14:paraId="7AFD8F07" w14:textId="77777777" w:rsidR="00665453" w:rsidRPr="008D0235" w:rsidRDefault="00665453">
      <w:pPr>
        <w:pStyle w:val="p3"/>
        <w:rPr>
          <w:rFonts w:ascii="Arial" w:hAnsi="Arial" w:cs="Arial"/>
        </w:rPr>
      </w:pPr>
    </w:p>
    <w:p w14:paraId="63502094" w14:textId="77777777" w:rsidR="00D90868" w:rsidRPr="00D90868" w:rsidRDefault="00665453">
      <w:pPr>
        <w:pStyle w:val="p1"/>
        <w:rPr>
          <w:rFonts w:ascii="Arial" w:hAnsi="Arial" w:cs="Arial"/>
          <w:sz w:val="24"/>
          <w:szCs w:val="24"/>
        </w:rPr>
      </w:pPr>
      <w:r w:rsidRPr="008D0235">
        <w:rPr>
          <w:rStyle w:val="s2"/>
          <w:rFonts w:ascii="Arial" w:hAnsi="Arial" w:cs="Arial"/>
        </w:rPr>
        <w:t xml:space="preserve">Ethical dilemmas in mental health situations </w:t>
      </w:r>
      <w:r w:rsidR="00D16E98" w:rsidRPr="008D0235">
        <w:rPr>
          <w:rStyle w:val="s2"/>
          <w:rFonts w:ascii="Arial" w:hAnsi="Arial" w:cs="Arial"/>
        </w:rPr>
        <w:t>often</w:t>
      </w:r>
      <w:r w:rsidRPr="008D0235">
        <w:rPr>
          <w:rStyle w:val="s2"/>
          <w:rFonts w:ascii="Arial" w:hAnsi="Arial" w:cs="Arial"/>
        </w:rPr>
        <w:t xml:space="preserve"> occur when duty of care and autonomy clash, as in the case of involuntary treatment or safeguarding situations. Protection from harm must </w:t>
      </w:r>
      <w:bookmarkStart w:id="4" w:name="_Int_HJHQfSjv"/>
      <w:r w:rsidRPr="008D0235">
        <w:rPr>
          <w:rStyle w:val="s2"/>
          <w:rFonts w:ascii="Arial" w:hAnsi="Arial" w:cs="Arial"/>
        </w:rPr>
        <w:t>be balanced</w:t>
      </w:r>
      <w:bookmarkEnd w:id="4"/>
      <w:r w:rsidRPr="008D0235">
        <w:rPr>
          <w:rStyle w:val="s2"/>
          <w:rFonts w:ascii="Arial" w:hAnsi="Arial" w:cs="Arial"/>
        </w:rPr>
        <w:t xml:space="preserve"> with respect for personal preference</w:t>
      </w:r>
      <w:r w:rsidR="00D90868">
        <w:rPr>
          <w:rStyle w:val="s2"/>
          <w:rFonts w:ascii="Arial" w:hAnsi="Arial" w:cs="Arial"/>
        </w:rPr>
        <w:t xml:space="preserve"> (</w:t>
      </w:r>
      <w:r w:rsidR="00D90868" w:rsidRPr="00D90868">
        <w:rPr>
          <w:rFonts w:ascii="Arial" w:hAnsi="Arial" w:cs="Arial"/>
          <w:sz w:val="24"/>
          <w:szCs w:val="24"/>
        </w:rPr>
        <w:t>Beauchamp and Childress, 2019).</w:t>
      </w:r>
    </w:p>
    <w:p w14:paraId="6C64ED63" w14:textId="13FEBD56" w:rsidR="00665453" w:rsidRPr="00D90868" w:rsidRDefault="00665453">
      <w:pPr>
        <w:pStyle w:val="p4"/>
        <w:rPr>
          <w:rFonts w:ascii="Arial" w:hAnsi="Arial" w:cs="Arial"/>
        </w:rPr>
      </w:pPr>
    </w:p>
    <w:p w14:paraId="76F3D3BE" w14:textId="77777777" w:rsidR="00665453" w:rsidRPr="00D90868" w:rsidRDefault="00665453">
      <w:pPr>
        <w:pStyle w:val="p3"/>
        <w:rPr>
          <w:rFonts w:ascii="Arial" w:hAnsi="Arial" w:cs="Arial"/>
        </w:rPr>
      </w:pPr>
    </w:p>
    <w:p w14:paraId="6FE14862" w14:textId="510A240C" w:rsidR="00AC38C5" w:rsidRPr="00AC38C5" w:rsidRDefault="00665453">
      <w:pPr>
        <w:pStyle w:val="p1"/>
        <w:rPr>
          <w:rFonts w:ascii="Arial" w:hAnsi="Arial" w:cs="Arial"/>
          <w:sz w:val="24"/>
          <w:szCs w:val="24"/>
        </w:rPr>
      </w:pPr>
      <w:r w:rsidRPr="008D0235">
        <w:rPr>
          <w:rStyle w:val="s2"/>
          <w:rFonts w:ascii="Arial" w:hAnsi="Arial" w:cs="Arial"/>
        </w:rPr>
        <w:t xml:space="preserve">Informed consent and confidentiality are also fundamental ethical principles that </w:t>
      </w:r>
      <w:bookmarkStart w:id="5" w:name="_Int_pI1YItZW"/>
      <w:r w:rsidRPr="008D0235">
        <w:rPr>
          <w:rStyle w:val="s2"/>
          <w:rFonts w:ascii="Arial" w:hAnsi="Arial" w:cs="Arial"/>
        </w:rPr>
        <w:t>are regulated</w:t>
      </w:r>
      <w:bookmarkEnd w:id="5"/>
      <w:r w:rsidRPr="008D0235">
        <w:rPr>
          <w:rStyle w:val="s2"/>
          <w:rFonts w:ascii="Arial" w:hAnsi="Arial" w:cs="Arial"/>
        </w:rPr>
        <w:t xml:space="preserve"> by laws like the Mental Capacity Act of 2005 and the Data Protection Act of 2018. Trust and accountability in therapeutic relationships </w:t>
      </w:r>
      <w:bookmarkStart w:id="6" w:name="_Int_kfI71drY"/>
      <w:r w:rsidRPr="008D0235">
        <w:rPr>
          <w:rStyle w:val="s2"/>
          <w:rFonts w:ascii="Arial" w:hAnsi="Arial" w:cs="Arial"/>
        </w:rPr>
        <w:t>are ensured</w:t>
      </w:r>
      <w:bookmarkEnd w:id="6"/>
      <w:r w:rsidRPr="008D0235">
        <w:rPr>
          <w:rStyle w:val="s2"/>
          <w:rFonts w:ascii="Arial" w:hAnsi="Arial" w:cs="Arial"/>
        </w:rPr>
        <w:t xml:space="preserve"> by following these </w:t>
      </w:r>
      <w:r w:rsidR="00AC38C5" w:rsidRPr="008D0235">
        <w:rPr>
          <w:rStyle w:val="s2"/>
          <w:rFonts w:ascii="Arial" w:hAnsi="Arial" w:cs="Arial"/>
        </w:rPr>
        <w:t>guidelines</w:t>
      </w:r>
      <w:r w:rsidR="00AC38C5">
        <w:rPr>
          <w:rStyle w:val="s2"/>
          <w:rFonts w:ascii="Arial" w:hAnsi="Arial" w:cs="Arial"/>
        </w:rPr>
        <w:t xml:space="preserve"> </w:t>
      </w:r>
      <w:r w:rsidR="00AC38C5" w:rsidRPr="00AC38C5">
        <w:rPr>
          <w:rFonts w:ascii="UICTFontTextStyleBody" w:hAnsi="UICTFontTextStyleBody"/>
          <w:sz w:val="24"/>
          <w:szCs w:val="24"/>
        </w:rPr>
        <w:t>(</w:t>
      </w:r>
      <w:r w:rsidR="00AC38C5" w:rsidRPr="00AC38C5">
        <w:rPr>
          <w:rFonts w:ascii="Arial" w:hAnsi="Arial" w:cs="Arial"/>
          <w:sz w:val="24"/>
          <w:szCs w:val="24"/>
        </w:rPr>
        <w:t>Department of Health and Social Care, 2014).</w:t>
      </w:r>
    </w:p>
    <w:p w14:paraId="030F05B5" w14:textId="30A2D7F4" w:rsidR="00665453" w:rsidRPr="008D0235" w:rsidRDefault="00665453">
      <w:pPr>
        <w:pStyle w:val="p4"/>
        <w:rPr>
          <w:rFonts w:ascii="Arial" w:hAnsi="Arial" w:cs="Arial"/>
        </w:rPr>
      </w:pPr>
    </w:p>
    <w:p w14:paraId="725A9098" w14:textId="77777777" w:rsidR="00665453" w:rsidRPr="008D0235" w:rsidRDefault="00665453">
      <w:pPr>
        <w:pStyle w:val="p3"/>
        <w:rPr>
          <w:rFonts w:ascii="Arial" w:hAnsi="Arial" w:cs="Arial"/>
        </w:rPr>
      </w:pPr>
    </w:p>
    <w:p w14:paraId="176A1EFE" w14:textId="77777777" w:rsidR="00665453" w:rsidRPr="008D0235" w:rsidRDefault="00665453">
      <w:pPr>
        <w:pStyle w:val="p3"/>
        <w:rPr>
          <w:rFonts w:ascii="Arial" w:hAnsi="Arial" w:cs="Arial"/>
        </w:rPr>
      </w:pPr>
    </w:p>
    <w:p w14:paraId="5D33C5C5" w14:textId="77777777" w:rsidR="00665453" w:rsidRPr="008D0235" w:rsidRDefault="00665453">
      <w:pPr>
        <w:pStyle w:val="p4"/>
        <w:rPr>
          <w:rFonts w:ascii="Arial" w:hAnsi="Arial" w:cs="Arial"/>
        </w:rPr>
      </w:pPr>
      <w:r w:rsidRPr="008D0235">
        <w:rPr>
          <w:rStyle w:val="s3"/>
          <w:rFonts w:ascii="Arial" w:hAnsi="Arial" w:cs="Arial"/>
        </w:rPr>
        <w:t>Assessing Collaboration in Health and Social Services:</w:t>
      </w:r>
    </w:p>
    <w:p w14:paraId="26370C0E" w14:textId="77777777" w:rsidR="00665453" w:rsidRPr="008D0235" w:rsidRDefault="00665453">
      <w:pPr>
        <w:pStyle w:val="p3"/>
        <w:rPr>
          <w:rFonts w:ascii="Arial" w:hAnsi="Arial" w:cs="Arial"/>
        </w:rPr>
      </w:pPr>
    </w:p>
    <w:p w14:paraId="28D647BC" w14:textId="0971AEE9" w:rsidR="00665453" w:rsidRPr="008D0235" w:rsidRDefault="00D16E98">
      <w:pPr>
        <w:pStyle w:val="p4"/>
        <w:rPr>
          <w:rFonts w:ascii="Arial" w:hAnsi="Arial" w:cs="Arial"/>
        </w:rPr>
      </w:pPr>
      <w:r w:rsidRPr="008D0235">
        <w:rPr>
          <w:rStyle w:val="s2"/>
          <w:rFonts w:ascii="Arial" w:hAnsi="Arial" w:cs="Arial"/>
        </w:rPr>
        <w:t>To</w:t>
      </w:r>
      <w:r w:rsidR="00665453" w:rsidRPr="008D0235">
        <w:rPr>
          <w:rStyle w:val="s2"/>
          <w:rFonts w:ascii="Arial" w:hAnsi="Arial" w:cs="Arial"/>
        </w:rPr>
        <w:t xml:space="preserve"> provide coordinated and comprehensive care, professionals, </w:t>
      </w:r>
      <w:r w:rsidRPr="008D0235">
        <w:rPr>
          <w:rStyle w:val="s2"/>
          <w:rFonts w:ascii="Arial" w:hAnsi="Arial" w:cs="Arial"/>
        </w:rPr>
        <w:t>organisations</w:t>
      </w:r>
      <w:r w:rsidR="00665453" w:rsidRPr="008D0235">
        <w:rPr>
          <w:rStyle w:val="s2"/>
          <w:rFonts w:ascii="Arial" w:hAnsi="Arial" w:cs="Arial"/>
        </w:rPr>
        <w:t xml:space="preserve">, service users, and carers can work together in partnership working (PW) (Glasby and Dickinson, 2021). </w:t>
      </w:r>
      <w:r w:rsidRPr="008D0235">
        <w:rPr>
          <w:rStyle w:val="s2"/>
          <w:rFonts w:ascii="Arial" w:hAnsi="Arial" w:cs="Arial"/>
        </w:rPr>
        <w:t>To</w:t>
      </w:r>
      <w:r w:rsidR="00665453" w:rsidRPr="008D0235">
        <w:rPr>
          <w:rStyle w:val="s2"/>
          <w:rFonts w:ascii="Arial" w:hAnsi="Arial" w:cs="Arial"/>
        </w:rPr>
        <w:t xml:space="preserve"> remove barriers between health and social services, the UK's Integrated Care Systems (ICS) place a strong emphasis on effective PW (NHS England, 2022).</w:t>
      </w:r>
    </w:p>
    <w:p w14:paraId="3F8AB82F" w14:textId="77777777" w:rsidR="00665453" w:rsidRPr="008D0235" w:rsidRDefault="00665453">
      <w:pPr>
        <w:pStyle w:val="p3"/>
        <w:rPr>
          <w:rFonts w:ascii="Arial" w:hAnsi="Arial" w:cs="Arial"/>
        </w:rPr>
      </w:pPr>
    </w:p>
    <w:p w14:paraId="47C8C874" w14:textId="236C13CF" w:rsidR="00665453" w:rsidRPr="008D0235" w:rsidRDefault="00665453">
      <w:pPr>
        <w:pStyle w:val="p4"/>
        <w:rPr>
          <w:rFonts w:ascii="Arial" w:hAnsi="Arial" w:cs="Arial"/>
        </w:rPr>
      </w:pPr>
      <w:r w:rsidRPr="008D0235">
        <w:rPr>
          <w:rStyle w:val="s2"/>
          <w:rFonts w:ascii="Arial" w:hAnsi="Arial" w:cs="Arial"/>
        </w:rPr>
        <w:t xml:space="preserve">PW </w:t>
      </w:r>
      <w:r w:rsidR="00D16E98" w:rsidRPr="008D0235">
        <w:rPr>
          <w:rStyle w:val="s2"/>
          <w:rFonts w:ascii="Arial" w:hAnsi="Arial" w:cs="Arial"/>
        </w:rPr>
        <w:t>eases</w:t>
      </w:r>
      <w:r w:rsidRPr="008D0235">
        <w:rPr>
          <w:rStyle w:val="s2"/>
          <w:rFonts w:ascii="Arial" w:hAnsi="Arial" w:cs="Arial"/>
        </w:rPr>
        <w:t xml:space="preserve"> early intervention, lessens duplication, and enhances communication. Psychiatrists, social workers, nurses, and occupational therapists are among the multidisciplinary teams (MDTs) that work together in mental health services to create recovery plans that </w:t>
      </w:r>
      <w:r w:rsidR="00D16E98" w:rsidRPr="008D0235">
        <w:rPr>
          <w:rStyle w:val="s2"/>
          <w:rFonts w:ascii="Arial" w:hAnsi="Arial" w:cs="Arial"/>
        </w:rPr>
        <w:t>consider</w:t>
      </w:r>
      <w:r w:rsidRPr="008D0235">
        <w:rPr>
          <w:rStyle w:val="s2"/>
          <w:rFonts w:ascii="Arial" w:hAnsi="Arial" w:cs="Arial"/>
        </w:rPr>
        <w:t xml:space="preserve"> social, psychological, and medical needs (Public Health England, 2023).</w:t>
      </w:r>
      <w:r w:rsidR="00B31A1E" w:rsidRPr="00B31A1E">
        <w:rPr>
          <w:rStyle w:val="s2"/>
          <w:rFonts w:ascii="Arial" w:hAnsi="Arial" w:cs="Arial"/>
        </w:rPr>
        <w:t xml:space="preserve"> In support of this, Brewster (2019) </w:t>
      </w:r>
      <w:r w:rsidR="004F465F" w:rsidRPr="00B31A1E">
        <w:rPr>
          <w:rStyle w:val="s2"/>
          <w:rFonts w:ascii="Arial" w:hAnsi="Arial" w:cs="Arial"/>
        </w:rPr>
        <w:t>finds</w:t>
      </w:r>
      <w:r w:rsidR="00B31A1E" w:rsidRPr="00B31A1E">
        <w:rPr>
          <w:rStyle w:val="s2"/>
          <w:rFonts w:ascii="Arial" w:hAnsi="Arial" w:cs="Arial"/>
        </w:rPr>
        <w:t xml:space="preserve"> quantifiable elements like communication, trust, and common </w:t>
      </w:r>
      <w:r w:rsidR="004F465F" w:rsidRPr="00B31A1E">
        <w:rPr>
          <w:rStyle w:val="s2"/>
          <w:rFonts w:ascii="Arial" w:hAnsi="Arial" w:cs="Arial"/>
        </w:rPr>
        <w:t>aims</w:t>
      </w:r>
      <w:r w:rsidR="00B31A1E" w:rsidRPr="00B31A1E">
        <w:rPr>
          <w:rStyle w:val="s2"/>
          <w:rFonts w:ascii="Arial" w:hAnsi="Arial" w:cs="Arial"/>
        </w:rPr>
        <w:t xml:space="preserve"> as essential markers of successful cross-organisational collaboration.</w:t>
      </w:r>
    </w:p>
    <w:p w14:paraId="7CBEDAC3" w14:textId="77777777" w:rsidR="00665453" w:rsidRPr="008D0235" w:rsidRDefault="00665453">
      <w:pPr>
        <w:pStyle w:val="p3"/>
        <w:rPr>
          <w:rFonts w:ascii="Arial" w:hAnsi="Arial" w:cs="Arial"/>
        </w:rPr>
      </w:pPr>
    </w:p>
    <w:p w14:paraId="483DEBC5" w14:textId="4548E44A" w:rsidR="00382D02" w:rsidRPr="00382D02" w:rsidRDefault="00665453">
      <w:pPr>
        <w:pStyle w:val="p1"/>
        <w:rPr>
          <w:rFonts w:ascii="Arial" w:hAnsi="Arial" w:cs="Arial"/>
          <w:sz w:val="24"/>
          <w:szCs w:val="24"/>
        </w:rPr>
      </w:pPr>
      <w:r w:rsidRPr="008D0235">
        <w:rPr>
          <w:rStyle w:val="s2"/>
          <w:rFonts w:ascii="Arial" w:hAnsi="Arial" w:cs="Arial"/>
        </w:rPr>
        <w:t xml:space="preserve">Organisational silos, disparate professional cultures, and power disparities, however, can impede partnership working (World Health Organisation, 2024). Medical dominance, for instance, may minimise the contributions of social perspectives or lived experiences. Consequently, mutual respect, clear lines of communication, and common </w:t>
      </w:r>
      <w:r w:rsidR="00D16E98" w:rsidRPr="008D0235">
        <w:rPr>
          <w:rStyle w:val="s2"/>
          <w:rFonts w:ascii="Arial" w:hAnsi="Arial" w:cs="Arial"/>
        </w:rPr>
        <w:t>goals</w:t>
      </w:r>
      <w:r w:rsidRPr="008D0235">
        <w:rPr>
          <w:rStyle w:val="s2"/>
          <w:rFonts w:ascii="Arial" w:hAnsi="Arial" w:cs="Arial"/>
        </w:rPr>
        <w:t xml:space="preserve"> are necessary for PW to be successful</w:t>
      </w:r>
      <w:r w:rsidR="00382D02">
        <w:rPr>
          <w:rStyle w:val="s2"/>
          <w:rFonts w:ascii="Arial" w:hAnsi="Arial" w:cs="Arial"/>
        </w:rPr>
        <w:t xml:space="preserve"> </w:t>
      </w:r>
      <w:r w:rsidR="00382D02" w:rsidRPr="00382D02">
        <w:rPr>
          <w:rFonts w:ascii="Arial" w:hAnsi="Arial" w:cs="Arial"/>
          <w:sz w:val="24"/>
          <w:szCs w:val="24"/>
        </w:rPr>
        <w:t xml:space="preserve">(Glasby and Dickinson, </w:t>
      </w:r>
      <w:r w:rsidR="00964B63" w:rsidRPr="00382D02">
        <w:rPr>
          <w:rFonts w:ascii="Arial" w:hAnsi="Arial" w:cs="Arial"/>
          <w:sz w:val="24"/>
          <w:szCs w:val="24"/>
        </w:rPr>
        <w:t>202</w:t>
      </w:r>
      <w:r w:rsidR="00964B63">
        <w:rPr>
          <w:rFonts w:ascii="Arial" w:hAnsi="Arial" w:cs="Arial"/>
          <w:sz w:val="24"/>
          <w:szCs w:val="24"/>
        </w:rPr>
        <w:t>1; Brewster</w:t>
      </w:r>
      <w:r w:rsidR="00A14450">
        <w:rPr>
          <w:rFonts w:ascii="Arial" w:hAnsi="Arial" w:cs="Arial"/>
          <w:sz w:val="24"/>
          <w:szCs w:val="24"/>
        </w:rPr>
        <w:t>.2019</w:t>
      </w:r>
      <w:r w:rsidR="00382D02" w:rsidRPr="00382D02">
        <w:rPr>
          <w:rFonts w:ascii="Arial" w:hAnsi="Arial" w:cs="Arial"/>
          <w:sz w:val="24"/>
          <w:szCs w:val="24"/>
        </w:rPr>
        <w:t>).</w:t>
      </w:r>
    </w:p>
    <w:p w14:paraId="40DB55C3" w14:textId="0A8AB56B" w:rsidR="00665453" w:rsidRPr="00382D02" w:rsidRDefault="00665453">
      <w:pPr>
        <w:pStyle w:val="p4"/>
        <w:rPr>
          <w:rFonts w:ascii="Arial" w:hAnsi="Arial" w:cs="Arial"/>
        </w:rPr>
      </w:pPr>
    </w:p>
    <w:p w14:paraId="3975FB79" w14:textId="77777777" w:rsidR="00665453" w:rsidRPr="00382D02" w:rsidRDefault="00665453">
      <w:pPr>
        <w:pStyle w:val="p3"/>
        <w:rPr>
          <w:rFonts w:ascii="Arial" w:hAnsi="Arial" w:cs="Arial"/>
        </w:rPr>
      </w:pPr>
    </w:p>
    <w:p w14:paraId="7E3D1E6E" w14:textId="77777777" w:rsidR="00665453" w:rsidRPr="008D0235" w:rsidRDefault="00665453">
      <w:pPr>
        <w:pStyle w:val="p3"/>
        <w:rPr>
          <w:rFonts w:ascii="Arial" w:hAnsi="Arial" w:cs="Arial"/>
        </w:rPr>
      </w:pPr>
    </w:p>
    <w:p w14:paraId="09C55B20" w14:textId="77777777" w:rsidR="00665453" w:rsidRPr="008D0235" w:rsidRDefault="00665453">
      <w:pPr>
        <w:pStyle w:val="p4"/>
        <w:rPr>
          <w:rFonts w:ascii="Arial" w:hAnsi="Arial" w:cs="Arial"/>
        </w:rPr>
      </w:pPr>
      <w:r w:rsidRPr="008D0235">
        <w:rPr>
          <w:rStyle w:val="s3"/>
          <w:rFonts w:ascii="Arial" w:hAnsi="Arial" w:cs="Arial"/>
        </w:rPr>
        <w:t>Partnership Working in Mental Health Services: An Application</w:t>
      </w:r>
    </w:p>
    <w:p w14:paraId="73458329" w14:textId="77777777" w:rsidR="00665453" w:rsidRPr="008D0235" w:rsidRDefault="00665453">
      <w:pPr>
        <w:pStyle w:val="p3"/>
        <w:rPr>
          <w:rFonts w:ascii="Arial" w:hAnsi="Arial" w:cs="Arial"/>
        </w:rPr>
      </w:pPr>
    </w:p>
    <w:p w14:paraId="4CC5A000" w14:textId="64EFAB8A" w:rsidR="00665453" w:rsidRPr="008D0235" w:rsidRDefault="00665453">
      <w:pPr>
        <w:pStyle w:val="p4"/>
        <w:rPr>
          <w:rFonts w:ascii="Arial" w:hAnsi="Arial" w:cs="Arial"/>
        </w:rPr>
      </w:pPr>
      <w:r w:rsidRPr="008D0235">
        <w:rPr>
          <w:rStyle w:val="s2"/>
          <w:rFonts w:ascii="Arial" w:hAnsi="Arial" w:cs="Arial"/>
        </w:rPr>
        <w:t xml:space="preserve">Community Mental Health Teams (CMHTs) and Care Programme Approach (CPA) frameworks </w:t>
      </w:r>
      <w:bookmarkStart w:id="7" w:name="_Int_rK7GKWvQ"/>
      <w:r w:rsidRPr="008D0235">
        <w:rPr>
          <w:rStyle w:val="s2"/>
          <w:rFonts w:ascii="Arial" w:hAnsi="Arial" w:cs="Arial"/>
        </w:rPr>
        <w:t>are used</w:t>
      </w:r>
      <w:bookmarkEnd w:id="7"/>
      <w:r w:rsidRPr="008D0235">
        <w:rPr>
          <w:rStyle w:val="s2"/>
          <w:rFonts w:ascii="Arial" w:hAnsi="Arial" w:cs="Arial"/>
        </w:rPr>
        <w:t xml:space="preserve"> to operationalise PW in mental health settings. Professionals from different fields come together to coordinate care, guaranteeing that people receive the right support and interventions (NHS England, </w:t>
      </w:r>
      <w:r w:rsidR="00DE1052" w:rsidRPr="008D0235">
        <w:rPr>
          <w:rStyle w:val="s2"/>
          <w:rFonts w:ascii="Arial" w:hAnsi="Arial" w:cs="Arial"/>
        </w:rPr>
        <w:t>2019</w:t>
      </w:r>
      <w:r w:rsidR="00DE1052">
        <w:rPr>
          <w:rStyle w:val="s2"/>
          <w:rFonts w:ascii="Arial" w:hAnsi="Arial" w:cs="Arial"/>
        </w:rPr>
        <w:t>; Roger’s,2002).</w:t>
      </w:r>
    </w:p>
    <w:p w14:paraId="5497ED40" w14:textId="77777777" w:rsidR="00665453" w:rsidRPr="008D0235" w:rsidRDefault="00665453">
      <w:pPr>
        <w:pStyle w:val="p3"/>
        <w:rPr>
          <w:rFonts w:ascii="Arial" w:hAnsi="Arial" w:cs="Arial"/>
        </w:rPr>
      </w:pPr>
    </w:p>
    <w:p w14:paraId="63759481" w14:textId="77777777" w:rsidR="00665453" w:rsidRPr="008D0235" w:rsidRDefault="00665453">
      <w:pPr>
        <w:pStyle w:val="p4"/>
        <w:rPr>
          <w:rFonts w:ascii="Arial" w:hAnsi="Arial" w:cs="Arial"/>
        </w:rPr>
      </w:pPr>
      <w:r w:rsidRPr="008D0235">
        <w:rPr>
          <w:rStyle w:val="s2"/>
          <w:rFonts w:ascii="Arial" w:hAnsi="Arial" w:cs="Arial"/>
        </w:rPr>
        <w:t>Working together to support people with schizophrenia, mental health nurses, social workers, and nonprofit organisations is a real-world example. According to Davies et al. (2023), the team makes sure that medical treatment is in line with social and emotional needs by using shared care plans, risk assessments, and recovery goals.</w:t>
      </w:r>
    </w:p>
    <w:p w14:paraId="30CEF40D" w14:textId="77777777" w:rsidR="00665453" w:rsidRPr="008D0235" w:rsidRDefault="00665453">
      <w:pPr>
        <w:pStyle w:val="p3"/>
        <w:rPr>
          <w:rFonts w:ascii="Arial" w:hAnsi="Arial" w:cs="Arial"/>
        </w:rPr>
      </w:pPr>
    </w:p>
    <w:p w14:paraId="0E7572BD" w14:textId="732B8C10" w:rsidR="00665453" w:rsidRPr="008D0235" w:rsidRDefault="00665453">
      <w:pPr>
        <w:pStyle w:val="p4"/>
        <w:rPr>
          <w:rFonts w:ascii="Arial" w:hAnsi="Arial" w:cs="Arial"/>
        </w:rPr>
      </w:pPr>
      <w:r w:rsidRPr="008D0235">
        <w:rPr>
          <w:rStyle w:val="s2"/>
          <w:rFonts w:ascii="Arial" w:hAnsi="Arial" w:cs="Arial"/>
        </w:rPr>
        <w:t xml:space="preserve">Involving caretakers and service users is essential. An example of successful PW is co-production, in which individuals with lived experience </w:t>
      </w:r>
      <w:r w:rsidR="00EE54D1" w:rsidRPr="008D0235">
        <w:rPr>
          <w:rStyle w:val="s2"/>
          <w:rFonts w:ascii="Arial" w:hAnsi="Arial" w:cs="Arial"/>
        </w:rPr>
        <w:t>take part</w:t>
      </w:r>
      <w:r w:rsidRPr="008D0235">
        <w:rPr>
          <w:rStyle w:val="s2"/>
          <w:rFonts w:ascii="Arial" w:hAnsi="Arial" w:cs="Arial"/>
        </w:rPr>
        <w:t xml:space="preserve"> in the planning and execution of services. This kind of partnership increases the relevance of services, lowers stigma, and promotes empowerment (Herbert et al., 2021).</w:t>
      </w:r>
    </w:p>
    <w:p w14:paraId="4ABF723C" w14:textId="77777777" w:rsidR="00665453" w:rsidRPr="008D0235" w:rsidRDefault="00665453">
      <w:pPr>
        <w:pStyle w:val="p3"/>
        <w:rPr>
          <w:rFonts w:ascii="Arial" w:hAnsi="Arial" w:cs="Arial"/>
        </w:rPr>
      </w:pPr>
    </w:p>
    <w:p w14:paraId="2D8E3CC4" w14:textId="77777777" w:rsidR="00665453" w:rsidRPr="008D0235" w:rsidRDefault="00665453">
      <w:pPr>
        <w:pStyle w:val="p4"/>
        <w:rPr>
          <w:rFonts w:ascii="Arial" w:hAnsi="Arial" w:cs="Arial"/>
        </w:rPr>
      </w:pPr>
      <w:r w:rsidRPr="008D0235">
        <w:rPr>
          <w:rStyle w:val="s2"/>
          <w:rFonts w:ascii="Arial" w:hAnsi="Arial" w:cs="Arial"/>
        </w:rPr>
        <w:t xml:space="preserve">But obstacles still exist. Collaboration can </w:t>
      </w:r>
      <w:bookmarkStart w:id="8" w:name="_Int_j4MozPps"/>
      <w:r w:rsidRPr="008D0235">
        <w:rPr>
          <w:rStyle w:val="s2"/>
          <w:rFonts w:ascii="Arial" w:hAnsi="Arial" w:cs="Arial"/>
        </w:rPr>
        <w:t>be hampered</w:t>
      </w:r>
      <w:bookmarkEnd w:id="8"/>
      <w:r w:rsidRPr="008D0235">
        <w:rPr>
          <w:rStyle w:val="s2"/>
          <w:rFonts w:ascii="Arial" w:hAnsi="Arial" w:cs="Arial"/>
        </w:rPr>
        <w:t xml:space="preserve"> by erratic communication, unclear accountability, and resource limitations. Leadership commitment, collaborative training programs, and integrated digital records are crucial to overcoming these obstacles (McDonagh et al., 2023).</w:t>
      </w:r>
    </w:p>
    <w:p w14:paraId="44BE044B" w14:textId="77777777" w:rsidR="00665453" w:rsidRPr="008D0235" w:rsidRDefault="00665453">
      <w:pPr>
        <w:pStyle w:val="p3"/>
        <w:rPr>
          <w:rFonts w:ascii="Arial" w:hAnsi="Arial" w:cs="Arial"/>
        </w:rPr>
      </w:pPr>
    </w:p>
    <w:p w14:paraId="48B789F6" w14:textId="77777777" w:rsidR="00665453" w:rsidRPr="008D0235" w:rsidRDefault="00665453">
      <w:pPr>
        <w:pStyle w:val="p3"/>
        <w:rPr>
          <w:rFonts w:ascii="Arial" w:hAnsi="Arial" w:cs="Arial"/>
        </w:rPr>
      </w:pPr>
    </w:p>
    <w:p w14:paraId="44347E9B" w14:textId="77777777" w:rsidR="00665453" w:rsidRPr="008D0235" w:rsidRDefault="00665453">
      <w:pPr>
        <w:pStyle w:val="p4"/>
        <w:rPr>
          <w:rFonts w:ascii="Arial" w:hAnsi="Arial" w:cs="Arial"/>
        </w:rPr>
      </w:pPr>
      <w:r w:rsidRPr="008D0235">
        <w:rPr>
          <w:rStyle w:val="s3"/>
          <w:rFonts w:ascii="Arial" w:hAnsi="Arial" w:cs="Arial"/>
        </w:rPr>
        <w:t>Regulation and Law Concerning PCC and PW:</w:t>
      </w:r>
    </w:p>
    <w:p w14:paraId="2CE9CACA" w14:textId="77777777" w:rsidR="00665453" w:rsidRPr="008D0235" w:rsidRDefault="00665453">
      <w:pPr>
        <w:pStyle w:val="p3"/>
        <w:rPr>
          <w:rFonts w:ascii="Arial" w:hAnsi="Arial" w:cs="Arial"/>
        </w:rPr>
      </w:pPr>
    </w:p>
    <w:p w14:paraId="20156FFE" w14:textId="1EAAAA56" w:rsidR="00665453" w:rsidRPr="008D0235" w:rsidRDefault="00665453">
      <w:pPr>
        <w:pStyle w:val="p4"/>
        <w:rPr>
          <w:rFonts w:ascii="Arial" w:hAnsi="Arial" w:cs="Arial"/>
        </w:rPr>
      </w:pPr>
      <w:r w:rsidRPr="008D0235">
        <w:rPr>
          <w:rStyle w:val="s2"/>
          <w:rFonts w:ascii="Arial" w:hAnsi="Arial" w:cs="Arial"/>
        </w:rPr>
        <w:t xml:space="preserve">UK policy is </w:t>
      </w:r>
      <w:r w:rsidR="00EE54D1" w:rsidRPr="008D0235">
        <w:rPr>
          <w:rStyle w:val="s2"/>
          <w:rFonts w:ascii="Arial" w:hAnsi="Arial" w:cs="Arial"/>
        </w:rPr>
        <w:t>supportive</w:t>
      </w:r>
      <w:r w:rsidRPr="008D0235">
        <w:rPr>
          <w:rStyle w:val="s2"/>
          <w:rFonts w:ascii="Arial" w:hAnsi="Arial" w:cs="Arial"/>
        </w:rPr>
        <w:t xml:space="preserve"> of PCC and PW. By requiring local authorities to promote wellbeing and involve individuals in care planning, the Care Act of 2014 enshrines person-centeredness in statutory duties</w:t>
      </w:r>
      <w:r w:rsidR="00E977DF">
        <w:rPr>
          <w:rStyle w:val="s2"/>
          <w:rFonts w:ascii="Arial" w:hAnsi="Arial" w:cs="Arial"/>
        </w:rPr>
        <w:t xml:space="preserve"> (Department </w:t>
      </w:r>
      <w:r w:rsidR="0039453A">
        <w:rPr>
          <w:rStyle w:val="s2"/>
          <w:rFonts w:ascii="Arial" w:hAnsi="Arial" w:cs="Arial"/>
        </w:rPr>
        <w:t xml:space="preserve">of health </w:t>
      </w:r>
      <w:r w:rsidR="008F70FF">
        <w:rPr>
          <w:rStyle w:val="s2"/>
          <w:rFonts w:ascii="Arial" w:hAnsi="Arial" w:cs="Arial"/>
        </w:rPr>
        <w:t>and social care,2014).</w:t>
      </w:r>
      <w:r w:rsidRPr="008D0235">
        <w:rPr>
          <w:rStyle w:val="s2"/>
          <w:rFonts w:ascii="Arial" w:hAnsi="Arial" w:cs="Arial"/>
        </w:rPr>
        <w:t xml:space="preserve"> Likewise, </w:t>
      </w:r>
      <w:r w:rsidR="00EE54D1" w:rsidRPr="008D0235">
        <w:rPr>
          <w:rStyle w:val="s2"/>
          <w:rFonts w:ascii="Arial" w:hAnsi="Arial" w:cs="Arial"/>
        </w:rPr>
        <w:t>to</w:t>
      </w:r>
      <w:r w:rsidRPr="008D0235">
        <w:rPr>
          <w:rStyle w:val="s2"/>
          <w:rFonts w:ascii="Arial" w:hAnsi="Arial" w:cs="Arial"/>
        </w:rPr>
        <w:t xml:space="preserve"> enhance service integration, the Health and Social Care Act of 2012 </w:t>
      </w:r>
      <w:r w:rsidR="00EE54D1" w:rsidRPr="008D0235">
        <w:rPr>
          <w:rStyle w:val="s2"/>
          <w:rFonts w:ascii="Arial" w:hAnsi="Arial" w:cs="Arial"/>
        </w:rPr>
        <w:t>require</w:t>
      </w:r>
      <w:r w:rsidRPr="008D0235">
        <w:rPr>
          <w:rStyle w:val="s2"/>
          <w:rFonts w:ascii="Arial" w:hAnsi="Arial" w:cs="Arial"/>
        </w:rPr>
        <w:t xml:space="preserve"> cross-sector cooperation.</w:t>
      </w:r>
    </w:p>
    <w:p w14:paraId="7176171F" w14:textId="77777777" w:rsidR="00665453" w:rsidRPr="008D0235" w:rsidRDefault="00665453">
      <w:pPr>
        <w:pStyle w:val="p3"/>
        <w:rPr>
          <w:rFonts w:ascii="Arial" w:hAnsi="Arial" w:cs="Arial"/>
        </w:rPr>
      </w:pPr>
    </w:p>
    <w:p w14:paraId="5A61F4C6" w14:textId="4FC5B6AE" w:rsidR="00665453" w:rsidRPr="008D0235" w:rsidRDefault="00665453">
      <w:pPr>
        <w:pStyle w:val="p4"/>
        <w:rPr>
          <w:rFonts w:ascii="Arial" w:hAnsi="Arial" w:cs="Arial"/>
        </w:rPr>
      </w:pPr>
      <w:r w:rsidRPr="008D0235">
        <w:rPr>
          <w:rStyle w:val="s2"/>
          <w:rFonts w:ascii="Arial" w:hAnsi="Arial" w:cs="Arial"/>
        </w:rPr>
        <w:t xml:space="preserve">The NHS Long Term Plan (2019) and the Five Year Forward View for Mental Health (2016), which </w:t>
      </w:r>
      <w:r w:rsidR="008D0235" w:rsidRPr="008D0235">
        <w:rPr>
          <w:rStyle w:val="s2"/>
          <w:rFonts w:ascii="Arial" w:hAnsi="Arial" w:cs="Arial"/>
        </w:rPr>
        <w:t>emphasise</w:t>
      </w:r>
      <w:r w:rsidRPr="008D0235">
        <w:rPr>
          <w:rStyle w:val="s2"/>
          <w:rFonts w:ascii="Arial" w:hAnsi="Arial" w:cs="Arial"/>
        </w:rPr>
        <w:t xml:space="preserve"> empowerment, parity of esteem, and service co-production, support recovery-oriented and person-led care</w:t>
      </w:r>
      <w:r w:rsidR="00634088">
        <w:rPr>
          <w:rStyle w:val="s2"/>
          <w:rFonts w:ascii="Arial" w:hAnsi="Arial" w:cs="Arial"/>
        </w:rPr>
        <w:t xml:space="preserve"> (NHS</w:t>
      </w:r>
      <w:r w:rsidR="00146175">
        <w:rPr>
          <w:rStyle w:val="s2"/>
          <w:rFonts w:ascii="Arial" w:hAnsi="Arial" w:cs="Arial"/>
        </w:rPr>
        <w:t xml:space="preserve"> </w:t>
      </w:r>
      <w:r w:rsidR="006537CD">
        <w:rPr>
          <w:rStyle w:val="s2"/>
          <w:rFonts w:ascii="Arial" w:hAnsi="Arial" w:cs="Arial"/>
        </w:rPr>
        <w:t>England,2019).</w:t>
      </w:r>
      <w:r w:rsidRPr="008D0235">
        <w:rPr>
          <w:rStyle w:val="s2"/>
          <w:rFonts w:ascii="Arial" w:hAnsi="Arial" w:cs="Arial"/>
        </w:rPr>
        <w:t>The Mental Health Act 1983 (as amended in 2007) also places a strong emphasis on the least restrictive care approach and patient rights.</w:t>
      </w:r>
    </w:p>
    <w:p w14:paraId="7AF83B26" w14:textId="77777777" w:rsidR="00665453" w:rsidRPr="008D0235" w:rsidRDefault="00665453">
      <w:pPr>
        <w:pStyle w:val="p3"/>
        <w:rPr>
          <w:rFonts w:ascii="Arial" w:hAnsi="Arial" w:cs="Arial"/>
        </w:rPr>
      </w:pPr>
    </w:p>
    <w:p w14:paraId="20021E3D" w14:textId="77777777" w:rsidR="00665453" w:rsidRPr="008D0235" w:rsidRDefault="00665453">
      <w:pPr>
        <w:pStyle w:val="p4"/>
        <w:rPr>
          <w:rFonts w:ascii="Arial" w:hAnsi="Arial" w:cs="Arial"/>
        </w:rPr>
      </w:pPr>
      <w:r w:rsidRPr="008D0235">
        <w:rPr>
          <w:rStyle w:val="s2"/>
          <w:rFonts w:ascii="Arial" w:hAnsi="Arial" w:cs="Arial"/>
        </w:rPr>
        <w:t>Ethical governance is based on the Equality Act of 2010, which ensures non-discriminatory practices, and the Mental Capacity Act of 2005, which protects people's right to make decisions unless proven otherwise. These frameworks combine to provide PCC and PW with a moral and legal foundation, according to the Department of Health and Social Care (2014).</w:t>
      </w:r>
    </w:p>
    <w:p w14:paraId="0C4EC030" w14:textId="77777777" w:rsidR="00665453" w:rsidRPr="008D0235" w:rsidRDefault="00665453">
      <w:pPr>
        <w:pStyle w:val="p3"/>
        <w:rPr>
          <w:rFonts w:ascii="Arial" w:hAnsi="Arial" w:cs="Arial"/>
        </w:rPr>
      </w:pPr>
    </w:p>
    <w:p w14:paraId="442FA37D" w14:textId="77777777" w:rsidR="00665453" w:rsidRPr="008D0235" w:rsidRDefault="00665453">
      <w:pPr>
        <w:pStyle w:val="p3"/>
        <w:rPr>
          <w:rFonts w:ascii="Arial" w:hAnsi="Arial" w:cs="Arial"/>
        </w:rPr>
      </w:pPr>
    </w:p>
    <w:p w14:paraId="729FD922" w14:textId="2C415F31" w:rsidR="00665453" w:rsidRPr="008D0235" w:rsidRDefault="00665453">
      <w:pPr>
        <w:pStyle w:val="p4"/>
        <w:rPr>
          <w:rFonts w:ascii="Arial" w:hAnsi="Arial" w:cs="Arial"/>
        </w:rPr>
      </w:pPr>
      <w:r w:rsidRPr="008D0235">
        <w:rPr>
          <w:rStyle w:val="s3"/>
          <w:rFonts w:ascii="Arial" w:hAnsi="Arial" w:cs="Arial"/>
        </w:rPr>
        <w:t>Suggestions for Future Research</w:t>
      </w:r>
      <w:r w:rsidR="00466528">
        <w:rPr>
          <w:rStyle w:val="s3"/>
          <w:rFonts w:ascii="Arial" w:hAnsi="Arial" w:cs="Arial"/>
        </w:rPr>
        <w:t>:</w:t>
      </w:r>
    </w:p>
    <w:p w14:paraId="7959EEAD" w14:textId="77777777" w:rsidR="00665453" w:rsidRPr="008D0235" w:rsidRDefault="00665453">
      <w:pPr>
        <w:pStyle w:val="p3"/>
        <w:rPr>
          <w:rFonts w:ascii="Arial" w:hAnsi="Arial" w:cs="Arial"/>
        </w:rPr>
      </w:pPr>
    </w:p>
    <w:p w14:paraId="0A265052" w14:textId="5EBD0083" w:rsidR="00665453" w:rsidRPr="008D0235" w:rsidRDefault="008D0235">
      <w:pPr>
        <w:pStyle w:val="p4"/>
        <w:rPr>
          <w:rFonts w:ascii="Arial" w:hAnsi="Arial" w:cs="Arial"/>
        </w:rPr>
      </w:pPr>
      <w:r w:rsidRPr="008D0235">
        <w:rPr>
          <w:rStyle w:val="s2"/>
          <w:rFonts w:ascii="Arial" w:hAnsi="Arial" w:cs="Arial"/>
        </w:rPr>
        <w:t>Several</w:t>
      </w:r>
      <w:r w:rsidR="00665453" w:rsidRPr="008D0235">
        <w:rPr>
          <w:rStyle w:val="s2"/>
          <w:rFonts w:ascii="Arial" w:hAnsi="Arial" w:cs="Arial"/>
        </w:rPr>
        <w:t xml:space="preserve"> recommendations </w:t>
      </w:r>
      <w:bookmarkStart w:id="9" w:name="_Int_e6gq42yP"/>
      <w:r w:rsidR="00665453" w:rsidRPr="008D0235">
        <w:rPr>
          <w:rStyle w:val="s2"/>
          <w:rFonts w:ascii="Arial" w:hAnsi="Arial" w:cs="Arial"/>
        </w:rPr>
        <w:t>are made</w:t>
      </w:r>
      <w:bookmarkEnd w:id="9"/>
      <w:r w:rsidR="00665453" w:rsidRPr="008D0235">
        <w:rPr>
          <w:rStyle w:val="s2"/>
          <w:rFonts w:ascii="Arial" w:hAnsi="Arial" w:cs="Arial"/>
        </w:rPr>
        <w:t xml:space="preserve"> to improve PCC and PW in UK mental health services.</w:t>
      </w:r>
    </w:p>
    <w:p w14:paraId="7AE41BCC" w14:textId="77777777" w:rsidR="00665453" w:rsidRPr="008D0235" w:rsidRDefault="00665453">
      <w:pPr>
        <w:pStyle w:val="p3"/>
        <w:rPr>
          <w:rFonts w:ascii="Arial" w:hAnsi="Arial" w:cs="Arial"/>
        </w:rPr>
      </w:pPr>
    </w:p>
    <w:p w14:paraId="1C0B624A" w14:textId="3EB104B8" w:rsidR="00665453" w:rsidRPr="008D0235" w:rsidRDefault="00665453">
      <w:pPr>
        <w:pStyle w:val="p4"/>
        <w:rPr>
          <w:rFonts w:ascii="Arial" w:hAnsi="Arial" w:cs="Arial"/>
        </w:rPr>
      </w:pPr>
      <w:r w:rsidRPr="008D0235">
        <w:rPr>
          <w:rStyle w:val="s2"/>
          <w:rFonts w:ascii="Arial" w:hAnsi="Arial" w:cs="Arial"/>
        </w:rPr>
        <w:t xml:space="preserve">1. Improved Workforce Training: </w:t>
      </w:r>
      <w:r w:rsidR="008D0235" w:rsidRPr="008D0235">
        <w:rPr>
          <w:rStyle w:val="s2"/>
          <w:rFonts w:ascii="Arial" w:hAnsi="Arial" w:cs="Arial"/>
        </w:rPr>
        <w:t>To</w:t>
      </w:r>
      <w:r w:rsidRPr="008D0235">
        <w:rPr>
          <w:rStyle w:val="s2"/>
          <w:rFonts w:ascii="Arial" w:hAnsi="Arial" w:cs="Arial"/>
        </w:rPr>
        <w:t xml:space="preserve"> fully integrate PCC principles, continued professional development in communication, empathy, and cultural competence is essential (Lean et al., 2020).</w:t>
      </w:r>
    </w:p>
    <w:p w14:paraId="7BC66A0D" w14:textId="77777777" w:rsidR="00665453" w:rsidRPr="008D0235" w:rsidRDefault="00665453">
      <w:pPr>
        <w:pStyle w:val="p3"/>
        <w:rPr>
          <w:rFonts w:ascii="Arial" w:hAnsi="Arial" w:cs="Arial"/>
        </w:rPr>
      </w:pPr>
    </w:p>
    <w:p w14:paraId="05DF6545" w14:textId="3C14D989" w:rsidR="00665453" w:rsidRPr="008D0235" w:rsidRDefault="00665453">
      <w:pPr>
        <w:pStyle w:val="p4"/>
        <w:rPr>
          <w:rFonts w:ascii="Arial" w:hAnsi="Arial" w:cs="Arial"/>
        </w:rPr>
      </w:pPr>
      <w:r w:rsidRPr="008D0235">
        <w:rPr>
          <w:rStyle w:val="s2"/>
          <w:rFonts w:ascii="Arial" w:hAnsi="Arial" w:cs="Arial"/>
        </w:rPr>
        <w:t xml:space="preserve">2. Digital integration: According to McDonagh et al. (2023), shared electronic health records can enhance </w:t>
      </w:r>
      <w:r w:rsidR="008D0235" w:rsidRPr="008D0235">
        <w:rPr>
          <w:rStyle w:val="s2"/>
          <w:rFonts w:ascii="Arial" w:hAnsi="Arial" w:cs="Arial"/>
        </w:rPr>
        <w:t>inter professional</w:t>
      </w:r>
      <w:r w:rsidRPr="008D0235">
        <w:rPr>
          <w:rStyle w:val="s2"/>
          <w:rFonts w:ascii="Arial" w:hAnsi="Arial" w:cs="Arial"/>
        </w:rPr>
        <w:t xml:space="preserve"> communication and care continuity.</w:t>
      </w:r>
    </w:p>
    <w:p w14:paraId="663CB4CC" w14:textId="77777777" w:rsidR="00665453" w:rsidRPr="008D0235" w:rsidRDefault="00665453">
      <w:pPr>
        <w:pStyle w:val="p3"/>
        <w:rPr>
          <w:rFonts w:ascii="Arial" w:hAnsi="Arial" w:cs="Arial"/>
        </w:rPr>
      </w:pPr>
    </w:p>
    <w:p w14:paraId="41F0E0CF" w14:textId="62ED2874" w:rsidR="00665453" w:rsidRPr="008D0235" w:rsidRDefault="00665453">
      <w:pPr>
        <w:pStyle w:val="p4"/>
        <w:rPr>
          <w:rFonts w:ascii="Arial" w:hAnsi="Arial" w:cs="Arial"/>
        </w:rPr>
      </w:pPr>
      <w:r w:rsidRPr="008D0235">
        <w:rPr>
          <w:rStyle w:val="s2"/>
          <w:rFonts w:ascii="Arial" w:hAnsi="Arial" w:cs="Arial"/>
        </w:rPr>
        <w:t xml:space="preserve">3. Service User Involvement: To guarantee that services </w:t>
      </w:r>
      <w:r w:rsidR="008D0235" w:rsidRPr="008D0235">
        <w:rPr>
          <w:rStyle w:val="s2"/>
          <w:rFonts w:ascii="Arial" w:hAnsi="Arial" w:cs="Arial"/>
        </w:rPr>
        <w:t>stand for</w:t>
      </w:r>
      <w:r w:rsidRPr="008D0235">
        <w:rPr>
          <w:rStyle w:val="s2"/>
          <w:rFonts w:ascii="Arial" w:hAnsi="Arial" w:cs="Arial"/>
        </w:rPr>
        <w:t xml:space="preserve"> lived experiences, co-production ought to </w:t>
      </w:r>
      <w:bookmarkStart w:id="10" w:name="_Int_C8E8gt1b"/>
      <w:r w:rsidRPr="008D0235">
        <w:rPr>
          <w:rStyle w:val="s2"/>
          <w:rFonts w:ascii="Arial" w:hAnsi="Arial" w:cs="Arial"/>
        </w:rPr>
        <w:t>be incorporated</w:t>
      </w:r>
      <w:bookmarkEnd w:id="10"/>
      <w:r w:rsidRPr="008D0235">
        <w:rPr>
          <w:rStyle w:val="s2"/>
          <w:rFonts w:ascii="Arial" w:hAnsi="Arial" w:cs="Arial"/>
        </w:rPr>
        <w:t xml:space="preserve"> into all stages, from policy creation to care planning (Herbert et al., 2021).</w:t>
      </w:r>
    </w:p>
    <w:p w14:paraId="50ED31DA" w14:textId="77777777" w:rsidR="00665453" w:rsidRPr="008D0235" w:rsidRDefault="00665453">
      <w:pPr>
        <w:pStyle w:val="p3"/>
        <w:rPr>
          <w:rFonts w:ascii="Arial" w:hAnsi="Arial" w:cs="Arial"/>
        </w:rPr>
      </w:pPr>
    </w:p>
    <w:p w14:paraId="369E4B11" w14:textId="0F2D4905" w:rsidR="00665453" w:rsidRPr="008D0235" w:rsidRDefault="00665453">
      <w:pPr>
        <w:pStyle w:val="p4"/>
        <w:rPr>
          <w:rFonts w:ascii="Arial" w:hAnsi="Arial" w:cs="Arial"/>
        </w:rPr>
      </w:pPr>
      <w:r w:rsidRPr="008D0235">
        <w:rPr>
          <w:rStyle w:val="s2"/>
          <w:rFonts w:ascii="Arial" w:hAnsi="Arial" w:cs="Arial"/>
        </w:rPr>
        <w:t xml:space="preserve">4.According to Public Health England (2023), </w:t>
      </w:r>
      <w:r w:rsidR="008D0235" w:rsidRPr="008D0235">
        <w:rPr>
          <w:rStyle w:val="s2"/>
          <w:rFonts w:ascii="Arial" w:hAnsi="Arial" w:cs="Arial"/>
        </w:rPr>
        <w:t>supporting</w:t>
      </w:r>
      <w:r w:rsidRPr="008D0235">
        <w:rPr>
          <w:rStyle w:val="s2"/>
          <w:rFonts w:ascii="Arial" w:hAnsi="Arial" w:cs="Arial"/>
        </w:rPr>
        <w:t xml:space="preserve"> meaningful PCC and lowering practitioner burnout require adequate funding and staffing levels.</w:t>
      </w:r>
    </w:p>
    <w:p w14:paraId="71B2A0F7" w14:textId="77777777" w:rsidR="00665453" w:rsidRPr="008D0235" w:rsidRDefault="00665453">
      <w:pPr>
        <w:pStyle w:val="p3"/>
        <w:rPr>
          <w:rFonts w:ascii="Arial" w:hAnsi="Arial" w:cs="Arial"/>
        </w:rPr>
      </w:pPr>
    </w:p>
    <w:p w14:paraId="0763EB6C" w14:textId="77777777" w:rsidR="0027138A" w:rsidRPr="0027138A" w:rsidRDefault="00665453">
      <w:pPr>
        <w:pStyle w:val="p1"/>
        <w:rPr>
          <w:rFonts w:ascii="Arial" w:hAnsi="Arial" w:cs="Arial"/>
          <w:sz w:val="24"/>
          <w:szCs w:val="24"/>
        </w:rPr>
      </w:pPr>
      <w:r w:rsidRPr="008D0235">
        <w:rPr>
          <w:rStyle w:val="s2"/>
          <w:rFonts w:ascii="Arial" w:hAnsi="Arial" w:cs="Arial"/>
        </w:rPr>
        <w:t>5. Policy Evaluation: To gauge efficacy and equity across regions, regularly evaluating PCC and PW frameworks is necessary</w:t>
      </w:r>
      <w:r w:rsidR="0027138A">
        <w:rPr>
          <w:rStyle w:val="s2"/>
          <w:rFonts w:ascii="Arial" w:hAnsi="Arial" w:cs="Arial"/>
        </w:rPr>
        <w:t xml:space="preserve"> (</w:t>
      </w:r>
      <w:r w:rsidR="0027138A" w:rsidRPr="0027138A">
        <w:rPr>
          <w:rFonts w:ascii="Arial" w:hAnsi="Arial" w:cs="Arial"/>
          <w:sz w:val="24"/>
          <w:szCs w:val="24"/>
        </w:rPr>
        <w:t>Millar and Salloum, 2018).</w:t>
      </w:r>
    </w:p>
    <w:p w14:paraId="6CD6231B" w14:textId="1F4B3B7E" w:rsidR="00665453" w:rsidRPr="0027138A" w:rsidRDefault="00665453">
      <w:pPr>
        <w:pStyle w:val="p4"/>
        <w:rPr>
          <w:rFonts w:ascii="Arial" w:hAnsi="Arial" w:cs="Arial"/>
        </w:rPr>
      </w:pPr>
    </w:p>
    <w:p w14:paraId="6E0DBAEB" w14:textId="77777777" w:rsidR="00665453" w:rsidRPr="008D0235" w:rsidRDefault="00665453">
      <w:pPr>
        <w:pStyle w:val="p3"/>
        <w:rPr>
          <w:rFonts w:ascii="Arial" w:hAnsi="Arial" w:cs="Arial"/>
        </w:rPr>
      </w:pPr>
    </w:p>
    <w:p w14:paraId="40FB42FD" w14:textId="4503A1D8" w:rsidR="006D4F5E" w:rsidRPr="006D4F5E" w:rsidRDefault="00665453">
      <w:pPr>
        <w:pStyle w:val="p1"/>
        <w:rPr>
          <w:rFonts w:ascii="Arial" w:hAnsi="Arial" w:cs="Arial"/>
          <w:sz w:val="24"/>
          <w:szCs w:val="24"/>
        </w:rPr>
      </w:pPr>
      <w:r w:rsidRPr="008D0235">
        <w:rPr>
          <w:rStyle w:val="s2"/>
          <w:rFonts w:ascii="Arial" w:hAnsi="Arial" w:cs="Arial"/>
        </w:rPr>
        <w:t xml:space="preserve">6. Increasing Community Links: Hospital admissions can </w:t>
      </w:r>
      <w:bookmarkStart w:id="11" w:name="_Int_5waRmadf"/>
      <w:r w:rsidRPr="008D0235">
        <w:rPr>
          <w:rStyle w:val="s2"/>
          <w:rFonts w:ascii="Arial" w:hAnsi="Arial" w:cs="Arial"/>
        </w:rPr>
        <w:t>be decreased</w:t>
      </w:r>
      <w:bookmarkEnd w:id="11"/>
      <w:r w:rsidRPr="008D0235">
        <w:rPr>
          <w:rStyle w:val="s2"/>
          <w:rFonts w:ascii="Arial" w:hAnsi="Arial" w:cs="Arial"/>
        </w:rPr>
        <w:t xml:space="preserve"> and support networks expanded through increased cooperation with nonprofit and third-sector </w:t>
      </w:r>
      <w:r w:rsidR="006D4F5E" w:rsidRPr="008D0235">
        <w:rPr>
          <w:rStyle w:val="s2"/>
          <w:rFonts w:ascii="Arial" w:hAnsi="Arial" w:cs="Arial"/>
        </w:rPr>
        <w:t>organisation</w:t>
      </w:r>
      <w:r w:rsidR="006D4F5E">
        <w:rPr>
          <w:rStyle w:val="s2"/>
          <w:rFonts w:ascii="Arial" w:hAnsi="Arial" w:cs="Arial"/>
        </w:rPr>
        <w:t>s (</w:t>
      </w:r>
      <w:r w:rsidR="006D4F5E" w:rsidRPr="006D4F5E">
        <w:rPr>
          <w:rFonts w:ascii="Arial" w:hAnsi="Arial" w:cs="Arial"/>
          <w:sz w:val="24"/>
          <w:szCs w:val="24"/>
        </w:rPr>
        <w:t>Glasby and Dickinson, 202</w:t>
      </w:r>
      <w:r w:rsidR="006B3029">
        <w:rPr>
          <w:rFonts w:ascii="Arial" w:hAnsi="Arial" w:cs="Arial"/>
          <w:sz w:val="24"/>
          <w:szCs w:val="24"/>
        </w:rPr>
        <w:t>1;</w:t>
      </w:r>
      <w:r w:rsidR="00FE4EE6">
        <w:rPr>
          <w:rFonts w:ascii="Arial" w:hAnsi="Arial" w:cs="Arial"/>
          <w:sz w:val="24"/>
          <w:szCs w:val="24"/>
        </w:rPr>
        <w:t xml:space="preserve"> Roger’s,2002</w:t>
      </w:r>
      <w:r w:rsidR="006D4F5E" w:rsidRPr="006D4F5E">
        <w:rPr>
          <w:rFonts w:ascii="Arial" w:hAnsi="Arial" w:cs="Arial"/>
          <w:sz w:val="24"/>
          <w:szCs w:val="24"/>
        </w:rPr>
        <w:t>).</w:t>
      </w:r>
    </w:p>
    <w:p w14:paraId="702714FB" w14:textId="6079DF41" w:rsidR="00665453" w:rsidRPr="006D4F5E" w:rsidRDefault="00665453" w:rsidP="006D4F5E">
      <w:pPr>
        <w:pStyle w:val="p4"/>
        <w:rPr>
          <w:rFonts w:ascii="Arial" w:hAnsi="Arial" w:cs="Arial"/>
        </w:rPr>
      </w:pPr>
    </w:p>
    <w:p w14:paraId="265CD686" w14:textId="77777777" w:rsidR="00665453" w:rsidRPr="008D0235" w:rsidRDefault="00665453">
      <w:pPr>
        <w:pStyle w:val="p3"/>
        <w:rPr>
          <w:rFonts w:ascii="Arial" w:hAnsi="Arial" w:cs="Arial"/>
        </w:rPr>
      </w:pPr>
    </w:p>
    <w:p w14:paraId="529E9763" w14:textId="6D247FA2" w:rsidR="00665453" w:rsidRPr="00466528" w:rsidRDefault="00665453">
      <w:pPr>
        <w:pStyle w:val="p4"/>
        <w:rPr>
          <w:rFonts w:ascii="Arial" w:hAnsi="Arial" w:cs="Arial"/>
          <w:b/>
          <w:bCs/>
        </w:rPr>
      </w:pPr>
      <w:r w:rsidRPr="00466528">
        <w:rPr>
          <w:rStyle w:val="s2"/>
          <w:rFonts w:ascii="Arial" w:hAnsi="Arial" w:cs="Arial"/>
          <w:b/>
          <w:bCs/>
        </w:rPr>
        <w:t>In conclusion</w:t>
      </w:r>
      <w:r w:rsidR="00466528">
        <w:rPr>
          <w:rStyle w:val="s2"/>
          <w:rFonts w:ascii="Arial" w:hAnsi="Arial" w:cs="Arial"/>
          <w:b/>
          <w:bCs/>
        </w:rPr>
        <w:t>:</w:t>
      </w:r>
    </w:p>
    <w:p w14:paraId="2922A076" w14:textId="77777777" w:rsidR="00665453" w:rsidRPr="008D0235" w:rsidRDefault="00665453">
      <w:pPr>
        <w:pStyle w:val="p3"/>
        <w:rPr>
          <w:rFonts w:ascii="Arial" w:hAnsi="Arial" w:cs="Arial"/>
        </w:rPr>
      </w:pPr>
    </w:p>
    <w:p w14:paraId="0E6E2E37" w14:textId="7638F4E4" w:rsidR="00BC1645" w:rsidRPr="00BC1645" w:rsidRDefault="008D0235">
      <w:pPr>
        <w:pStyle w:val="p1"/>
        <w:rPr>
          <w:rFonts w:ascii="Arial" w:hAnsi="Arial" w:cs="Arial"/>
          <w:sz w:val="24"/>
          <w:szCs w:val="24"/>
        </w:rPr>
      </w:pPr>
      <w:r w:rsidRPr="008D0235">
        <w:rPr>
          <w:rStyle w:val="s2"/>
          <w:rFonts w:ascii="Arial" w:hAnsi="Arial" w:cs="Arial"/>
        </w:rPr>
        <w:t>To</w:t>
      </w:r>
      <w:r w:rsidR="00665453" w:rsidRPr="008D0235">
        <w:rPr>
          <w:rStyle w:val="s2"/>
          <w:rFonts w:ascii="Arial" w:hAnsi="Arial" w:cs="Arial"/>
        </w:rPr>
        <w:t xml:space="preserve"> provide efficient, moral, and caring mental health services in the UK, person-centred care and partnership working are interdependent principles. PW makes sure that professionals and service users work together to provide coordinated care, while PCC emphasises respecting individuality and </w:t>
      </w:r>
      <w:r w:rsidR="00BC1645" w:rsidRPr="008D0235">
        <w:rPr>
          <w:rStyle w:val="s2"/>
          <w:rFonts w:ascii="Arial" w:hAnsi="Arial" w:cs="Arial"/>
        </w:rPr>
        <w:t>autonomy</w:t>
      </w:r>
      <w:r w:rsidR="00BC1645">
        <w:rPr>
          <w:rStyle w:val="s2"/>
          <w:rFonts w:ascii="Arial" w:hAnsi="Arial" w:cs="Arial"/>
        </w:rPr>
        <w:t xml:space="preserve"> </w:t>
      </w:r>
      <w:r w:rsidR="00BC1645" w:rsidRPr="00BC1645">
        <w:rPr>
          <w:rFonts w:ascii="Arial" w:hAnsi="Arial" w:cs="Arial"/>
          <w:sz w:val="24"/>
          <w:szCs w:val="24"/>
        </w:rPr>
        <w:t xml:space="preserve">(McCormack and McCance, </w:t>
      </w:r>
      <w:r w:rsidR="00A65AEC" w:rsidRPr="00BC1645">
        <w:rPr>
          <w:rFonts w:ascii="Arial" w:hAnsi="Arial" w:cs="Arial"/>
          <w:sz w:val="24"/>
          <w:szCs w:val="24"/>
        </w:rPr>
        <w:t>2017</w:t>
      </w:r>
      <w:r w:rsidR="00A65AEC">
        <w:rPr>
          <w:rFonts w:ascii="Arial" w:hAnsi="Arial" w:cs="Arial"/>
          <w:sz w:val="24"/>
          <w:szCs w:val="24"/>
        </w:rPr>
        <w:t>; McCormack,2016</w:t>
      </w:r>
      <w:r w:rsidR="00BC1645">
        <w:rPr>
          <w:rFonts w:ascii="Arial" w:hAnsi="Arial" w:cs="Arial"/>
          <w:sz w:val="24"/>
          <w:szCs w:val="24"/>
        </w:rPr>
        <w:t>).</w:t>
      </w:r>
    </w:p>
    <w:p w14:paraId="30728D22" w14:textId="33EF9F84" w:rsidR="00665453" w:rsidRPr="008D0235" w:rsidRDefault="00665453">
      <w:pPr>
        <w:pStyle w:val="p4"/>
        <w:rPr>
          <w:rFonts w:ascii="Arial" w:hAnsi="Arial" w:cs="Arial"/>
        </w:rPr>
      </w:pPr>
    </w:p>
    <w:p w14:paraId="359D2905" w14:textId="77777777" w:rsidR="00665453" w:rsidRPr="008D0235" w:rsidRDefault="00665453">
      <w:pPr>
        <w:pStyle w:val="p3"/>
        <w:rPr>
          <w:rFonts w:ascii="Arial" w:hAnsi="Arial" w:cs="Arial"/>
        </w:rPr>
      </w:pPr>
    </w:p>
    <w:p w14:paraId="223FB91E" w14:textId="7A655E01" w:rsidR="00F922E3" w:rsidRPr="00367011" w:rsidRDefault="00665453">
      <w:pPr>
        <w:pStyle w:val="p1"/>
        <w:rPr>
          <w:rFonts w:ascii="Arial" w:hAnsi="Arial" w:cs="Arial"/>
          <w:sz w:val="24"/>
          <w:szCs w:val="24"/>
        </w:rPr>
      </w:pPr>
      <w:r w:rsidRPr="008D0235">
        <w:rPr>
          <w:rStyle w:val="s2"/>
          <w:rFonts w:ascii="Arial" w:hAnsi="Arial" w:cs="Arial"/>
        </w:rPr>
        <w:t>Policy frameworks like the Care Act 2014 and the NHS Long Term Plan (2019) offer strong foundations for improvement, despite the persistence of issues like time constraints, organisational barriers, and inconsistent communication. Mental health services can move closer to truly person-centred and collaborative care models by improving co-production, training, and digital integration</w:t>
      </w:r>
      <w:r w:rsidR="00367011">
        <w:rPr>
          <w:rStyle w:val="s2"/>
          <w:rFonts w:ascii="Arial" w:hAnsi="Arial" w:cs="Arial"/>
        </w:rPr>
        <w:t xml:space="preserve"> </w:t>
      </w:r>
      <w:r w:rsidR="00F922E3">
        <w:rPr>
          <w:rStyle w:val="s2"/>
          <w:rFonts w:ascii="Arial" w:hAnsi="Arial" w:cs="Arial"/>
        </w:rPr>
        <w:t>(</w:t>
      </w:r>
      <w:r w:rsidR="00F922E3" w:rsidRPr="00367011">
        <w:rPr>
          <w:rFonts w:ascii="Arial" w:hAnsi="Arial" w:cs="Arial"/>
          <w:sz w:val="24"/>
          <w:szCs w:val="24"/>
        </w:rPr>
        <w:t xml:space="preserve">Herbert et al., 2021; McDonagh et al., </w:t>
      </w:r>
      <w:r w:rsidR="004B2C58" w:rsidRPr="00367011">
        <w:rPr>
          <w:rFonts w:ascii="Arial" w:hAnsi="Arial" w:cs="Arial"/>
          <w:sz w:val="24"/>
          <w:szCs w:val="24"/>
        </w:rPr>
        <w:t>2023</w:t>
      </w:r>
      <w:r w:rsidR="004B2C58">
        <w:rPr>
          <w:rFonts w:ascii="Arial" w:hAnsi="Arial" w:cs="Arial"/>
          <w:sz w:val="24"/>
          <w:szCs w:val="24"/>
        </w:rPr>
        <w:t>; Brewster,2019).</w:t>
      </w:r>
    </w:p>
    <w:p w14:paraId="693B6C39" w14:textId="01AD6B6D" w:rsidR="00665453" w:rsidRPr="008D0235" w:rsidRDefault="00665453">
      <w:pPr>
        <w:pStyle w:val="p4"/>
        <w:rPr>
          <w:rFonts w:ascii="Arial" w:hAnsi="Arial" w:cs="Arial"/>
        </w:rPr>
      </w:pPr>
    </w:p>
    <w:p w14:paraId="27B3A485" w14:textId="77777777" w:rsidR="00665453" w:rsidRPr="008D0235" w:rsidRDefault="00665453">
      <w:pPr>
        <w:pStyle w:val="p3"/>
        <w:rPr>
          <w:rFonts w:ascii="Arial" w:hAnsi="Arial" w:cs="Arial"/>
        </w:rPr>
      </w:pPr>
    </w:p>
    <w:p w14:paraId="6A0B11CE" w14:textId="77777777" w:rsidR="00E142BE" w:rsidRPr="00E142BE" w:rsidRDefault="008D0235">
      <w:pPr>
        <w:pStyle w:val="p1"/>
        <w:rPr>
          <w:rFonts w:ascii="Arial" w:hAnsi="Arial" w:cs="Arial"/>
          <w:sz w:val="24"/>
          <w:szCs w:val="24"/>
        </w:rPr>
      </w:pPr>
      <w:r w:rsidRPr="008D0235">
        <w:rPr>
          <w:rStyle w:val="s2"/>
          <w:rFonts w:ascii="Arial" w:hAnsi="Arial" w:cs="Arial"/>
        </w:rPr>
        <w:t>To</w:t>
      </w:r>
      <w:r w:rsidR="00665453" w:rsidRPr="008D0235">
        <w:rPr>
          <w:rStyle w:val="s2"/>
          <w:rFonts w:ascii="Arial" w:hAnsi="Arial" w:cs="Arial"/>
        </w:rPr>
        <w:t xml:space="preserve"> achieve holistic wellbeing and recovery in mental health care, </w:t>
      </w:r>
      <w:r w:rsidRPr="008D0235">
        <w:rPr>
          <w:rStyle w:val="s2"/>
          <w:rFonts w:ascii="Arial" w:hAnsi="Arial" w:cs="Arial"/>
        </w:rPr>
        <w:t>PCC,</w:t>
      </w:r>
      <w:r w:rsidR="00665453" w:rsidRPr="008D0235">
        <w:rPr>
          <w:rStyle w:val="s2"/>
          <w:rFonts w:ascii="Arial" w:hAnsi="Arial" w:cs="Arial"/>
        </w:rPr>
        <w:t xml:space="preserve"> and PW work together to uphold the core values of dignity, respect, and partnership</w:t>
      </w:r>
      <w:r w:rsidR="00E142BE">
        <w:rPr>
          <w:rStyle w:val="s2"/>
          <w:rFonts w:ascii="Arial" w:hAnsi="Arial" w:cs="Arial"/>
        </w:rPr>
        <w:t xml:space="preserve"> </w:t>
      </w:r>
      <w:r w:rsidR="00E142BE" w:rsidRPr="00E142BE">
        <w:rPr>
          <w:rFonts w:ascii="UICTFontTextStyleBody" w:hAnsi="UICTFontTextStyleBody"/>
          <w:sz w:val="24"/>
          <w:szCs w:val="24"/>
        </w:rPr>
        <w:t>(</w:t>
      </w:r>
      <w:r w:rsidR="00E142BE" w:rsidRPr="00E142BE">
        <w:rPr>
          <w:rFonts w:ascii="Arial" w:hAnsi="Arial" w:cs="Arial"/>
          <w:sz w:val="24"/>
          <w:szCs w:val="24"/>
        </w:rPr>
        <w:t>Beauchamp and Childress, 2019).</w:t>
      </w:r>
    </w:p>
    <w:p w14:paraId="31BB45AE" w14:textId="45B70419" w:rsidR="00665453" w:rsidRPr="00E142BE" w:rsidRDefault="00665453">
      <w:pPr>
        <w:pStyle w:val="p4"/>
        <w:rPr>
          <w:rFonts w:ascii="Arial" w:hAnsi="Arial" w:cs="Arial"/>
        </w:rPr>
      </w:pPr>
    </w:p>
    <w:p w14:paraId="0248F652" w14:textId="77777777" w:rsidR="00E250CF" w:rsidRPr="00E142BE" w:rsidRDefault="00E250CF">
      <w:pPr>
        <w:rPr>
          <w:rFonts w:ascii="Arial" w:eastAsia="Arial" w:hAnsi="Arial" w:cs="Arial"/>
          <w:kern w:val="0"/>
          <w14:ligatures w14:val="none"/>
        </w:rPr>
      </w:pPr>
    </w:p>
    <w:p w14:paraId="59588BA1" w14:textId="77777777" w:rsidR="00E250CF" w:rsidRPr="008D0235" w:rsidRDefault="00E250CF">
      <w:pPr>
        <w:rPr>
          <w:rFonts w:ascii="Arial" w:eastAsia="Arial" w:hAnsi="Arial" w:cs="Arial"/>
          <w:kern w:val="0"/>
          <w14:ligatures w14:val="none"/>
        </w:rPr>
      </w:pPr>
    </w:p>
    <w:p w14:paraId="310D0311" w14:textId="77777777" w:rsidR="00E250CF" w:rsidRDefault="00E250CF">
      <w:pPr>
        <w:rPr>
          <w:rFonts w:ascii="Arial" w:eastAsia="Arial" w:hAnsi="Arial" w:cs="Arial"/>
          <w:kern w:val="0"/>
          <w14:ligatures w14:val="none"/>
        </w:rPr>
      </w:pPr>
    </w:p>
    <w:p w14:paraId="10218334" w14:textId="05F517B5" w:rsidR="00E250CF" w:rsidRDefault="005357E8">
      <w:pPr>
        <w:rPr>
          <w:rFonts w:ascii="Arial" w:eastAsia="Arial" w:hAnsi="Arial" w:cs="Arial"/>
          <w:b/>
          <w:bCs/>
          <w:kern w:val="0"/>
          <w14:ligatures w14:val="none"/>
        </w:rPr>
      </w:pPr>
      <w:r>
        <w:rPr>
          <w:rFonts w:ascii="Arial" w:eastAsia="Arial" w:hAnsi="Arial" w:cs="Arial"/>
          <w:b/>
          <w:bCs/>
          <w:kern w:val="0"/>
          <w14:ligatures w14:val="none"/>
        </w:rPr>
        <w:t>References:</w:t>
      </w:r>
    </w:p>
    <w:p w14:paraId="015C5201" w14:textId="77777777" w:rsidR="00325C5D" w:rsidRPr="00325C5D" w:rsidRDefault="00325C5D" w:rsidP="00325C5D">
      <w:pPr>
        <w:spacing w:after="0" w:line="240" w:lineRule="auto"/>
        <w:rPr>
          <w:rFonts w:ascii="Arial" w:hAnsi="Arial" w:cs="Arial"/>
          <w:kern w:val="0"/>
          <w14:ligatures w14:val="none"/>
        </w:rPr>
      </w:pPr>
      <w:r w:rsidRPr="00325C5D">
        <w:rPr>
          <w:rFonts w:ascii="Arial" w:hAnsi="Arial" w:cs="Arial"/>
          <w:kern w:val="0"/>
          <w14:ligatures w14:val="none"/>
        </w:rPr>
        <w:t xml:space="preserve">Beauchamp, T.L. and Childress, J.F. (2019) </w:t>
      </w:r>
      <w:r w:rsidRPr="00325C5D">
        <w:rPr>
          <w:rFonts w:ascii="Arial" w:hAnsi="Arial" w:cs="Arial"/>
          <w:i/>
          <w:iCs/>
          <w:kern w:val="0"/>
          <w14:ligatures w14:val="none"/>
        </w:rPr>
        <w:t>Principles of Biomedical Ethics</w:t>
      </w:r>
      <w:r w:rsidRPr="00325C5D">
        <w:rPr>
          <w:rFonts w:ascii="Arial" w:hAnsi="Arial" w:cs="Arial"/>
          <w:kern w:val="0"/>
          <w14:ligatures w14:val="none"/>
        </w:rPr>
        <w:t>. 8th edn. New York: Oxford University Press.</w:t>
      </w:r>
    </w:p>
    <w:p w14:paraId="4DC2977A" w14:textId="77777777" w:rsidR="00325C5D" w:rsidRPr="00325C5D" w:rsidRDefault="00325C5D" w:rsidP="00325C5D">
      <w:pPr>
        <w:spacing w:after="0" w:line="240" w:lineRule="auto"/>
        <w:rPr>
          <w:rFonts w:ascii="Arial" w:hAnsi="Arial" w:cs="Arial"/>
          <w:kern w:val="0"/>
          <w14:ligatures w14:val="none"/>
        </w:rPr>
      </w:pPr>
    </w:p>
    <w:p w14:paraId="3D39F61E" w14:textId="77777777" w:rsidR="00325C5D" w:rsidRPr="00325C5D" w:rsidRDefault="00325C5D" w:rsidP="00325C5D">
      <w:pPr>
        <w:spacing w:after="0" w:line="240" w:lineRule="auto"/>
        <w:rPr>
          <w:rFonts w:ascii="Arial" w:hAnsi="Arial" w:cs="Arial"/>
          <w:kern w:val="0"/>
          <w14:ligatures w14:val="none"/>
        </w:rPr>
      </w:pPr>
      <w:r w:rsidRPr="00325C5D">
        <w:rPr>
          <w:rFonts w:ascii="Arial" w:hAnsi="Arial" w:cs="Arial"/>
          <w:kern w:val="0"/>
          <w14:ligatures w14:val="none"/>
        </w:rPr>
        <w:t xml:space="preserve">Brewster, A.L. (2019) ‘Development and application of a survey instrument to measure collaboration among health care and social services organisations’, </w:t>
      </w:r>
      <w:r w:rsidRPr="00325C5D">
        <w:rPr>
          <w:rFonts w:ascii="Arial" w:hAnsi="Arial" w:cs="Arial"/>
          <w:i/>
          <w:iCs/>
          <w:kern w:val="0"/>
          <w14:ligatures w14:val="none"/>
        </w:rPr>
        <w:t>BMC Health Services Research</w:t>
      </w:r>
      <w:r w:rsidRPr="00325C5D">
        <w:rPr>
          <w:rFonts w:ascii="Arial" w:hAnsi="Arial" w:cs="Arial"/>
          <w:kern w:val="0"/>
          <w14:ligatures w14:val="none"/>
        </w:rPr>
        <w:t>, 19(1), pp. 1–12.</w:t>
      </w:r>
    </w:p>
    <w:p w14:paraId="73A3B72F" w14:textId="77777777" w:rsidR="00325C5D" w:rsidRPr="00325C5D" w:rsidRDefault="00325C5D" w:rsidP="00325C5D">
      <w:pPr>
        <w:spacing w:after="0" w:line="240" w:lineRule="auto"/>
        <w:rPr>
          <w:rFonts w:ascii="Arial" w:hAnsi="Arial" w:cs="Arial"/>
          <w:kern w:val="0"/>
          <w14:ligatures w14:val="none"/>
        </w:rPr>
      </w:pPr>
    </w:p>
    <w:p w14:paraId="6AB7818E" w14:textId="77777777" w:rsidR="00325C5D" w:rsidRPr="00325C5D" w:rsidRDefault="00325C5D" w:rsidP="00325C5D">
      <w:pPr>
        <w:spacing w:after="0" w:line="240" w:lineRule="auto"/>
        <w:rPr>
          <w:rFonts w:ascii="Arial" w:hAnsi="Arial" w:cs="Arial"/>
          <w:kern w:val="0"/>
          <w14:ligatures w14:val="none"/>
        </w:rPr>
      </w:pPr>
      <w:r w:rsidRPr="00325C5D">
        <w:rPr>
          <w:rFonts w:ascii="Arial" w:hAnsi="Arial" w:cs="Arial"/>
          <w:kern w:val="0"/>
          <w14:ligatures w14:val="none"/>
        </w:rPr>
        <w:t xml:space="preserve">Colberg, S.R., Sigal, R.J., Yardley, J.E., Riddell, M.C., Dunstan, D.W., Dempsey, P.C. and Tate, D.F. (2020) ‘Exercise and type 2 diabetes: the American College of Sports Medicine update’, </w:t>
      </w:r>
      <w:r w:rsidRPr="00325C5D">
        <w:rPr>
          <w:rFonts w:ascii="Arial" w:hAnsi="Arial" w:cs="Arial"/>
          <w:i/>
          <w:iCs/>
          <w:kern w:val="0"/>
          <w14:ligatures w14:val="none"/>
        </w:rPr>
        <w:t>Medicine &amp; Science in Sports &amp; Exercise</w:t>
      </w:r>
      <w:r w:rsidRPr="00325C5D">
        <w:rPr>
          <w:rFonts w:ascii="Arial" w:hAnsi="Arial" w:cs="Arial"/>
          <w:kern w:val="0"/>
          <w14:ligatures w14:val="none"/>
        </w:rPr>
        <w:t>, 52(12), pp. 2689–2699.</w:t>
      </w:r>
    </w:p>
    <w:p w14:paraId="1CF20B9D" w14:textId="77777777" w:rsidR="00325C5D" w:rsidRPr="00325C5D" w:rsidRDefault="00325C5D" w:rsidP="00325C5D">
      <w:pPr>
        <w:spacing w:after="0" w:line="240" w:lineRule="auto"/>
        <w:rPr>
          <w:rFonts w:ascii="Arial" w:hAnsi="Arial" w:cs="Arial"/>
          <w:kern w:val="0"/>
          <w14:ligatures w14:val="none"/>
        </w:rPr>
      </w:pPr>
    </w:p>
    <w:p w14:paraId="0CB45683" w14:textId="77777777" w:rsidR="00325C5D" w:rsidRPr="00325C5D" w:rsidRDefault="00325C5D" w:rsidP="00325C5D">
      <w:pPr>
        <w:spacing w:after="0" w:line="240" w:lineRule="auto"/>
        <w:rPr>
          <w:rFonts w:ascii="Arial" w:hAnsi="Arial" w:cs="Arial"/>
          <w:kern w:val="0"/>
          <w14:ligatures w14:val="none"/>
        </w:rPr>
      </w:pPr>
      <w:r w:rsidRPr="00325C5D">
        <w:rPr>
          <w:rFonts w:ascii="Arial" w:hAnsi="Arial" w:cs="Arial"/>
          <w:kern w:val="0"/>
          <w14:ligatures w14:val="none"/>
        </w:rPr>
        <w:t xml:space="preserve">Department of Health and Social Care (2014) </w:t>
      </w:r>
      <w:r w:rsidRPr="00325C5D">
        <w:rPr>
          <w:rFonts w:ascii="Arial" w:hAnsi="Arial" w:cs="Arial"/>
          <w:i/>
          <w:iCs/>
          <w:kern w:val="0"/>
          <w14:ligatures w14:val="none"/>
        </w:rPr>
        <w:t>Care Act 2014</w:t>
      </w:r>
      <w:r w:rsidRPr="00325C5D">
        <w:rPr>
          <w:rFonts w:ascii="Arial" w:hAnsi="Arial" w:cs="Arial"/>
          <w:kern w:val="0"/>
          <w14:ligatures w14:val="none"/>
        </w:rPr>
        <w:t>. London: The Stationery Office.</w:t>
      </w:r>
    </w:p>
    <w:p w14:paraId="7D679636" w14:textId="77777777" w:rsidR="00325C5D" w:rsidRPr="00325C5D" w:rsidRDefault="00325C5D" w:rsidP="00325C5D">
      <w:pPr>
        <w:spacing w:after="0" w:line="240" w:lineRule="auto"/>
        <w:rPr>
          <w:rFonts w:ascii="Arial" w:hAnsi="Arial" w:cs="Arial"/>
          <w:kern w:val="0"/>
          <w14:ligatures w14:val="none"/>
        </w:rPr>
      </w:pPr>
    </w:p>
    <w:p w14:paraId="09FA7F6B" w14:textId="77777777" w:rsidR="00325C5D" w:rsidRPr="00325C5D" w:rsidRDefault="00325C5D" w:rsidP="00325C5D">
      <w:pPr>
        <w:spacing w:after="0" w:line="240" w:lineRule="auto"/>
        <w:rPr>
          <w:rFonts w:ascii="Arial" w:hAnsi="Arial" w:cs="Arial"/>
          <w:kern w:val="0"/>
          <w14:ligatures w14:val="none"/>
        </w:rPr>
      </w:pPr>
      <w:r w:rsidRPr="00325C5D">
        <w:rPr>
          <w:rFonts w:ascii="Arial" w:hAnsi="Arial" w:cs="Arial"/>
          <w:kern w:val="0"/>
          <w14:ligatures w14:val="none"/>
        </w:rPr>
        <w:t xml:space="preserve">Edvardsson, D. (2015) ‘Notes on person-centred care: What it is and what it is not’, </w:t>
      </w:r>
      <w:r w:rsidRPr="00325C5D">
        <w:rPr>
          <w:rFonts w:ascii="Arial" w:hAnsi="Arial" w:cs="Arial"/>
          <w:i/>
          <w:iCs/>
          <w:kern w:val="0"/>
          <w14:ligatures w14:val="none"/>
        </w:rPr>
        <w:t>Nordic Journal of Nursing Research</w:t>
      </w:r>
      <w:r w:rsidRPr="00325C5D">
        <w:rPr>
          <w:rFonts w:ascii="Arial" w:hAnsi="Arial" w:cs="Arial"/>
          <w:kern w:val="0"/>
          <w14:ligatures w14:val="none"/>
        </w:rPr>
        <w:t>, 35(2), pp. 65–66.</w:t>
      </w:r>
    </w:p>
    <w:p w14:paraId="69F6F1A1" w14:textId="77777777" w:rsidR="00325C5D" w:rsidRPr="00325C5D" w:rsidRDefault="00325C5D" w:rsidP="00325C5D">
      <w:pPr>
        <w:spacing w:after="0" w:line="240" w:lineRule="auto"/>
        <w:rPr>
          <w:rFonts w:ascii="Arial" w:hAnsi="Arial" w:cs="Arial"/>
          <w:kern w:val="0"/>
          <w14:ligatures w14:val="none"/>
        </w:rPr>
      </w:pPr>
    </w:p>
    <w:p w14:paraId="41A08B73" w14:textId="77777777" w:rsidR="00325C5D" w:rsidRPr="00325C5D" w:rsidRDefault="00325C5D" w:rsidP="00325C5D">
      <w:pPr>
        <w:spacing w:after="0" w:line="240" w:lineRule="auto"/>
        <w:rPr>
          <w:rFonts w:ascii="Arial" w:hAnsi="Arial" w:cs="Arial"/>
          <w:kern w:val="0"/>
          <w14:ligatures w14:val="none"/>
        </w:rPr>
      </w:pPr>
      <w:r w:rsidRPr="00325C5D">
        <w:rPr>
          <w:rFonts w:ascii="Arial" w:hAnsi="Arial" w:cs="Arial"/>
          <w:kern w:val="0"/>
          <w14:ligatures w14:val="none"/>
        </w:rPr>
        <w:t xml:space="preserve">Glasby, J. and Dickinson, H. (2021) </w:t>
      </w:r>
      <w:r w:rsidRPr="00325C5D">
        <w:rPr>
          <w:rFonts w:ascii="Arial" w:hAnsi="Arial" w:cs="Arial"/>
          <w:i/>
          <w:iCs/>
          <w:kern w:val="0"/>
          <w14:ligatures w14:val="none"/>
        </w:rPr>
        <w:t>Partnership Working in Health and Social Care</w:t>
      </w:r>
      <w:r w:rsidRPr="00325C5D">
        <w:rPr>
          <w:rFonts w:ascii="Arial" w:hAnsi="Arial" w:cs="Arial"/>
          <w:kern w:val="0"/>
          <w14:ligatures w14:val="none"/>
        </w:rPr>
        <w:t>. 3rd edn. Bristol: Policy Press.</w:t>
      </w:r>
    </w:p>
    <w:p w14:paraId="47128C13" w14:textId="77777777" w:rsidR="00325C5D" w:rsidRPr="00325C5D" w:rsidRDefault="00325C5D" w:rsidP="00325C5D">
      <w:pPr>
        <w:spacing w:after="0" w:line="240" w:lineRule="auto"/>
        <w:rPr>
          <w:rFonts w:ascii="Arial" w:hAnsi="Arial" w:cs="Arial"/>
          <w:kern w:val="0"/>
          <w14:ligatures w14:val="none"/>
        </w:rPr>
      </w:pPr>
    </w:p>
    <w:p w14:paraId="2D9491D1" w14:textId="77777777" w:rsidR="00325C5D" w:rsidRPr="00325C5D" w:rsidRDefault="00325C5D" w:rsidP="00325C5D">
      <w:pPr>
        <w:spacing w:after="0" w:line="240" w:lineRule="auto"/>
        <w:rPr>
          <w:rFonts w:ascii="Arial" w:hAnsi="Arial" w:cs="Arial"/>
          <w:kern w:val="0"/>
          <w14:ligatures w14:val="none"/>
        </w:rPr>
      </w:pPr>
      <w:r w:rsidRPr="00325C5D">
        <w:rPr>
          <w:rFonts w:ascii="Arial" w:hAnsi="Arial" w:cs="Arial"/>
          <w:kern w:val="0"/>
          <w14:ligatures w14:val="none"/>
        </w:rPr>
        <w:t xml:space="preserve">Health Foundation (2016) </w:t>
      </w:r>
      <w:r w:rsidRPr="00325C5D">
        <w:rPr>
          <w:rFonts w:ascii="Arial" w:hAnsi="Arial" w:cs="Arial"/>
          <w:i/>
          <w:iCs/>
          <w:kern w:val="0"/>
          <w14:ligatures w14:val="none"/>
        </w:rPr>
        <w:t>Person-Centred Care Made Simple</w:t>
      </w:r>
      <w:r w:rsidRPr="00325C5D">
        <w:rPr>
          <w:rFonts w:ascii="Arial" w:hAnsi="Arial" w:cs="Arial"/>
          <w:kern w:val="0"/>
          <w14:ligatures w14:val="none"/>
        </w:rPr>
        <w:t>. London: Health Foundation.</w:t>
      </w:r>
    </w:p>
    <w:p w14:paraId="37AABB65" w14:textId="77777777" w:rsidR="00325C5D" w:rsidRPr="00325C5D" w:rsidRDefault="00325C5D" w:rsidP="00325C5D">
      <w:pPr>
        <w:spacing w:after="0" w:line="240" w:lineRule="auto"/>
        <w:rPr>
          <w:rFonts w:ascii="Arial" w:hAnsi="Arial" w:cs="Arial"/>
          <w:kern w:val="0"/>
          <w14:ligatures w14:val="none"/>
        </w:rPr>
      </w:pPr>
    </w:p>
    <w:p w14:paraId="2BE3DB92" w14:textId="77777777" w:rsidR="00325C5D" w:rsidRPr="00325C5D" w:rsidRDefault="00325C5D" w:rsidP="00325C5D">
      <w:pPr>
        <w:spacing w:after="0" w:line="240" w:lineRule="auto"/>
        <w:rPr>
          <w:rFonts w:ascii="Arial" w:hAnsi="Arial" w:cs="Arial"/>
          <w:kern w:val="0"/>
          <w14:ligatures w14:val="none"/>
        </w:rPr>
      </w:pPr>
      <w:r w:rsidRPr="00325C5D">
        <w:rPr>
          <w:rFonts w:ascii="Arial" w:hAnsi="Arial" w:cs="Arial"/>
          <w:kern w:val="0"/>
          <w14:ligatures w14:val="none"/>
        </w:rPr>
        <w:t xml:space="preserve">Lee, J.S., Jang, M.H. and Sun, M.J. (2024) ‘Factors influencing person-centred care among psychiatric nurses in hospitals’, </w:t>
      </w:r>
      <w:r w:rsidRPr="00325C5D">
        <w:rPr>
          <w:rFonts w:ascii="Arial" w:hAnsi="Arial" w:cs="Arial"/>
          <w:i/>
          <w:iCs/>
          <w:kern w:val="0"/>
          <w14:ligatures w14:val="none"/>
        </w:rPr>
        <w:t>Healthcare</w:t>
      </w:r>
      <w:r w:rsidRPr="00325C5D">
        <w:rPr>
          <w:rFonts w:ascii="Arial" w:hAnsi="Arial" w:cs="Arial"/>
          <w:kern w:val="0"/>
          <w14:ligatures w14:val="none"/>
        </w:rPr>
        <w:t>, 12(22), p. 2269.</w:t>
      </w:r>
    </w:p>
    <w:p w14:paraId="5F6B4D9F" w14:textId="77777777" w:rsidR="00325C5D" w:rsidRPr="00325C5D" w:rsidRDefault="00325C5D" w:rsidP="00325C5D">
      <w:pPr>
        <w:spacing w:after="0" w:line="240" w:lineRule="auto"/>
        <w:rPr>
          <w:rFonts w:ascii="Arial" w:hAnsi="Arial" w:cs="Arial"/>
          <w:kern w:val="0"/>
          <w14:ligatures w14:val="none"/>
        </w:rPr>
      </w:pPr>
    </w:p>
    <w:p w14:paraId="328DC7F2" w14:textId="77777777" w:rsidR="00325C5D" w:rsidRPr="00325C5D" w:rsidRDefault="00325C5D" w:rsidP="00325C5D">
      <w:pPr>
        <w:spacing w:after="0" w:line="240" w:lineRule="auto"/>
        <w:rPr>
          <w:rFonts w:ascii="Arial" w:hAnsi="Arial" w:cs="Arial"/>
          <w:kern w:val="0"/>
          <w14:ligatures w14:val="none"/>
        </w:rPr>
      </w:pPr>
      <w:r w:rsidRPr="00325C5D">
        <w:rPr>
          <w:rFonts w:ascii="Arial" w:hAnsi="Arial" w:cs="Arial"/>
          <w:kern w:val="0"/>
          <w14:ligatures w14:val="none"/>
        </w:rPr>
        <w:t xml:space="preserve">McCormack, B. (2016) </w:t>
      </w:r>
      <w:r w:rsidRPr="00325C5D">
        <w:rPr>
          <w:rFonts w:ascii="Arial" w:hAnsi="Arial" w:cs="Arial"/>
          <w:i/>
          <w:iCs/>
          <w:kern w:val="0"/>
          <w14:ligatures w14:val="none"/>
        </w:rPr>
        <w:t>Person-Centred Practice in Nursing and Health Care: Theory and Practice</w:t>
      </w:r>
      <w:r w:rsidRPr="00325C5D">
        <w:rPr>
          <w:rFonts w:ascii="Arial" w:hAnsi="Arial" w:cs="Arial"/>
          <w:kern w:val="0"/>
          <w14:ligatures w14:val="none"/>
        </w:rPr>
        <w:t>. 2nd edn. Chichester: Wiley-Blackwell.</w:t>
      </w:r>
    </w:p>
    <w:p w14:paraId="043C5A12" w14:textId="77777777" w:rsidR="00325C5D" w:rsidRPr="00325C5D" w:rsidRDefault="00325C5D" w:rsidP="00325C5D">
      <w:pPr>
        <w:spacing w:after="0" w:line="240" w:lineRule="auto"/>
        <w:rPr>
          <w:rFonts w:ascii="Arial" w:hAnsi="Arial" w:cs="Arial"/>
          <w:kern w:val="0"/>
          <w14:ligatures w14:val="none"/>
        </w:rPr>
      </w:pPr>
    </w:p>
    <w:p w14:paraId="1A581F23" w14:textId="77777777" w:rsidR="00325C5D" w:rsidRPr="00325C5D" w:rsidRDefault="00325C5D" w:rsidP="00325C5D">
      <w:pPr>
        <w:spacing w:after="0" w:line="240" w:lineRule="auto"/>
        <w:rPr>
          <w:rFonts w:ascii="Arial" w:hAnsi="Arial" w:cs="Arial"/>
          <w:kern w:val="0"/>
          <w14:ligatures w14:val="none"/>
        </w:rPr>
      </w:pPr>
      <w:r w:rsidRPr="00325C5D">
        <w:rPr>
          <w:rFonts w:ascii="Arial" w:hAnsi="Arial" w:cs="Arial"/>
          <w:kern w:val="0"/>
          <w14:ligatures w14:val="none"/>
        </w:rPr>
        <w:t xml:space="preserve">McCormack, B. and McCance, T. (2017) </w:t>
      </w:r>
      <w:r w:rsidRPr="00325C5D">
        <w:rPr>
          <w:rFonts w:ascii="Arial" w:hAnsi="Arial" w:cs="Arial"/>
          <w:i/>
          <w:iCs/>
          <w:kern w:val="0"/>
          <w14:ligatures w14:val="none"/>
        </w:rPr>
        <w:t>Person-Centred Practice in Nursing and Health Care: Theory and Practice</w:t>
      </w:r>
      <w:r w:rsidRPr="00325C5D">
        <w:rPr>
          <w:rFonts w:ascii="Arial" w:hAnsi="Arial" w:cs="Arial"/>
          <w:kern w:val="0"/>
          <w14:ligatures w14:val="none"/>
        </w:rPr>
        <w:t>. 2nd edn. Oxford: Wiley-Blackwell.</w:t>
      </w:r>
    </w:p>
    <w:p w14:paraId="41AF36D7" w14:textId="77777777" w:rsidR="00325C5D" w:rsidRPr="00325C5D" w:rsidRDefault="00325C5D" w:rsidP="00325C5D">
      <w:pPr>
        <w:spacing w:after="0" w:line="240" w:lineRule="auto"/>
        <w:rPr>
          <w:rFonts w:ascii="Arial" w:hAnsi="Arial" w:cs="Arial"/>
          <w:kern w:val="0"/>
          <w14:ligatures w14:val="none"/>
        </w:rPr>
      </w:pPr>
    </w:p>
    <w:p w14:paraId="79D7A7A0" w14:textId="77777777" w:rsidR="00325C5D" w:rsidRPr="00325C5D" w:rsidRDefault="00325C5D" w:rsidP="00325C5D">
      <w:pPr>
        <w:spacing w:after="0" w:line="240" w:lineRule="auto"/>
        <w:rPr>
          <w:rFonts w:ascii="Arial" w:hAnsi="Arial" w:cs="Arial"/>
          <w:kern w:val="0"/>
          <w14:ligatures w14:val="none"/>
        </w:rPr>
      </w:pPr>
      <w:r w:rsidRPr="00325C5D">
        <w:rPr>
          <w:rFonts w:ascii="Arial" w:hAnsi="Arial" w:cs="Arial"/>
          <w:kern w:val="0"/>
          <w14:ligatures w14:val="none"/>
        </w:rPr>
        <w:t xml:space="preserve">Millar, H. and Salloum, I. (2018) ‘Person-centred care planning and shared decision making for mental and comorbid conditions’, </w:t>
      </w:r>
      <w:r w:rsidRPr="00325C5D">
        <w:rPr>
          <w:rFonts w:ascii="Arial" w:hAnsi="Arial" w:cs="Arial"/>
          <w:i/>
          <w:iCs/>
          <w:kern w:val="0"/>
          <w14:ligatures w14:val="none"/>
        </w:rPr>
        <w:t>International Journal of Person-Centred Medicine</w:t>
      </w:r>
      <w:r w:rsidRPr="00325C5D">
        <w:rPr>
          <w:rFonts w:ascii="Arial" w:hAnsi="Arial" w:cs="Arial"/>
          <w:kern w:val="0"/>
          <w14:ligatures w14:val="none"/>
        </w:rPr>
        <w:t>, 8(4).</w:t>
      </w:r>
    </w:p>
    <w:p w14:paraId="614696F0" w14:textId="77777777" w:rsidR="00325C5D" w:rsidRPr="00325C5D" w:rsidRDefault="00325C5D" w:rsidP="00325C5D">
      <w:pPr>
        <w:spacing w:after="0" w:line="240" w:lineRule="auto"/>
        <w:rPr>
          <w:rFonts w:ascii="Arial" w:hAnsi="Arial" w:cs="Arial"/>
          <w:kern w:val="0"/>
          <w14:ligatures w14:val="none"/>
        </w:rPr>
      </w:pPr>
    </w:p>
    <w:p w14:paraId="16FE5934" w14:textId="55BB4609" w:rsidR="00325C5D" w:rsidRDefault="00325C5D" w:rsidP="00325C5D">
      <w:pPr>
        <w:spacing w:after="0" w:line="240" w:lineRule="auto"/>
        <w:rPr>
          <w:rFonts w:ascii="Arial" w:hAnsi="Arial" w:cs="Arial"/>
          <w:kern w:val="0"/>
          <w14:ligatures w14:val="none"/>
        </w:rPr>
      </w:pPr>
      <w:r w:rsidRPr="00325C5D">
        <w:rPr>
          <w:rFonts w:ascii="Arial" w:hAnsi="Arial" w:cs="Arial"/>
          <w:kern w:val="0"/>
          <w14:ligatures w14:val="none"/>
        </w:rPr>
        <w:t xml:space="preserve">Miller, E. (2017) ‘Person-centred planning in mental health: A transatlantic review’, </w:t>
      </w:r>
      <w:r w:rsidRPr="00325C5D">
        <w:rPr>
          <w:rFonts w:ascii="Arial" w:hAnsi="Arial" w:cs="Arial"/>
          <w:i/>
          <w:iCs/>
          <w:kern w:val="0"/>
          <w14:ligatures w14:val="none"/>
        </w:rPr>
        <w:t>Journal of Mental Health Policy and Economics</w:t>
      </w:r>
      <w:r w:rsidRPr="00325C5D">
        <w:rPr>
          <w:rFonts w:ascii="Arial" w:hAnsi="Arial" w:cs="Arial"/>
          <w:kern w:val="0"/>
          <w14:ligatures w14:val="none"/>
        </w:rPr>
        <w:t>, 20(3), pp. 145–</w:t>
      </w:r>
      <w:r w:rsidR="00790F7E" w:rsidRPr="00325C5D">
        <w:rPr>
          <w:rFonts w:ascii="Arial" w:hAnsi="Arial" w:cs="Arial"/>
          <w:kern w:val="0"/>
          <w14:ligatures w14:val="none"/>
        </w:rPr>
        <w:t xml:space="preserve">152. </w:t>
      </w:r>
    </w:p>
    <w:p w14:paraId="59C826B8" w14:textId="77777777" w:rsidR="00790F7E" w:rsidRPr="00325C5D" w:rsidRDefault="00790F7E" w:rsidP="00325C5D">
      <w:pPr>
        <w:spacing w:after="0" w:line="240" w:lineRule="auto"/>
        <w:rPr>
          <w:rFonts w:ascii="Arial" w:hAnsi="Arial" w:cs="Arial"/>
          <w:kern w:val="0"/>
          <w14:ligatures w14:val="none"/>
        </w:rPr>
      </w:pPr>
    </w:p>
    <w:p w14:paraId="36B0DDA2" w14:textId="77777777" w:rsidR="00325C5D" w:rsidRPr="00325C5D" w:rsidRDefault="00325C5D" w:rsidP="00325C5D">
      <w:pPr>
        <w:spacing w:after="0" w:line="240" w:lineRule="auto"/>
        <w:rPr>
          <w:rFonts w:ascii="Arial" w:hAnsi="Arial" w:cs="Arial"/>
          <w:kern w:val="0"/>
          <w14:ligatures w14:val="none"/>
        </w:rPr>
      </w:pPr>
      <w:r w:rsidRPr="00325C5D">
        <w:rPr>
          <w:rFonts w:ascii="Arial" w:hAnsi="Arial" w:cs="Arial"/>
          <w:kern w:val="0"/>
          <w14:ligatures w14:val="none"/>
        </w:rPr>
        <w:t xml:space="preserve">NHS England (2019) </w:t>
      </w:r>
      <w:r w:rsidRPr="00325C5D">
        <w:rPr>
          <w:rFonts w:ascii="Arial" w:hAnsi="Arial" w:cs="Arial"/>
          <w:i/>
          <w:iCs/>
          <w:kern w:val="0"/>
          <w14:ligatures w14:val="none"/>
        </w:rPr>
        <w:t>The NHS Long Term Plan</w:t>
      </w:r>
      <w:r w:rsidRPr="00325C5D">
        <w:rPr>
          <w:rFonts w:ascii="Arial" w:hAnsi="Arial" w:cs="Arial"/>
          <w:kern w:val="0"/>
          <w14:ligatures w14:val="none"/>
        </w:rPr>
        <w:t>. London: NHS England.</w:t>
      </w:r>
    </w:p>
    <w:p w14:paraId="3A335D1A" w14:textId="77777777" w:rsidR="00325C5D" w:rsidRPr="00325C5D" w:rsidRDefault="00325C5D" w:rsidP="00325C5D">
      <w:pPr>
        <w:spacing w:after="0" w:line="240" w:lineRule="auto"/>
        <w:rPr>
          <w:rFonts w:ascii="Arial" w:hAnsi="Arial" w:cs="Arial"/>
          <w:kern w:val="0"/>
          <w14:ligatures w14:val="none"/>
        </w:rPr>
      </w:pPr>
    </w:p>
    <w:p w14:paraId="5F8792B3" w14:textId="77777777" w:rsidR="00325C5D" w:rsidRPr="00325C5D" w:rsidRDefault="00325C5D" w:rsidP="00325C5D">
      <w:pPr>
        <w:spacing w:after="0" w:line="240" w:lineRule="auto"/>
        <w:rPr>
          <w:rFonts w:ascii="Arial" w:hAnsi="Arial" w:cs="Arial"/>
          <w:kern w:val="0"/>
          <w14:ligatures w14:val="none"/>
        </w:rPr>
      </w:pPr>
      <w:r w:rsidRPr="00325C5D">
        <w:rPr>
          <w:rFonts w:ascii="Arial" w:hAnsi="Arial" w:cs="Arial"/>
          <w:kern w:val="0"/>
          <w14:ligatures w14:val="none"/>
        </w:rPr>
        <w:t xml:space="preserve">Public Health England (2023) </w:t>
      </w:r>
      <w:r w:rsidRPr="00325C5D">
        <w:rPr>
          <w:rFonts w:ascii="Arial" w:hAnsi="Arial" w:cs="Arial"/>
          <w:i/>
          <w:iCs/>
          <w:kern w:val="0"/>
          <w14:ligatures w14:val="none"/>
        </w:rPr>
        <w:t>The Eatwell Guide: Government Dietary Recommendations</w:t>
      </w:r>
      <w:r w:rsidRPr="00325C5D">
        <w:rPr>
          <w:rFonts w:ascii="Arial" w:hAnsi="Arial" w:cs="Arial"/>
          <w:kern w:val="0"/>
          <w14:ligatures w14:val="none"/>
        </w:rPr>
        <w:t>. London: Public Health England.</w:t>
      </w:r>
    </w:p>
    <w:p w14:paraId="6F13B836" w14:textId="77777777" w:rsidR="00325C5D" w:rsidRPr="00325C5D" w:rsidRDefault="00325C5D" w:rsidP="00325C5D">
      <w:pPr>
        <w:spacing w:after="0" w:line="240" w:lineRule="auto"/>
        <w:rPr>
          <w:rFonts w:ascii="Arial" w:hAnsi="Arial" w:cs="Arial"/>
          <w:kern w:val="0"/>
          <w14:ligatures w14:val="none"/>
        </w:rPr>
      </w:pPr>
    </w:p>
    <w:p w14:paraId="628EF1FE" w14:textId="77777777" w:rsidR="00325C5D" w:rsidRPr="00325C5D" w:rsidRDefault="00325C5D" w:rsidP="00325C5D">
      <w:pPr>
        <w:spacing w:after="0" w:line="240" w:lineRule="auto"/>
        <w:rPr>
          <w:rFonts w:ascii="Arial" w:hAnsi="Arial" w:cs="Arial"/>
          <w:kern w:val="0"/>
          <w14:ligatures w14:val="none"/>
        </w:rPr>
      </w:pPr>
      <w:r w:rsidRPr="00325C5D">
        <w:rPr>
          <w:rFonts w:ascii="Arial" w:hAnsi="Arial" w:cs="Arial"/>
          <w:kern w:val="0"/>
          <w14:ligatures w14:val="none"/>
        </w:rPr>
        <w:t xml:space="preserve">Rogers, H. (2002) </w:t>
      </w:r>
      <w:r w:rsidRPr="00325C5D">
        <w:rPr>
          <w:rFonts w:ascii="Arial" w:hAnsi="Arial" w:cs="Arial"/>
          <w:i/>
          <w:iCs/>
          <w:kern w:val="0"/>
          <w14:ligatures w14:val="none"/>
        </w:rPr>
        <w:t>Partnership Working in Mental Health Services</w:t>
      </w:r>
      <w:r w:rsidRPr="00325C5D">
        <w:rPr>
          <w:rFonts w:ascii="Arial" w:hAnsi="Arial" w:cs="Arial"/>
          <w:kern w:val="0"/>
          <w14:ligatures w14:val="none"/>
        </w:rPr>
        <w:t>. London: Jessica Kingsley Publishers.</w:t>
      </w:r>
    </w:p>
    <w:p w14:paraId="20E67936" w14:textId="77777777" w:rsidR="00325C5D" w:rsidRPr="00325C5D" w:rsidRDefault="00325C5D" w:rsidP="00325C5D">
      <w:pPr>
        <w:spacing w:after="0" w:line="240" w:lineRule="auto"/>
        <w:rPr>
          <w:rFonts w:ascii="Arial" w:hAnsi="Arial" w:cs="Arial"/>
          <w:kern w:val="0"/>
          <w14:ligatures w14:val="none"/>
        </w:rPr>
      </w:pPr>
    </w:p>
    <w:p w14:paraId="44C4E196" w14:textId="33AE0B18" w:rsidR="00325C5D" w:rsidRPr="00325C5D" w:rsidRDefault="00325C5D" w:rsidP="00325C5D">
      <w:pPr>
        <w:spacing w:after="0" w:line="240" w:lineRule="auto"/>
        <w:rPr>
          <w:rFonts w:ascii="Arial" w:hAnsi="Arial" w:cs="Arial"/>
          <w:kern w:val="0"/>
          <w14:ligatures w14:val="none"/>
        </w:rPr>
      </w:pPr>
      <w:r w:rsidRPr="00325C5D">
        <w:rPr>
          <w:rFonts w:ascii="Arial" w:hAnsi="Arial" w:cs="Arial"/>
          <w:kern w:val="0"/>
          <w14:ligatures w14:val="none"/>
        </w:rPr>
        <w:t xml:space="preserve">Wasim, A. (2023) ‘Patient-centred care frameworks, models, and approaches’, </w:t>
      </w:r>
      <w:r w:rsidRPr="00325C5D">
        <w:rPr>
          <w:rFonts w:ascii="Arial" w:hAnsi="Arial" w:cs="Arial"/>
          <w:i/>
          <w:iCs/>
          <w:kern w:val="0"/>
          <w14:ligatures w14:val="none"/>
        </w:rPr>
        <w:t>PX Journal</w:t>
      </w:r>
      <w:r w:rsidRPr="00325C5D">
        <w:rPr>
          <w:rFonts w:ascii="Arial" w:hAnsi="Arial" w:cs="Arial"/>
          <w:kern w:val="0"/>
          <w14:ligatures w14:val="none"/>
        </w:rPr>
        <w:t>, 10(2), pp. 1–</w:t>
      </w:r>
      <w:r w:rsidR="00790F7E" w:rsidRPr="00325C5D">
        <w:rPr>
          <w:rFonts w:ascii="Arial" w:hAnsi="Arial" w:cs="Arial"/>
          <w:kern w:val="0"/>
          <w14:ligatures w14:val="none"/>
        </w:rPr>
        <w:t>10. *</w:t>
      </w:r>
    </w:p>
    <w:p w14:paraId="2843F663" w14:textId="43239B25" w:rsidR="005357E8" w:rsidRPr="00325C5D" w:rsidRDefault="005357E8">
      <w:pPr>
        <w:rPr>
          <w:rFonts w:ascii="Arial" w:eastAsia="Arial" w:hAnsi="Arial" w:cs="Arial"/>
          <w:kern w:val="0"/>
          <w14:ligatures w14:val="none"/>
        </w:rPr>
      </w:pPr>
    </w:p>
    <w:sectPr w:rsidR="005357E8" w:rsidRPr="00325C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5waRmadf" int2:invalidationBookmarkName="" int2:hashCode="LQsT0L4oKGleH+" int2:id="ISbk0NaT">
      <int2:state int2:value="Rejected" int2:type="style"/>
    </int2:bookmark>
    <int2:bookmark int2:bookmarkName="_Int_C8E8gt1b" int2:invalidationBookmarkName="" int2:hashCode="wawDUuB31+XNCa" int2:id="xeu7j5uT">
      <int2:state int2:value="Rejected" int2:type="style"/>
    </int2:bookmark>
    <int2:bookmark int2:bookmarkName="_Int_e6gq42yP" int2:invalidationBookmarkName="" int2:hashCode="K+MfXPjGEp2D7o" int2:id="MJmiTf2J">
      <int2:state int2:value="Rejected" int2:type="style"/>
    </int2:bookmark>
    <int2:bookmark int2:bookmarkName="_Int_j4MozPps" int2:invalidationBookmarkName="" int2:hashCode="j7HSiZ7CaaCzYS" int2:id="CSNOysvQ">
      <int2:state int2:value="Rejected" int2:type="style"/>
    </int2:bookmark>
    <int2:bookmark int2:bookmarkName="_Int_rK7GKWvQ" int2:invalidationBookmarkName="" int2:hashCode="gUJOMp1skMc5S9" int2:id="OPyCliXZ">
      <int2:state int2:value="Rejected" int2:type="style"/>
    </int2:bookmark>
    <int2:bookmark int2:bookmarkName="_Int_pI1YItZW" int2:invalidationBookmarkName="" int2:hashCode="fe8BQMN/VT1unm" int2:id="iSSjXDfY">
      <int2:state int2:value="Rejected" int2:type="style"/>
    </int2:bookmark>
    <int2:bookmark int2:bookmarkName="_Int_kfI71drY" int2:invalidationBookmarkName="" int2:hashCode="H2soT/gAoP/2BK" int2:id="AkBqH626">
      <int2:state int2:value="Rejected" int2:type="style"/>
    </int2:bookmark>
    <int2:bookmark int2:bookmarkName="_Int_HJHQfSjv" int2:invalidationBookmarkName="" int2:hashCode="Q+cLWcG/gpkNZz" int2:id="Juw2W3ES">
      <int2:state int2:value="Rejected" int2:type="style"/>
    </int2:bookmark>
    <int2:bookmark int2:bookmarkName="_Int_svsfPcJ8" int2:invalidationBookmarkName="" int2:hashCode="oQ2TsYAn7p4vCb" int2:id="Bd1JBQEg">
      <int2:state int2:value="Rejected" int2:type="style"/>
    </int2:bookmark>
    <int2:bookmark int2:bookmarkName="_Int_ufBMEQou" int2:invalidationBookmarkName="" int2:hashCode="hxkxLa7ZFjIQAw" int2:id="VF9eWFU1">
      <int2:state int2:value="Rejected" int2:type="style"/>
    </int2:bookmark>
    <int2:bookmark int2:bookmarkName="_Int_MDsf5rdN" int2:invalidationBookmarkName="" int2:hashCode="qE16RaruDPZggA" int2:id="t2Szgm2b">
      <int2:state int2:value="Rejected" int2:type="style"/>
    </int2:bookmark>
    <int2:bookmark int2:bookmarkName="_Int_wDqPOHo6" int2:invalidationBookmarkName="" int2:hashCode="h+P+x9L8CHtBnD" int2:id="kDe4uLD6">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A365A"/>
    <w:multiLevelType w:val="multilevel"/>
    <w:tmpl w:val="FFFFFFFF"/>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76A1285"/>
    <w:multiLevelType w:val="multilevel"/>
    <w:tmpl w:val="FFFFFFFF"/>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EF75484"/>
    <w:multiLevelType w:val="multilevel"/>
    <w:tmpl w:val="FFFFFFFF"/>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8B16F9B"/>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A6B283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1A02166"/>
    <w:multiLevelType w:val="multilevel"/>
    <w:tmpl w:val="FFFFFFFF"/>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9AB0440"/>
    <w:multiLevelType w:val="multilevel"/>
    <w:tmpl w:val="FFFFFFFF"/>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46355478">
    <w:abstractNumId w:val="3"/>
  </w:num>
  <w:num w:numId="2" w16cid:durableId="1880044323">
    <w:abstractNumId w:val="5"/>
  </w:num>
  <w:num w:numId="3" w16cid:durableId="711804229">
    <w:abstractNumId w:val="1"/>
  </w:num>
  <w:num w:numId="4" w16cid:durableId="269122802">
    <w:abstractNumId w:val="4"/>
  </w:num>
  <w:num w:numId="5" w16cid:durableId="1761438905">
    <w:abstractNumId w:val="0"/>
  </w:num>
  <w:num w:numId="6" w16cid:durableId="167713667">
    <w:abstractNumId w:val="2"/>
  </w:num>
  <w:num w:numId="7" w16cid:durableId="69261553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2A4E"/>
    <w:rsid w:val="00011935"/>
    <w:rsid w:val="00023886"/>
    <w:rsid w:val="00042A4E"/>
    <w:rsid w:val="000545AE"/>
    <w:rsid w:val="00072582"/>
    <w:rsid w:val="000B732C"/>
    <w:rsid w:val="000D659E"/>
    <w:rsid w:val="00146175"/>
    <w:rsid w:val="00171CDD"/>
    <w:rsid w:val="00177116"/>
    <w:rsid w:val="001863DD"/>
    <w:rsid w:val="001C2C1C"/>
    <w:rsid w:val="001C49C2"/>
    <w:rsid w:val="0027138A"/>
    <w:rsid w:val="002F3BF7"/>
    <w:rsid w:val="00306E56"/>
    <w:rsid w:val="00325C5D"/>
    <w:rsid w:val="00327948"/>
    <w:rsid w:val="00367011"/>
    <w:rsid w:val="00376CD9"/>
    <w:rsid w:val="00382D02"/>
    <w:rsid w:val="0039453A"/>
    <w:rsid w:val="003A1D0F"/>
    <w:rsid w:val="00433447"/>
    <w:rsid w:val="00444C06"/>
    <w:rsid w:val="00466528"/>
    <w:rsid w:val="00491FD6"/>
    <w:rsid w:val="004B2895"/>
    <w:rsid w:val="004B2C58"/>
    <w:rsid w:val="004F465F"/>
    <w:rsid w:val="004F724D"/>
    <w:rsid w:val="004F7B5B"/>
    <w:rsid w:val="00510ED5"/>
    <w:rsid w:val="005357E8"/>
    <w:rsid w:val="00572284"/>
    <w:rsid w:val="005B32D1"/>
    <w:rsid w:val="005F6D03"/>
    <w:rsid w:val="00634088"/>
    <w:rsid w:val="006537CD"/>
    <w:rsid w:val="00665453"/>
    <w:rsid w:val="00693AD5"/>
    <w:rsid w:val="006961C8"/>
    <w:rsid w:val="00696350"/>
    <w:rsid w:val="006B3029"/>
    <w:rsid w:val="006D4F5E"/>
    <w:rsid w:val="006E336E"/>
    <w:rsid w:val="00737631"/>
    <w:rsid w:val="007531EA"/>
    <w:rsid w:val="00786267"/>
    <w:rsid w:val="00790F7E"/>
    <w:rsid w:val="00790F8E"/>
    <w:rsid w:val="00792A66"/>
    <w:rsid w:val="007B6650"/>
    <w:rsid w:val="008815C4"/>
    <w:rsid w:val="008C2F51"/>
    <w:rsid w:val="008D0235"/>
    <w:rsid w:val="008E0116"/>
    <w:rsid w:val="008F70FF"/>
    <w:rsid w:val="00964B63"/>
    <w:rsid w:val="0098666F"/>
    <w:rsid w:val="009E3C55"/>
    <w:rsid w:val="009F569C"/>
    <w:rsid w:val="00A11398"/>
    <w:rsid w:val="00A14450"/>
    <w:rsid w:val="00A175CF"/>
    <w:rsid w:val="00A65AEC"/>
    <w:rsid w:val="00AC38C5"/>
    <w:rsid w:val="00B31A1E"/>
    <w:rsid w:val="00B41BD9"/>
    <w:rsid w:val="00B54011"/>
    <w:rsid w:val="00BC1645"/>
    <w:rsid w:val="00BF72AF"/>
    <w:rsid w:val="00C0590F"/>
    <w:rsid w:val="00C84414"/>
    <w:rsid w:val="00CF1150"/>
    <w:rsid w:val="00D14627"/>
    <w:rsid w:val="00D16E98"/>
    <w:rsid w:val="00D51FDB"/>
    <w:rsid w:val="00D521FD"/>
    <w:rsid w:val="00D72F81"/>
    <w:rsid w:val="00D90868"/>
    <w:rsid w:val="00DB5280"/>
    <w:rsid w:val="00DD512E"/>
    <w:rsid w:val="00DE1052"/>
    <w:rsid w:val="00DE20FF"/>
    <w:rsid w:val="00DF4C79"/>
    <w:rsid w:val="00E142BE"/>
    <w:rsid w:val="00E174E3"/>
    <w:rsid w:val="00E250CF"/>
    <w:rsid w:val="00E56667"/>
    <w:rsid w:val="00E977DF"/>
    <w:rsid w:val="00EE54D1"/>
    <w:rsid w:val="00EF49B2"/>
    <w:rsid w:val="00F00CA7"/>
    <w:rsid w:val="00F276D4"/>
    <w:rsid w:val="00F43A25"/>
    <w:rsid w:val="00F922E3"/>
    <w:rsid w:val="00FA42E1"/>
    <w:rsid w:val="00FB3E6C"/>
    <w:rsid w:val="00FB41EC"/>
    <w:rsid w:val="00FD64C0"/>
    <w:rsid w:val="00FD7E75"/>
    <w:rsid w:val="00FE0FE3"/>
    <w:rsid w:val="00FE4EE6"/>
    <w:rsid w:val="00FF74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763CA33"/>
  <w15:chartTrackingRefBased/>
  <w15:docId w15:val="{F58DE820-8CD0-4F4B-851F-6CDF31751C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2A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42A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42A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2A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2A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2A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2A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2A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2A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2A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42A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42A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2A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2A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2A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2A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2A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2A4E"/>
    <w:rPr>
      <w:rFonts w:eastAsiaTheme="majorEastAsia" w:cstheme="majorBidi"/>
      <w:color w:val="272727" w:themeColor="text1" w:themeTint="D8"/>
    </w:rPr>
  </w:style>
  <w:style w:type="paragraph" w:styleId="Title">
    <w:name w:val="Title"/>
    <w:basedOn w:val="Normal"/>
    <w:next w:val="Normal"/>
    <w:link w:val="TitleChar"/>
    <w:uiPriority w:val="10"/>
    <w:qFormat/>
    <w:rsid w:val="00042A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2A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2A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2A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2A4E"/>
    <w:pPr>
      <w:spacing w:before="160"/>
      <w:jc w:val="center"/>
    </w:pPr>
    <w:rPr>
      <w:i/>
      <w:iCs/>
      <w:color w:val="404040" w:themeColor="text1" w:themeTint="BF"/>
    </w:rPr>
  </w:style>
  <w:style w:type="character" w:customStyle="1" w:styleId="QuoteChar">
    <w:name w:val="Quote Char"/>
    <w:basedOn w:val="DefaultParagraphFont"/>
    <w:link w:val="Quote"/>
    <w:uiPriority w:val="29"/>
    <w:rsid w:val="00042A4E"/>
    <w:rPr>
      <w:i/>
      <w:iCs/>
      <w:color w:val="404040" w:themeColor="text1" w:themeTint="BF"/>
    </w:rPr>
  </w:style>
  <w:style w:type="paragraph" w:styleId="ListParagraph">
    <w:name w:val="List Paragraph"/>
    <w:basedOn w:val="Normal"/>
    <w:uiPriority w:val="34"/>
    <w:qFormat/>
    <w:rsid w:val="00042A4E"/>
    <w:pPr>
      <w:ind w:left="720"/>
      <w:contextualSpacing/>
    </w:pPr>
  </w:style>
  <w:style w:type="character" w:styleId="IntenseEmphasis">
    <w:name w:val="Intense Emphasis"/>
    <w:basedOn w:val="DefaultParagraphFont"/>
    <w:uiPriority w:val="21"/>
    <w:qFormat/>
    <w:rsid w:val="00042A4E"/>
    <w:rPr>
      <w:i/>
      <w:iCs/>
      <w:color w:val="0F4761" w:themeColor="accent1" w:themeShade="BF"/>
    </w:rPr>
  </w:style>
  <w:style w:type="paragraph" w:styleId="IntenseQuote">
    <w:name w:val="Intense Quote"/>
    <w:basedOn w:val="Normal"/>
    <w:next w:val="Normal"/>
    <w:link w:val="IntenseQuoteChar"/>
    <w:uiPriority w:val="30"/>
    <w:qFormat/>
    <w:rsid w:val="00042A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2A4E"/>
    <w:rPr>
      <w:i/>
      <w:iCs/>
      <w:color w:val="0F4761" w:themeColor="accent1" w:themeShade="BF"/>
    </w:rPr>
  </w:style>
  <w:style w:type="character" w:styleId="IntenseReference">
    <w:name w:val="Intense Reference"/>
    <w:basedOn w:val="DefaultParagraphFont"/>
    <w:uiPriority w:val="32"/>
    <w:qFormat/>
    <w:rsid w:val="00042A4E"/>
    <w:rPr>
      <w:b/>
      <w:bCs/>
      <w:smallCaps/>
      <w:color w:val="0F4761" w:themeColor="accent1" w:themeShade="BF"/>
      <w:spacing w:val="5"/>
    </w:rPr>
  </w:style>
  <w:style w:type="paragraph" w:customStyle="1" w:styleId="p1">
    <w:name w:val="p1"/>
    <w:basedOn w:val="Normal"/>
    <w:rsid w:val="006961C8"/>
    <w:pPr>
      <w:spacing w:after="45" w:line="240" w:lineRule="auto"/>
    </w:pPr>
    <w:rPr>
      <w:rFonts w:ascii=".AppleSystemUIFont" w:hAnsi=".AppleSystemUIFont" w:cs="Times New Roman"/>
      <w:kern w:val="0"/>
      <w:sz w:val="39"/>
      <w:szCs w:val="39"/>
      <w14:ligatures w14:val="none"/>
    </w:rPr>
  </w:style>
  <w:style w:type="character" w:customStyle="1" w:styleId="s1">
    <w:name w:val="s1"/>
    <w:basedOn w:val="DefaultParagraphFont"/>
    <w:rsid w:val="006961C8"/>
    <w:rPr>
      <w:rFonts w:ascii="UICTFontTextStyleBody" w:hAnsi="UICTFontTextStyleBody" w:hint="default"/>
      <w:b/>
      <w:bCs/>
      <w:i w:val="0"/>
      <w:iCs w:val="0"/>
      <w:sz w:val="39"/>
      <w:szCs w:val="39"/>
    </w:rPr>
  </w:style>
  <w:style w:type="paragraph" w:customStyle="1" w:styleId="p2">
    <w:name w:val="p2"/>
    <w:basedOn w:val="Normal"/>
    <w:rsid w:val="00665453"/>
    <w:pPr>
      <w:spacing w:after="45" w:line="240" w:lineRule="auto"/>
    </w:pPr>
    <w:rPr>
      <w:rFonts w:ascii=".AppleSystemUIFont" w:hAnsi=".AppleSystemUIFont" w:cs="Times New Roman"/>
      <w:kern w:val="0"/>
      <w:sz w:val="39"/>
      <w:szCs w:val="39"/>
      <w14:ligatures w14:val="none"/>
    </w:rPr>
  </w:style>
  <w:style w:type="paragraph" w:customStyle="1" w:styleId="p3">
    <w:name w:val="p3"/>
    <w:basedOn w:val="Normal"/>
    <w:rsid w:val="00665453"/>
    <w:pPr>
      <w:spacing w:after="0" w:line="240" w:lineRule="auto"/>
    </w:pPr>
    <w:rPr>
      <w:rFonts w:ascii=".AppleSystemUIFont" w:hAnsi=".AppleSystemUIFont" w:cs="Times New Roman"/>
      <w:kern w:val="0"/>
      <w14:ligatures w14:val="none"/>
    </w:rPr>
  </w:style>
  <w:style w:type="paragraph" w:customStyle="1" w:styleId="p4">
    <w:name w:val="p4"/>
    <w:basedOn w:val="Normal"/>
    <w:rsid w:val="00665453"/>
    <w:pPr>
      <w:spacing w:after="0" w:line="240" w:lineRule="auto"/>
    </w:pPr>
    <w:rPr>
      <w:rFonts w:ascii=".AppleSystemUIFont" w:hAnsi=".AppleSystemUIFont" w:cs="Times New Roman"/>
      <w:kern w:val="0"/>
      <w14:ligatures w14:val="none"/>
    </w:rPr>
  </w:style>
  <w:style w:type="character" w:customStyle="1" w:styleId="s2">
    <w:name w:val="s2"/>
    <w:basedOn w:val="DefaultParagraphFont"/>
    <w:rsid w:val="00665453"/>
    <w:rPr>
      <w:rFonts w:ascii="UICTFontTextStyleBody" w:hAnsi="UICTFontTextStyleBody" w:hint="default"/>
      <w:b w:val="0"/>
      <w:bCs w:val="0"/>
      <w:i w:val="0"/>
      <w:iCs w:val="0"/>
      <w:sz w:val="24"/>
      <w:szCs w:val="24"/>
    </w:rPr>
  </w:style>
  <w:style w:type="character" w:customStyle="1" w:styleId="s3">
    <w:name w:val="s3"/>
    <w:basedOn w:val="DefaultParagraphFont"/>
    <w:rsid w:val="00665453"/>
    <w:rPr>
      <w:rFonts w:ascii="UICTFontTextStyleEmphasizedBody" w:hAnsi="UICTFontTextStyleEmphasizedBody" w:hint="default"/>
      <w:b/>
      <w:bCs/>
      <w:i w:val="0"/>
      <w:iCs w:val="0"/>
      <w:sz w:val="24"/>
      <w:szCs w:val="24"/>
    </w:rPr>
  </w:style>
  <w:style w:type="character" w:customStyle="1" w:styleId="apple-converted-space">
    <w:name w:val="apple-converted-space"/>
    <w:basedOn w:val="DefaultParagraphFont"/>
    <w:rsid w:val="009E3C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2128</Words>
  <Characters>12132</Characters>
  <Application>Microsoft Office Word</Application>
  <DocSecurity>0</DocSecurity>
  <Lines>101</Lines>
  <Paragraphs>28</Paragraphs>
  <ScaleCrop>false</ScaleCrop>
  <Company/>
  <LinksUpToDate>false</LinksUpToDate>
  <CharactersWithSpaces>14232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Aysha Hussain (2319032)</dc:creator>
  <cp:keywords/>
  <dc:description/>
  <cp:lastModifiedBy>Aysha Hussain (2319032)</cp:lastModifiedBy>
  <cp:revision>2</cp:revision>
  <dcterms:created xsi:type="dcterms:W3CDTF">2025-11-06T17:10:00Z</dcterms:created>
  <dcterms:modified xsi:type="dcterms:W3CDTF">2025-11-06T17:10:00Z</dcterms:modified>
</cp:coreProperties>
</file>