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86FD8" w:rsidRDefault="00686FD8">
      <w:pPr>
        <w:rPr>
          <w:u w:val="single"/>
        </w:rPr>
      </w:pPr>
      <w:r>
        <w:rPr>
          <w:u w:val="single"/>
        </w:rPr>
        <w:t xml:space="preserve">Legal Process Assignment 2 </w:t>
      </w:r>
    </w:p>
    <w:p w:rsidR="00686FD8" w:rsidRDefault="00686FD8">
      <w:pPr>
        <w:rPr>
          <w:i/>
          <w:iCs/>
        </w:rPr>
      </w:pPr>
    </w:p>
    <w:p w:rsidR="00F1377A" w:rsidRDefault="00F47D21">
      <w:r>
        <w:t xml:space="preserve">Statutory interpretation is described as a different way in which </w:t>
      </w:r>
      <w:r w:rsidR="002954C8">
        <w:t>the hierarchy of the courts develop the law (</w:t>
      </w:r>
      <w:proofErr w:type="spellStart"/>
      <w:r w:rsidR="002954C8">
        <w:t>Partington</w:t>
      </w:r>
      <w:proofErr w:type="spellEnd"/>
      <w:r w:rsidR="002954C8">
        <w:t xml:space="preserve">, </w:t>
      </w:r>
      <w:r w:rsidR="004B008C">
        <w:t>2021, Pg 54).</w:t>
      </w:r>
      <w:r w:rsidR="00EA7997">
        <w:t xml:space="preserve"> </w:t>
      </w:r>
      <w:proofErr w:type="spellStart"/>
      <w:r w:rsidR="007A3BC8">
        <w:t>Partington</w:t>
      </w:r>
      <w:proofErr w:type="spellEnd"/>
      <w:r w:rsidR="007A3BC8">
        <w:t xml:space="preserve"> (2021, Pg 54) explains that in 199</w:t>
      </w:r>
      <w:r w:rsidR="000540C7">
        <w:t xml:space="preserve">8 when the Human Rights Act came into force </w:t>
      </w:r>
      <w:r w:rsidR="00304225">
        <w:t>the power of the court to interpret statutes</w:t>
      </w:r>
      <w:r w:rsidR="00C0277E">
        <w:t xml:space="preserve"> increased. </w:t>
      </w:r>
      <w:r w:rsidR="002E387C">
        <w:t xml:space="preserve">A majority of the cases considered by the courts </w:t>
      </w:r>
      <w:r w:rsidR="00F1377A">
        <w:t xml:space="preserve">involve different types of legislation, secondary legislation and acts of Parliament. </w:t>
      </w:r>
      <w:r w:rsidR="00696F4F">
        <w:t xml:space="preserve">In some cases, the judges will have to decide </w:t>
      </w:r>
      <w:r w:rsidR="00180CA9">
        <w:t>if the regulations affect the decision in the case due to the wording of the Acts and regulations themselves</w:t>
      </w:r>
      <w:r w:rsidR="00FA4231">
        <w:t xml:space="preserve"> if they are unclear. </w:t>
      </w:r>
      <w:r w:rsidR="00291C62">
        <w:t xml:space="preserve">In order to help the judges to decide this, </w:t>
      </w:r>
      <w:r w:rsidR="003E6BA1">
        <w:t xml:space="preserve">a few rules and approaches </w:t>
      </w:r>
      <w:r w:rsidR="001523B6">
        <w:t xml:space="preserve">have been brought into place. </w:t>
      </w:r>
      <w:r w:rsidR="00BF1989">
        <w:t>These include the failure of legislation to cover a specific point, a broad term, ambiguity, a drafting error, new developments, and changes in the use of language.</w:t>
      </w:r>
      <w:r w:rsidR="002266BB">
        <w:t xml:space="preserve"> Statu</w:t>
      </w:r>
      <w:r w:rsidR="00E3512D">
        <w:t xml:space="preserve">tory interpretation is described as the process in which a judge decides what a statute means, then allowing the judge </w:t>
      </w:r>
      <w:r w:rsidR="00556E91">
        <w:t xml:space="preserve">and jury to reach a decision in which the facts of the case are applied to the case </w:t>
      </w:r>
      <w:r w:rsidR="00C844BF">
        <w:t>(Oxford Reference, 202</w:t>
      </w:r>
      <w:r w:rsidR="000A11C9">
        <w:t>2</w:t>
      </w:r>
      <w:r w:rsidR="00C844BF">
        <w:t>).</w:t>
      </w:r>
      <w:r w:rsidR="00DC014C">
        <w:t xml:space="preserve"> Laver (2020) says th</w:t>
      </w:r>
      <w:r w:rsidR="00EC469E">
        <w:t>at where uncertainty arises in cases, statutory interpretation may be required in order to apply the law in that g</w:t>
      </w:r>
      <w:r w:rsidR="001263A4">
        <w:t>iven situation.</w:t>
      </w:r>
      <w:r w:rsidR="00BF1989">
        <w:t xml:space="preserve"> </w:t>
      </w:r>
      <w:r w:rsidR="00762181">
        <w:t xml:space="preserve">There are three rules in which to follow, these are the </w:t>
      </w:r>
      <w:r w:rsidR="000E0956">
        <w:t xml:space="preserve">Literal Rule, the Golden Rule and the Mischief Rule. </w:t>
      </w:r>
    </w:p>
    <w:p w:rsidR="004C63D3" w:rsidRDefault="004C63D3"/>
    <w:p w:rsidR="001B2AAF" w:rsidRDefault="00400C42">
      <w:proofErr w:type="spellStart"/>
      <w:r>
        <w:t>Allbon</w:t>
      </w:r>
      <w:proofErr w:type="spellEnd"/>
      <w:r>
        <w:t xml:space="preserve"> and </w:t>
      </w:r>
      <w:proofErr w:type="spellStart"/>
      <w:r>
        <w:t>Dua</w:t>
      </w:r>
      <w:proofErr w:type="spellEnd"/>
      <w:r>
        <w:t xml:space="preserve"> </w:t>
      </w:r>
      <w:r w:rsidR="00F93F94">
        <w:t>(</w:t>
      </w:r>
      <w:r w:rsidR="00FF30C1">
        <w:t xml:space="preserve">2020, Pg 69) </w:t>
      </w:r>
      <w:r>
        <w:t xml:space="preserve">says that </w:t>
      </w:r>
      <w:r w:rsidR="009165CB">
        <w:t xml:space="preserve">the </w:t>
      </w:r>
      <w:r w:rsidR="003608B4">
        <w:t xml:space="preserve">literal </w:t>
      </w:r>
      <w:r w:rsidR="009165CB">
        <w:t xml:space="preserve">rule dictates the ordinary and natural meaning, </w:t>
      </w:r>
      <w:r w:rsidR="00C06CD1">
        <w:t xml:space="preserve">on the principle in which Parliament </w:t>
      </w:r>
      <w:r w:rsidR="002E432F">
        <w:t xml:space="preserve">will is interpreted </w:t>
      </w:r>
      <w:r w:rsidR="00F93F94">
        <w:t xml:space="preserve">to follow the literal meaning of the words. </w:t>
      </w:r>
      <w:r w:rsidR="00DD5228">
        <w:t xml:space="preserve">Examples of the </w:t>
      </w:r>
      <w:r w:rsidR="003608B4">
        <w:t>Literal Rule include cases such as Whiteley v Chappell [1986]</w:t>
      </w:r>
      <w:r w:rsidR="007223E1">
        <w:t xml:space="preserve"> in which </w:t>
      </w:r>
      <w:r w:rsidR="006746D0">
        <w:t xml:space="preserve">the defendant had </w:t>
      </w:r>
      <w:r w:rsidR="00EB60C7">
        <w:t xml:space="preserve">impersonated a dead person and then proceeded to vote in this persons name. </w:t>
      </w:r>
      <w:r w:rsidR="00E50756">
        <w:t>It was proved to be an offence to impersonate ‘any person entitled to vote’</w:t>
      </w:r>
      <w:r w:rsidR="0018270D">
        <w:t xml:space="preserve"> at an election </w:t>
      </w:r>
      <w:r w:rsidR="00BB2D65">
        <w:t xml:space="preserve">by the relevant statute. </w:t>
      </w:r>
      <w:r w:rsidR="009E46FE">
        <w:t>In this case, the literal rule went against Parliament’s intention</w:t>
      </w:r>
      <w:r w:rsidR="00527960">
        <w:t xml:space="preserve"> (Finch and </w:t>
      </w:r>
      <w:proofErr w:type="spellStart"/>
      <w:r w:rsidR="00613923">
        <w:t>Fafinski</w:t>
      </w:r>
      <w:proofErr w:type="spellEnd"/>
      <w:r w:rsidR="00613923">
        <w:t xml:space="preserve">, </w:t>
      </w:r>
      <w:r w:rsidR="00925EF7">
        <w:t xml:space="preserve">2009, Pg 12). </w:t>
      </w:r>
    </w:p>
    <w:p w:rsidR="00253A96" w:rsidRDefault="00253A96"/>
    <w:p w:rsidR="00253A96" w:rsidRDefault="00BA53BA">
      <w:r>
        <w:t xml:space="preserve">If judges are seeking to give effect to </w:t>
      </w:r>
      <w:r w:rsidR="006521F2">
        <w:t>Parliament’s</w:t>
      </w:r>
      <w:r>
        <w:t xml:space="preserve"> intention then the Golden Rule is said to be the ‘common-sense approach’. </w:t>
      </w:r>
      <w:r w:rsidR="00B0306B">
        <w:t xml:space="preserve">This rule </w:t>
      </w:r>
      <w:r w:rsidR="001C3E06">
        <w:t>entails</w:t>
      </w:r>
      <w:r w:rsidR="00B0306B">
        <w:t xml:space="preserve"> that </w:t>
      </w:r>
      <w:r w:rsidR="00893040">
        <w:t xml:space="preserve">if the literal rule gives an absurd result in the case, in which parliament did not intend, </w:t>
      </w:r>
      <w:r w:rsidR="005B2FED">
        <w:t xml:space="preserve">then </w:t>
      </w:r>
      <w:r w:rsidR="0038295D">
        <w:t>keeping in mind the statute as a whole, the judge can then substitute a reasonable meaning themselves</w:t>
      </w:r>
      <w:r w:rsidR="00D85D0A">
        <w:t xml:space="preserve"> (</w:t>
      </w:r>
      <w:proofErr w:type="spellStart"/>
      <w:r w:rsidR="00D85D0A">
        <w:t>Allbon</w:t>
      </w:r>
      <w:proofErr w:type="spellEnd"/>
      <w:r w:rsidR="00D85D0A">
        <w:t xml:space="preserve"> and </w:t>
      </w:r>
      <w:proofErr w:type="spellStart"/>
      <w:r w:rsidR="00D85D0A">
        <w:t>Dua</w:t>
      </w:r>
      <w:proofErr w:type="spellEnd"/>
      <w:r w:rsidR="00D85D0A">
        <w:t xml:space="preserve">, 2020, Pg 71). </w:t>
      </w:r>
      <w:r w:rsidR="009A6688">
        <w:t xml:space="preserve">The </w:t>
      </w:r>
      <w:r w:rsidR="004E49F6">
        <w:t>Golden Rule is described by Holland and</w:t>
      </w:r>
      <w:r w:rsidR="002F4466">
        <w:t xml:space="preserve"> Webb</w:t>
      </w:r>
      <w:r w:rsidR="004E49F6">
        <w:t xml:space="preserve"> </w:t>
      </w:r>
      <w:r w:rsidR="0083125F">
        <w:t>(</w:t>
      </w:r>
      <w:r w:rsidR="002F4466">
        <w:t xml:space="preserve">2019, Pg </w:t>
      </w:r>
      <w:r w:rsidR="005F27BC">
        <w:t>278</w:t>
      </w:r>
      <w:r w:rsidR="0083125F">
        <w:t xml:space="preserve">) as a bridge between literalism and purposiveness. </w:t>
      </w:r>
      <w:r w:rsidR="00BC55E8">
        <w:t xml:space="preserve">It is said that the literal rule </w:t>
      </w:r>
      <w:r w:rsidR="0092052B">
        <w:t xml:space="preserve">focuses on the words themselves, the Golden Rule has expanded on this </w:t>
      </w:r>
      <w:r w:rsidR="00626576">
        <w:t>by using more of its context</w:t>
      </w:r>
      <w:r w:rsidR="006B2177">
        <w:t>. This is done by setting into perspective the way in which the act was brought into being (</w:t>
      </w:r>
      <w:r w:rsidR="00310C6B">
        <w:t xml:space="preserve">Holland and Webb, 2019, Pg 278). </w:t>
      </w:r>
    </w:p>
    <w:p w:rsidR="004B008C" w:rsidRDefault="004B008C"/>
    <w:p w:rsidR="004B008C" w:rsidRDefault="007C4C52">
      <w:r>
        <w:t xml:space="preserve">The Mischief Rule is the third and final rule. </w:t>
      </w:r>
      <w:r w:rsidR="003E0D4F">
        <w:t xml:space="preserve">In this rule, the words do not provide as much significant as </w:t>
      </w:r>
      <w:r w:rsidR="000E412C">
        <w:t>the other two rules</w:t>
      </w:r>
      <w:r w:rsidR="00E67E6F">
        <w:t xml:space="preserve"> of interpretation</w:t>
      </w:r>
      <w:r w:rsidR="000E412C">
        <w:t xml:space="preserve">, </w:t>
      </w:r>
      <w:r w:rsidR="00E67E6F">
        <w:t xml:space="preserve">this is due to the fact that </w:t>
      </w:r>
      <w:r w:rsidR="000E412C">
        <w:t xml:space="preserve">it focuses more on the </w:t>
      </w:r>
      <w:r w:rsidR="002E3042">
        <w:t xml:space="preserve">underlying reason for Parliament to have legislated (Gillespie and </w:t>
      </w:r>
      <w:proofErr w:type="spellStart"/>
      <w:r w:rsidR="002E3042">
        <w:t>Weare</w:t>
      </w:r>
      <w:proofErr w:type="spellEnd"/>
      <w:r w:rsidR="002E3042">
        <w:t xml:space="preserve">, </w:t>
      </w:r>
      <w:r w:rsidR="003C0CE3">
        <w:t xml:space="preserve">2021, Pg 43). </w:t>
      </w:r>
      <w:r w:rsidR="004047E0">
        <w:t xml:space="preserve">It is said by Gillespie and </w:t>
      </w:r>
      <w:proofErr w:type="spellStart"/>
      <w:r w:rsidR="004047E0">
        <w:t>Weare</w:t>
      </w:r>
      <w:proofErr w:type="spellEnd"/>
      <w:r w:rsidR="004047E0">
        <w:t xml:space="preserve"> (</w:t>
      </w:r>
      <w:r w:rsidR="00992C00">
        <w:t>2021, Pg 43) that w</w:t>
      </w:r>
      <w:r w:rsidR="00A74BC3">
        <w:t>hen a statute is in force for many years, the Mischief rules is sometimes used</w:t>
      </w:r>
      <w:r w:rsidR="00402FB0">
        <w:t xml:space="preserve"> in order to bring the statute into the new century, this is due to the fact that some statutes can be in place for</w:t>
      </w:r>
      <w:r w:rsidR="004047E0">
        <w:t xml:space="preserve"> decades or centuries without being altered. </w:t>
      </w:r>
    </w:p>
    <w:p w:rsidR="004B008C" w:rsidRDefault="004B008C"/>
    <w:p w:rsidR="00DF7E6F" w:rsidRDefault="0048694C">
      <w:r>
        <w:t xml:space="preserve">Legislation is a </w:t>
      </w:r>
      <w:r w:rsidR="003B3A90">
        <w:t xml:space="preserve">created by Parliament. It is split into two sections, primary legislation and secondary legislation. </w:t>
      </w:r>
      <w:r w:rsidR="00BB2AE3">
        <w:t>An act first starts as a Bill, which then has to be passed through the House of Lords and the House of Commons in Parliament before getting the Royal Assent</w:t>
      </w:r>
      <w:r w:rsidR="00782A30">
        <w:t>. These acts are passed as primary legislation (</w:t>
      </w:r>
      <w:r w:rsidR="006F5FD8">
        <w:t>Library Subject Guides,</w:t>
      </w:r>
      <w:r w:rsidR="00BA4287">
        <w:t>2022</w:t>
      </w:r>
      <w:r w:rsidR="006F5FD8">
        <w:t xml:space="preserve">). </w:t>
      </w:r>
      <w:r w:rsidR="001B4E58">
        <w:t xml:space="preserve">In 1998, the Welsh Government decided to </w:t>
      </w:r>
      <w:r w:rsidR="00642FC3">
        <w:t xml:space="preserve">establish a new body called the </w:t>
      </w:r>
      <w:r w:rsidR="00DB1FB0">
        <w:t xml:space="preserve">Welsh Assembly. Unlike the </w:t>
      </w:r>
      <w:r w:rsidR="00ED2792">
        <w:t>Government</w:t>
      </w:r>
      <w:r w:rsidR="00DB1FB0">
        <w:t xml:space="preserve">, however, the Welsh Assembly </w:t>
      </w:r>
      <w:r w:rsidR="000F24C3">
        <w:t xml:space="preserve">does not have the power to make primary legislation (Bills). </w:t>
      </w:r>
      <w:r w:rsidR="00ED2792">
        <w:t>However, the Welsh Assembly is allowed to make Delegated Legislation (</w:t>
      </w:r>
      <w:r w:rsidR="00021F04">
        <w:t xml:space="preserve">Elliott &amp; Quinn, 2012, Pg 5). </w:t>
      </w:r>
      <w:r w:rsidR="00B63A3D">
        <w:t>Wilson et al (</w:t>
      </w:r>
      <w:r w:rsidR="00FE3F69">
        <w:t xml:space="preserve">2020, Pg 83) </w:t>
      </w:r>
      <w:r w:rsidR="005E22D1">
        <w:t xml:space="preserve">implies that </w:t>
      </w:r>
      <w:r w:rsidR="00577B7E">
        <w:t xml:space="preserve">the fundamental principles of law in England is found in the form of acts of parliament called Primary legislation also known as statutes. </w:t>
      </w:r>
      <w:r w:rsidR="004E433D">
        <w:t xml:space="preserve">At any time there are thousands of acts of </w:t>
      </w:r>
      <w:r w:rsidR="002D6BD2">
        <w:t xml:space="preserve">parliament which include all subjects known to man. </w:t>
      </w:r>
      <w:r w:rsidR="009A4DA2">
        <w:t xml:space="preserve">Statutes </w:t>
      </w:r>
      <w:r w:rsidR="007B604C">
        <w:t>as a whole could amount to a few lines to hundreds of pages in size (</w:t>
      </w:r>
      <w:r w:rsidR="00EB1BFB">
        <w:t xml:space="preserve">Wilson et al, 2020, Pg 83). </w:t>
      </w:r>
      <w:r w:rsidR="009B1839">
        <w:t xml:space="preserve">When a new law is created or is changed it is </w:t>
      </w:r>
      <w:r w:rsidR="009B1839">
        <w:lastRenderedPageBreak/>
        <w:t>called an Act of Pa</w:t>
      </w:r>
      <w:r w:rsidR="00165FCA">
        <w:t xml:space="preserve">rliament. An act of Parliament is a Bill that has been approved by both Houses of </w:t>
      </w:r>
      <w:r w:rsidR="00051B77">
        <w:t xml:space="preserve">Parliament, House of Lords and House of Commons, and then given the Royal Assent in order to become </w:t>
      </w:r>
      <w:r w:rsidR="00A03CD9">
        <w:t xml:space="preserve">an Act (Uk Parliament, 2022). </w:t>
      </w:r>
    </w:p>
    <w:p w:rsidR="00B344E3" w:rsidRDefault="00B344E3"/>
    <w:p w:rsidR="00B344E3" w:rsidRDefault="00B344E3">
      <w:r>
        <w:t xml:space="preserve">Judge Middleton highlights that common law </w:t>
      </w:r>
      <w:r w:rsidR="009F4B57">
        <w:t xml:space="preserve">principles are the principles governing interpretation of a statute in a common law setting and will </w:t>
      </w:r>
      <w:r w:rsidR="00E34FFD">
        <w:t>evolve</w:t>
      </w:r>
      <w:r w:rsidR="009F4B57">
        <w:t xml:space="preserve"> overtime. The </w:t>
      </w:r>
      <w:r w:rsidR="00135ADE">
        <w:t>role of the court is to interpret and apply the law and not to make it. Principles of interpretation of le</w:t>
      </w:r>
      <w:r w:rsidR="008A7341">
        <w:t>gislation is guided by common sense but blinded by rules</w:t>
      </w:r>
      <w:r w:rsidR="00B85CEF">
        <w:t xml:space="preserve"> (Judge Middleton, 2016). </w:t>
      </w:r>
      <w:r w:rsidR="00105C18">
        <w:t>Solan (2011) states that the problem of borderline situations in the interpretations of statutory words is that</w:t>
      </w:r>
      <w:r w:rsidR="00DD4AEA">
        <w:t xml:space="preserve"> is can cause interpretive problems due to aspects of our linguistic knowledge. </w:t>
      </w:r>
      <w:r w:rsidR="000634F9">
        <w:t>Even though statutory interpretation works well, at times</w:t>
      </w:r>
      <w:r w:rsidR="00C91E68">
        <w:t xml:space="preserve"> there can be certain problems that can be recurrent (Solan, 2011). </w:t>
      </w:r>
    </w:p>
    <w:p w:rsidR="005D7D20" w:rsidRDefault="005D7D20"/>
    <w:p w:rsidR="005D7D20" w:rsidRDefault="008169EB">
      <w:r>
        <w:t>Pr</w:t>
      </w:r>
      <w:r w:rsidR="00870757">
        <w:t>inciples of statutory interpretation is a w</w:t>
      </w:r>
      <w:r w:rsidR="00C762B3">
        <w:t xml:space="preserve">ay in which the law is developed over time. Legislation is </w:t>
      </w:r>
      <w:r w:rsidR="00F8422A">
        <w:t xml:space="preserve">created by parliament in order to give order and laws in which judges and juries are able to judge cases and give </w:t>
      </w:r>
      <w:r w:rsidR="00E41509">
        <w:t xml:space="preserve">judgements on the cases. With this in mind, it is shown that even though it can be argued that statutory interpretation diminishes the </w:t>
      </w:r>
      <w:r w:rsidR="002B652F">
        <w:t xml:space="preserve">status of legislation as the primary source of law in the UK, </w:t>
      </w:r>
      <w:r w:rsidR="00CA18DD">
        <w:t xml:space="preserve">it can also be shown that legislation and the rules behind statutory interpretation could go hand in hand when developing and applying the </w:t>
      </w:r>
      <w:r w:rsidR="00905853">
        <w:t xml:space="preserve">law when needed. </w:t>
      </w:r>
    </w:p>
    <w:p w:rsidR="004B008C" w:rsidRDefault="004B008C"/>
    <w:p w:rsidR="0071048D" w:rsidRDefault="0071048D"/>
    <w:p w:rsidR="004B008C" w:rsidRDefault="004B008C"/>
    <w:p w:rsidR="004B008C" w:rsidRDefault="004B008C"/>
    <w:p w:rsidR="00FA4CB2" w:rsidRDefault="00FA4CB2"/>
    <w:p w:rsidR="00FA4CB2" w:rsidRDefault="00FA4CB2"/>
    <w:p w:rsidR="00FA4CB2" w:rsidRDefault="00FA4CB2"/>
    <w:p w:rsidR="004B008C" w:rsidRDefault="004B008C"/>
    <w:p w:rsidR="009074E3" w:rsidRDefault="009074E3"/>
    <w:p w:rsidR="009074E3" w:rsidRDefault="009074E3"/>
    <w:p w:rsidR="009074E3" w:rsidRDefault="009074E3"/>
    <w:p w:rsidR="009074E3" w:rsidRDefault="009074E3"/>
    <w:p w:rsidR="009074E3" w:rsidRDefault="009074E3"/>
    <w:p w:rsidR="009074E3" w:rsidRDefault="009074E3"/>
    <w:p w:rsidR="009074E3" w:rsidRDefault="009074E3"/>
    <w:p w:rsidR="009074E3" w:rsidRDefault="009074E3"/>
    <w:p w:rsidR="009074E3" w:rsidRDefault="009074E3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5D57A6" w:rsidRDefault="005D57A6"/>
    <w:p w:rsidR="00E34FFD" w:rsidRPr="004630DB" w:rsidRDefault="00BA420A">
      <w:pPr>
        <w:rPr>
          <w:u w:val="single"/>
        </w:rPr>
      </w:pPr>
      <w:r>
        <w:rPr>
          <w:u w:val="single"/>
        </w:rPr>
        <w:lastRenderedPageBreak/>
        <w:t>Reference List</w:t>
      </w:r>
    </w:p>
    <w:p w:rsidR="005D57A6" w:rsidRDefault="005D57A6" w:rsidP="00094574">
      <w:proofErr w:type="spellStart"/>
      <w:r>
        <w:t>Allbon</w:t>
      </w:r>
      <w:proofErr w:type="spellEnd"/>
      <w:r>
        <w:t xml:space="preserve"> E, </w:t>
      </w:r>
      <w:proofErr w:type="spellStart"/>
      <w:r>
        <w:t>Dua</w:t>
      </w:r>
      <w:proofErr w:type="spellEnd"/>
      <w:r>
        <w:t xml:space="preserve"> S K, 2020, Pg 69/71, Elliott &amp; Quinn’s English Legal System, Pearson Education Limited, Harlow, 21</w:t>
      </w:r>
      <w:r w:rsidRPr="004D37B0">
        <w:rPr>
          <w:vertAlign w:val="superscript"/>
        </w:rPr>
        <w:t>st</w:t>
      </w:r>
      <w:r>
        <w:t xml:space="preserve"> edition. </w:t>
      </w:r>
    </w:p>
    <w:p w:rsidR="00127025" w:rsidRDefault="00127025" w:rsidP="00094574">
      <w:r>
        <w:t>Elliott C, Quinn F, 2012, Pg 5, English Legal System, Pearson Addison Wesley, Pearson Education Limited, Essex, 12</w:t>
      </w:r>
      <w:r w:rsidRPr="001968DB">
        <w:rPr>
          <w:vertAlign w:val="superscript"/>
        </w:rPr>
        <w:t>th</w:t>
      </w:r>
      <w:r>
        <w:t xml:space="preserve"> Edition. </w:t>
      </w:r>
    </w:p>
    <w:p w:rsidR="00127025" w:rsidRDefault="00127025" w:rsidP="00094574">
      <w:r>
        <w:t xml:space="preserve">Finch E, </w:t>
      </w:r>
      <w:proofErr w:type="spellStart"/>
      <w:r>
        <w:t>Fanfinski</w:t>
      </w:r>
      <w:proofErr w:type="spellEnd"/>
      <w:r>
        <w:t xml:space="preserve"> S, 2009, Pg 12, English Legal System, Person Education Limited, Essex, 2</w:t>
      </w:r>
      <w:r w:rsidRPr="00570293">
        <w:rPr>
          <w:vertAlign w:val="superscript"/>
        </w:rPr>
        <w:t>nd</w:t>
      </w:r>
      <w:r>
        <w:t xml:space="preserve"> edition.</w:t>
      </w:r>
    </w:p>
    <w:p w:rsidR="00C62C9A" w:rsidRDefault="00C62C9A" w:rsidP="00094574">
      <w:r>
        <w:t xml:space="preserve">Gillespie A, </w:t>
      </w:r>
      <w:proofErr w:type="spellStart"/>
      <w:r>
        <w:t>Weare</w:t>
      </w:r>
      <w:proofErr w:type="spellEnd"/>
      <w:r>
        <w:t xml:space="preserve"> S, 2021, Pg 43, The English Legal System, Oxford University Press, Oxford, 8</w:t>
      </w:r>
      <w:r w:rsidRPr="00310590">
        <w:rPr>
          <w:vertAlign w:val="superscript"/>
        </w:rPr>
        <w:t>th</w:t>
      </w:r>
      <w:r>
        <w:t xml:space="preserve"> Edition. </w:t>
      </w:r>
    </w:p>
    <w:p w:rsidR="00C62C9A" w:rsidRDefault="00C62C9A" w:rsidP="00094574">
      <w:r>
        <w:t>Holland J, Webb J, 2019, Pg 278, Learning Legal Rules, Oxford University Press, Oxford, 10</w:t>
      </w:r>
      <w:r w:rsidRPr="00BF3738">
        <w:rPr>
          <w:vertAlign w:val="superscript"/>
        </w:rPr>
        <w:t>th</w:t>
      </w:r>
      <w:r>
        <w:t xml:space="preserve"> edition. </w:t>
      </w:r>
    </w:p>
    <w:p w:rsidR="00670559" w:rsidRDefault="00670559" w:rsidP="00094574">
      <w:r>
        <w:t xml:space="preserve">Laver N, 2020, Statutory Interpretation, Available at </w:t>
      </w:r>
      <w:hyperlink r:id="rId4" w:history="1">
        <w:r w:rsidRPr="006A5280">
          <w:rPr>
            <w:rStyle w:val="Hyperlink"/>
          </w:rPr>
          <w:t>https://www.inbrief.co.uk/legal-system/statutory-interpretation/</w:t>
        </w:r>
      </w:hyperlink>
      <w:r>
        <w:t xml:space="preserve"> </w:t>
      </w:r>
    </w:p>
    <w:p w:rsidR="00670559" w:rsidRDefault="00670559" w:rsidP="00094574">
      <w:r>
        <w:t xml:space="preserve">Library Subject Guides, 2022, Law, University of York, York, </w:t>
      </w:r>
      <w:hyperlink r:id="rId5" w:history="1">
        <w:r w:rsidRPr="00D24DA6">
          <w:rPr>
            <w:rStyle w:val="Hyperlink"/>
          </w:rPr>
          <w:t>https://subjectguides.york.ac.uk/law/cases-and-legislation</w:t>
        </w:r>
      </w:hyperlink>
      <w:r>
        <w:t xml:space="preserve"> </w:t>
      </w:r>
    </w:p>
    <w:p w:rsidR="005D57A6" w:rsidRDefault="00790EA9">
      <w:pPr>
        <w:rPr>
          <w:rStyle w:val="Hyperlink"/>
        </w:rPr>
      </w:pPr>
      <w:r>
        <w:t xml:space="preserve">Oxford Reference, 2022, Statutory Interpretation, Available at </w:t>
      </w:r>
      <w:hyperlink r:id="rId6" w:history="1">
        <w:r w:rsidRPr="006A5280">
          <w:rPr>
            <w:rStyle w:val="Hyperlink"/>
          </w:rPr>
          <w:t>https://www.oxfordreference.com/view/10.1093/oi/authority.20110803100529647</w:t>
        </w:r>
      </w:hyperlink>
    </w:p>
    <w:p w:rsidR="00814DF1" w:rsidRDefault="00814DF1" w:rsidP="00094574">
      <w:proofErr w:type="spellStart"/>
      <w:r>
        <w:t>Partington</w:t>
      </w:r>
      <w:proofErr w:type="spellEnd"/>
      <w:r>
        <w:t xml:space="preserve"> M, 2021, Pg 54, Introduction to the English Legal System, Oxford University Press, Oxford, 15</w:t>
      </w:r>
      <w:r w:rsidRPr="005F2F3C">
        <w:rPr>
          <w:vertAlign w:val="superscript"/>
        </w:rPr>
        <w:t>th</w:t>
      </w:r>
      <w:r>
        <w:t xml:space="preserve"> edition. </w:t>
      </w:r>
    </w:p>
    <w:p w:rsidR="00814DF1" w:rsidRDefault="00814DF1" w:rsidP="00094574">
      <w:r>
        <w:t xml:space="preserve">Solan L M, 2011, Linguistic issues in statutory interpretation, Available at </w:t>
      </w:r>
      <w:hyperlink r:id="rId7" w:history="1">
        <w:r w:rsidRPr="006A5280">
          <w:rPr>
            <w:rStyle w:val="Hyperlink"/>
          </w:rPr>
          <w:t>https://papers.ssrn.com/sol3/papers.cfm?abstract_id=1950310</w:t>
        </w:r>
      </w:hyperlink>
      <w:r>
        <w:t xml:space="preserve"> </w:t>
      </w:r>
    </w:p>
    <w:p w:rsidR="00FC6006" w:rsidRDefault="00FC6006" w:rsidP="00094574">
      <w:r>
        <w:t xml:space="preserve">The Hon Justice John Middleton, 2016, Statutory Interpretation – Mostly common sense?, Available at </w:t>
      </w:r>
      <w:hyperlink r:id="rId8" w:history="1">
        <w:r w:rsidRPr="006A5280">
          <w:rPr>
            <w:rStyle w:val="Hyperlink"/>
          </w:rPr>
          <w:t>https://www.fedcourt.gov.au/digital-law-library/judges-speeches/justice-middleton/middleton-j-20160414</w:t>
        </w:r>
      </w:hyperlink>
      <w:r>
        <w:t xml:space="preserve"> </w:t>
      </w:r>
    </w:p>
    <w:p w:rsidR="00790EA9" w:rsidRDefault="00FC6006">
      <w:pPr>
        <w:rPr>
          <w:rStyle w:val="Hyperlink"/>
        </w:rPr>
      </w:pPr>
      <w:r>
        <w:t xml:space="preserve">UK Parliament, 2022, What is an Act of Parliament?, Available at </w:t>
      </w:r>
      <w:hyperlink r:id="rId9" w:history="1">
        <w:r w:rsidRPr="006A5280">
          <w:rPr>
            <w:rStyle w:val="Hyperlink"/>
          </w:rPr>
          <w:t>https://www.parliament.uk/about/how/laws/acts/</w:t>
        </w:r>
      </w:hyperlink>
    </w:p>
    <w:p w:rsidR="003662DD" w:rsidRDefault="003662DD" w:rsidP="00094574">
      <w:r>
        <w:t xml:space="preserve">Wilson S, Rutherford H, Storey T, Wortley N, </w:t>
      </w:r>
      <w:proofErr w:type="spellStart"/>
      <w:r>
        <w:t>Kotecha</w:t>
      </w:r>
      <w:proofErr w:type="spellEnd"/>
      <w:r>
        <w:t xml:space="preserve"> B, 2020, English Legal System, Oxford University Press, Oxford, 4</w:t>
      </w:r>
      <w:r w:rsidRPr="00BF6C6F">
        <w:rPr>
          <w:vertAlign w:val="superscript"/>
        </w:rPr>
        <w:t>th</w:t>
      </w:r>
      <w:r>
        <w:t xml:space="preserve"> Edition. </w:t>
      </w:r>
    </w:p>
    <w:p w:rsidR="003662DD" w:rsidRDefault="003662DD" w:rsidP="00094574"/>
    <w:p w:rsidR="00FC6006" w:rsidRPr="00BA420A" w:rsidRDefault="00FC6006"/>
    <w:sectPr w:rsidR="00FC6006" w:rsidRPr="00BA4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FD8"/>
    <w:rsid w:val="00021F04"/>
    <w:rsid w:val="00023E63"/>
    <w:rsid w:val="00046AED"/>
    <w:rsid w:val="00051B77"/>
    <w:rsid w:val="000540C7"/>
    <w:rsid w:val="000634F9"/>
    <w:rsid w:val="000A11C9"/>
    <w:rsid w:val="000E0956"/>
    <w:rsid w:val="000E412C"/>
    <w:rsid w:val="000F24C3"/>
    <w:rsid w:val="00105C18"/>
    <w:rsid w:val="001263A4"/>
    <w:rsid w:val="00127025"/>
    <w:rsid w:val="00135ADE"/>
    <w:rsid w:val="001523B6"/>
    <w:rsid w:val="00153A41"/>
    <w:rsid w:val="00165FCA"/>
    <w:rsid w:val="0017359C"/>
    <w:rsid w:val="00180CA9"/>
    <w:rsid w:val="0018270D"/>
    <w:rsid w:val="00194125"/>
    <w:rsid w:val="001968DB"/>
    <w:rsid w:val="001B2AAF"/>
    <w:rsid w:val="001B4E58"/>
    <w:rsid w:val="001C3E06"/>
    <w:rsid w:val="002266BB"/>
    <w:rsid w:val="00234D67"/>
    <w:rsid w:val="00241035"/>
    <w:rsid w:val="002437F6"/>
    <w:rsid w:val="00253A96"/>
    <w:rsid w:val="00291C62"/>
    <w:rsid w:val="002954C8"/>
    <w:rsid w:val="002B652F"/>
    <w:rsid w:val="002D6BD2"/>
    <w:rsid w:val="002E3042"/>
    <w:rsid w:val="002E387C"/>
    <w:rsid w:val="002E432F"/>
    <w:rsid w:val="002E6C75"/>
    <w:rsid w:val="002F4466"/>
    <w:rsid w:val="0030324E"/>
    <w:rsid w:val="00304225"/>
    <w:rsid w:val="00306FF9"/>
    <w:rsid w:val="00310590"/>
    <w:rsid w:val="00310C6B"/>
    <w:rsid w:val="003343FD"/>
    <w:rsid w:val="003608B4"/>
    <w:rsid w:val="00363E1A"/>
    <w:rsid w:val="003662DD"/>
    <w:rsid w:val="0038295D"/>
    <w:rsid w:val="00393A89"/>
    <w:rsid w:val="003B3A90"/>
    <w:rsid w:val="003C0CE3"/>
    <w:rsid w:val="003C57C6"/>
    <w:rsid w:val="003E0D4F"/>
    <w:rsid w:val="003E6BA1"/>
    <w:rsid w:val="00400C42"/>
    <w:rsid w:val="00402FB0"/>
    <w:rsid w:val="004047E0"/>
    <w:rsid w:val="00427F69"/>
    <w:rsid w:val="004630DB"/>
    <w:rsid w:val="00465561"/>
    <w:rsid w:val="0048694C"/>
    <w:rsid w:val="004A3B42"/>
    <w:rsid w:val="004B008C"/>
    <w:rsid w:val="004B14F3"/>
    <w:rsid w:val="004C63D3"/>
    <w:rsid w:val="004D37B0"/>
    <w:rsid w:val="004E433D"/>
    <w:rsid w:val="004E49F6"/>
    <w:rsid w:val="004F6577"/>
    <w:rsid w:val="00527960"/>
    <w:rsid w:val="00553D55"/>
    <w:rsid w:val="00556E91"/>
    <w:rsid w:val="00570293"/>
    <w:rsid w:val="00573432"/>
    <w:rsid w:val="00577B7E"/>
    <w:rsid w:val="005B2FED"/>
    <w:rsid w:val="005D57A6"/>
    <w:rsid w:val="005D7D20"/>
    <w:rsid w:val="005E22D1"/>
    <w:rsid w:val="005F27BC"/>
    <w:rsid w:val="005F2F3C"/>
    <w:rsid w:val="00600933"/>
    <w:rsid w:val="00611510"/>
    <w:rsid w:val="00613923"/>
    <w:rsid w:val="00626576"/>
    <w:rsid w:val="00642FC3"/>
    <w:rsid w:val="006521F2"/>
    <w:rsid w:val="00670559"/>
    <w:rsid w:val="0067252A"/>
    <w:rsid w:val="006746D0"/>
    <w:rsid w:val="00686FD8"/>
    <w:rsid w:val="00696F4F"/>
    <w:rsid w:val="006B2177"/>
    <w:rsid w:val="006E5DC6"/>
    <w:rsid w:val="006F5FD8"/>
    <w:rsid w:val="0071048D"/>
    <w:rsid w:val="007223E1"/>
    <w:rsid w:val="00760546"/>
    <w:rsid w:val="00762181"/>
    <w:rsid w:val="00782A30"/>
    <w:rsid w:val="00790EA9"/>
    <w:rsid w:val="007A3BC8"/>
    <w:rsid w:val="007B604C"/>
    <w:rsid w:val="007C4C52"/>
    <w:rsid w:val="00814DF1"/>
    <w:rsid w:val="008169EB"/>
    <w:rsid w:val="0083125F"/>
    <w:rsid w:val="00870757"/>
    <w:rsid w:val="00893040"/>
    <w:rsid w:val="008A7341"/>
    <w:rsid w:val="008F6B5C"/>
    <w:rsid w:val="00905853"/>
    <w:rsid w:val="009074E3"/>
    <w:rsid w:val="009165CB"/>
    <w:rsid w:val="0092052B"/>
    <w:rsid w:val="00925EF7"/>
    <w:rsid w:val="00992C00"/>
    <w:rsid w:val="009A4DA2"/>
    <w:rsid w:val="009A6688"/>
    <w:rsid w:val="009B1839"/>
    <w:rsid w:val="009C15B7"/>
    <w:rsid w:val="009D6E33"/>
    <w:rsid w:val="009E46FE"/>
    <w:rsid w:val="009F4B57"/>
    <w:rsid w:val="00A03CD9"/>
    <w:rsid w:val="00A30EAC"/>
    <w:rsid w:val="00A36E8A"/>
    <w:rsid w:val="00A74BC3"/>
    <w:rsid w:val="00B0306B"/>
    <w:rsid w:val="00B2681D"/>
    <w:rsid w:val="00B344E3"/>
    <w:rsid w:val="00B63A3D"/>
    <w:rsid w:val="00B85CEF"/>
    <w:rsid w:val="00B93C10"/>
    <w:rsid w:val="00B97E6D"/>
    <w:rsid w:val="00BA420A"/>
    <w:rsid w:val="00BA4287"/>
    <w:rsid w:val="00BA53BA"/>
    <w:rsid w:val="00BB2AE3"/>
    <w:rsid w:val="00BB2D65"/>
    <w:rsid w:val="00BC55E8"/>
    <w:rsid w:val="00BF1989"/>
    <w:rsid w:val="00BF3738"/>
    <w:rsid w:val="00BF6C6F"/>
    <w:rsid w:val="00C0277E"/>
    <w:rsid w:val="00C06CD1"/>
    <w:rsid w:val="00C517AF"/>
    <w:rsid w:val="00C62C9A"/>
    <w:rsid w:val="00C762B3"/>
    <w:rsid w:val="00C81588"/>
    <w:rsid w:val="00C844BF"/>
    <w:rsid w:val="00C91E68"/>
    <w:rsid w:val="00CA18DD"/>
    <w:rsid w:val="00CC18EA"/>
    <w:rsid w:val="00D75EB9"/>
    <w:rsid w:val="00D84919"/>
    <w:rsid w:val="00D85D0A"/>
    <w:rsid w:val="00DB1FB0"/>
    <w:rsid w:val="00DC014C"/>
    <w:rsid w:val="00DD4AEA"/>
    <w:rsid w:val="00DD5228"/>
    <w:rsid w:val="00DF7E6F"/>
    <w:rsid w:val="00E34FFD"/>
    <w:rsid w:val="00E3512D"/>
    <w:rsid w:val="00E41509"/>
    <w:rsid w:val="00E50756"/>
    <w:rsid w:val="00E51A0A"/>
    <w:rsid w:val="00E67E6F"/>
    <w:rsid w:val="00EA46D7"/>
    <w:rsid w:val="00EA7997"/>
    <w:rsid w:val="00EB1BFB"/>
    <w:rsid w:val="00EB60C7"/>
    <w:rsid w:val="00EC261B"/>
    <w:rsid w:val="00EC469E"/>
    <w:rsid w:val="00ED2792"/>
    <w:rsid w:val="00F036F4"/>
    <w:rsid w:val="00F1377A"/>
    <w:rsid w:val="00F47D21"/>
    <w:rsid w:val="00F802F8"/>
    <w:rsid w:val="00F8422A"/>
    <w:rsid w:val="00F93F94"/>
    <w:rsid w:val="00FA4231"/>
    <w:rsid w:val="00FA4CB2"/>
    <w:rsid w:val="00FC6006"/>
    <w:rsid w:val="00FE3F69"/>
    <w:rsid w:val="00FF3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365F7398-D928-1B4D-9017-92DB90C64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35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35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edcourt.gov.au/digital-law-library/judges-speeches/justice-middleton/middleton-j-2016041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apers.ssrn.com/sol3/papers.cfm?abstract_id=195031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xfordreference.com/view/10.1093/oi/authority.20110803100529647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subjectguides.york.ac.uk/law/cases-and-legislation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inbrief.co.uk/legal-system/statutory-interpretation/" TargetMode="External"/><Relationship Id="rId9" Type="http://schemas.openxmlformats.org/officeDocument/2006/relationships/hyperlink" Target="https://www.parliament.uk/about/how/laws/ac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1294</Words>
  <Characters>6783</Characters>
  <Application>Microsoft Office Word</Application>
  <DocSecurity>0</DocSecurity>
  <Lines>111</Lines>
  <Paragraphs>28</Paragraphs>
  <ScaleCrop>false</ScaleCrop>
  <Company/>
  <LinksUpToDate>false</LinksUpToDate>
  <CharactersWithSpaces>8049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Styles (2103936)</dc:creator>
  <cp:keywords/>
  <dc:description/>
  <cp:lastModifiedBy>Tegan Styles (2103936)</cp:lastModifiedBy>
  <cp:revision>2</cp:revision>
  <dcterms:created xsi:type="dcterms:W3CDTF">2022-05-03T22:33:00Z</dcterms:created>
  <dcterms:modified xsi:type="dcterms:W3CDTF">2022-05-03T22:33:00Z</dcterms:modified>
</cp:coreProperties>
</file>