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jpg" ContentType="image/jpeg"/>
  <Override PartName="/word/styles.xml" ContentType="application/vnd.openxmlformats-officedocument.wordprocessingml.styles+xml"/>
</Types>
</file>

<file path=_rels/.rels>&#65279;<?xml version="1.0" encoding="utf-8"?><Relationships xmlns="http://schemas.openxmlformats.org/package/2006/relationships"><Relationship Type="http://schemas.openxmlformats.org/officeDocument/2006/relationships/officeDocument" Target="/word/document.xml" Id="R791bd274ff1d403f" /></Relationships>
</file>

<file path=word/document.xml><?xml version="1.0" encoding="utf-8"?>
<w:document xmlns:w="http://schemas.openxmlformats.org/wordprocessingml/2006/main">
  <w:body>
    <w:sectPr>
      <w:pgSz w:w="11906" w:h="16838"/>
      <w:pgMar w:top="1440" w:right="1440" w:bottom="1440" w:left="1440" w:header="720" w:footer="720" w:gutter="0"/>
    </w:sectPr>
    <w:p>
      <w:pPr>
        <w:jc w:val="center"/>
      </w:pPr>
      <w:r>
        <w:drawing>
          <wp:inline xmlns:wp14="http://schemas.microsoft.com/office/word/2010/wordprocessingDrawing" xmlns:wp="http://schemas.openxmlformats.org/drawingml/2006/wordprocessingDrawing" distT="0" distB="0" distL="0" distR="0" wp14:editId="50D07946">
            <wp:extent cx="5731510" cy="3821006"/>
            <wp:effectExtent l="0" t="0" r="0" b="0"/>
            <wp:docPr id="1" name="Pictur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xmlns:r="http://schemas.openxmlformats.org/officeDocument/2006/relationships" r:embed="R7afd2eb9e3274fe4" cstate="print">
                      <a:extLst>
                        <a:ext uri="{28A0092B-C50C-407E-A947-70E740481C1C}"/>
                      </a:extLst>
                    </a:blip>
                    <a:stretch>
                      <a:fillRect/>
                    </a:stretch>
                  </pic:blipFill>
                  <pic:spPr>
                    <a:xfrm>
                      <a:off x="0" y="0"/>
                      <a:ext cx="5731510" cy="3821006"/>
                    </a:xfrm>
                    <a:prstGeom prst="rect">
                      <a:avLst/>
                    </a:prstGeom>
                  </pic:spPr>
                </pic:pic>
              </a:graphicData>
            </a:graphic>
          </wp:inline>
        </w:drawing>
      </w:r>
    </w:p>
    <w:p>
      <w:pPr>
        <w:pStyle w:val="Title"/>
      </w:pPr>
      <w:r>
        <w:t xml:space="preserve">How does an advocate deal with a paedophile?</w:t>
      </w:r>
    </w:p>
    <w:p>
      <w:pPr>
        <w:pStyle w:val="Normal"/>
      </w:pPr>
      <w:r>
        <w:rPr>
          <w:rStyle w:val="Strong"/>
        </w:rPr>
        <w:t xml:space="preserve">Develop a 'blog' post which demonstrates your in-depth understanding of an advocacy issue of your choice.</w:t>
      </w:r>
    </w:p>
    <w:p>
      <w:pPr>
        <w:pStyle w:val="Normal"/>
      </w:pPr>
      <w:r>
        <w:rPr>
          <w:rStyle w:val="Strong"/>
        </w:rPr>
        <w:t xml:space="preserve">Student Number: 1806353</w:t>
      </w:r>
    </w:p>
    <w:p>
      <w:pPr>
        <w:pStyle w:val="Normal"/>
      </w:pPr>
      <w:r>
        <w:t xml:space="preserve"> </w:t>
      </w:r>
    </w:p>
    <w:p>
      <w:pPr>
        <w:pStyle w:val="Normal"/>
      </w:pPr>
      <w:r>
        <w:t xml:space="preserve">This assignment will be focusing on the issues advocates face on a daily basis when working with a paedophile. As part of taking on an advocate role, they understand the issues that comes with it. These roles consist of certain qualities such as keeping an open mind, encouraging the individual to make decision for themselves, or encourage them if they cannot do it for themselves, being partial, supporting the individual, and encouraging them to make a decision and have a voice for themselves (People First, 2021).</w:t>
      </w:r>
    </w:p>
    <w:p>
      <w:pPr>
        <w:pStyle w:val="Normal"/>
      </w:pPr>
      <w:r>
        <w:t xml:space="preserve">Advocates deal with numerous difficult situations and issues in a work setting, in particular the individuals they need to care for. This assignment will be focusing on a particular area in advocate care, specifically on how an advocate deals with a paedophile. The decision to take the role on can be a difficult one, and advocates have the right to refuse to work with a paedophile due to their personal reasons (Mind, 2022).</w:t>
      </w:r>
    </w:p>
    <w:p>
      <w:pPr>
        <w:pStyle w:val="Normal"/>
      </w:pPr>
      <w:r>
        <w:t xml:space="preserve">Baier (1958) states that advocates refusing to work with certain people such as paedophiles for reasons close to home such as they might have children themselves and cannot work impartially with the individual. In this situation another advocate would be suggested. Advocates will face many difficult situations; however, they have the right to refuse the challenge if they feel they cannot work with the individual. However, if the advocate chooses to take on the challenge, they will need to be aware of all the forthcoming difficulties (Baier, 1958).</w:t>
      </w:r>
    </w:p>
    <w:p>
      <w:pPr>
        <w:pStyle w:val="Normal"/>
      </w:pPr>
      <w:r>
        <w:t xml:space="preserve">In order to be successful, advocates need the ability to meet their needs and gain trust of the person they are representing. They take on the person knowing their vulnerabilities and are willing to overlook their misdemeanours in order to represent them. This situation can prove to be difficult, however, a good advocate will know this is part of their job role (Care, 2022). </w:t>
      </w:r>
    </w:p>
    <w:p>
      <w:pPr>
        <w:pStyle w:val="Normal"/>
      </w:pPr>
      <w:r>
        <w:t xml:space="preserve">Through gaining experience an advocate should be willing to work with multi-agencies regarding the individual (paedophilia). This would require multi agencies such as local authorities, other support workers, managers, solicitors and possibly social workers depending on their age (Care, 2022). Mind, (2022) explains that the advocate would be aware that the individual could possibly lie to protect themselves, for example being aware they were no longer allowed the possession of a mobile phone for obvious reasons and were asked to hand it over to local authorities, however they may have access to another phone. These are things an advocate would have to acknowledge if they were to support the individual. The individual’s age and capabilities would depend on how much help and support they would receive. In the matter of a paedophile with disabilities, such as mental health issues the court may be more lenient (NHS, 2021). In this case the advocate should be willing to put the individuals needs first in all aspects of the case, even if it did mean going to court with evidence in place against the individual. This can be a difficult choice for the advocate when accepting the role of advocating for the individual facing a paedophilia charge. On the other hand, an advocate might be eager to take on the role as the individual might already be known as a pupil or client in the workplace, and the advocate truly believes the individual was innocent, or their vulnerable capacity was a target for somebody to influence them (NHS, 2021).</w:t>
      </w:r>
    </w:p>
    <w:p>
      <w:pPr>
        <w:pStyle w:val="Normal"/>
      </w:pPr>
      <w:r>
        <w:t xml:space="preserve">Furthermore, the advocate could possibly be a family member of the client. This can prove to be a very difficult situation, as there would be a conflict of interest. The advocate themselves might not work successfully as they would be too emotionally involved. In this situation the best results might not be achieved, whether the individual in question was guilty or not guilty (Care, 2022). </w:t>
      </w:r>
    </w:p>
    <w:p>
      <w:pPr>
        <w:pStyle w:val="Normal"/>
      </w:pPr>
      <w:r>
        <w:t xml:space="preserve">Advocates in most cases would not only take on the role of advocating the individual but their families as well. Family members could be affected by the individual being accused of paedophilia; and a such could be a target for public humiliation (Gov.uk, 2021). This can cause mental health problems, which the advocate involved will have to help with. In the case a paedophile gets convicted and sent to prison, they will automatically be protected in the sense that all paedophiles will be in the same section in prison together, and when they have served their sentence, they will be provided with a new identity and quite possibly a new location (Gov.uk, 2021).  Meanwhile, their family will be left with the after math of what the individual has done, in some cases even being abused, hit and spat on if they leave their home. In severe cases they could even receive death threats therefore the role of the advocate continues after the paedophile has been convicted. Furthermore, the family may be referred to another muti agency to provide the extra help and support to get through the after math of their family member’s actions (Gov.uk, 2021). </w:t>
      </w:r>
    </w:p>
    <w:p>
      <w:pPr>
        <w:pStyle w:val="Normal"/>
      </w:pPr>
      <w:r>
        <w:t xml:space="preserve">This situation highlights the difficulties advocates face during their employment. There will be situations that could lead them out of their comfort zone and force them into situations where they do not agree with the actions or decisions of the client (Harvard Business Review, 2022). However, the advocate will have to keep an open mind and put the client’s needs first. Advocates need to look after their own mental health and be able to separate themselves from their work situations. Taking on an advocate role promotes the ability to build a strong mind, enabling them to cope with their everyday job when making hard decisions, especially when dealing with a difficult individual such as a paedophile (Harvard Business Review, 2022).</w:t>
      </w:r>
    </w:p>
    <w:p>
      <w:pPr>
        <w:pStyle w:val="Normal"/>
      </w:pPr>
      <w:r>
        <w:t xml:space="preserve">Advocates can develop mental health issues due to their working life; it is important to keep procedure in place to prevent this from happening. Simple things like ensuring there is a back-up plan in place for any scenario can help an advocate as well as the mental health officer.  Share 4 Rare, (2022) states that it is important to ensure that there are legal requirements to ensure they are covered even in minor risks such as fire or insurance, computer equipment is adequate, and prepare budgeting for the advocate (Share 4 Rare, 2022). </w:t>
      </w:r>
    </w:p>
    <w:p>
      <w:pPr>
        <w:pStyle w:val="Normal"/>
      </w:pPr>
      <w:r>
        <w:t xml:space="preserve">To prevent any conflicts with the client it is important to be aware of the environment, making sure they are aware of an exit should the need occur. Therefore, the completion of a risk assessment is important. When there is a situation, it is always better to resolve conflict rather than escalate the situation, such as talking to the other person to resolve the conflict and arrange a meeting where both your sides are equally represented (Share 4 Rare, 2022).</w:t>
      </w:r>
    </w:p>
    <w:p>
      <w:pPr>
        <w:pStyle w:val="Normal"/>
      </w:pPr>
      <w:r>
        <w:t xml:space="preserve"> </w:t>
      </w:r>
    </w:p>
    <w:p>
      <w:pPr>
        <w:pStyle w:val="Normal"/>
      </w:pPr>
      <w:r>
        <w:t xml:space="preserve"> </w:t>
      </w:r>
    </w:p>
    <w:p>
      <w:pPr>
        <w:pStyle w:val="Normal"/>
      </w:pPr>
      <w:r>
        <w:t xml:space="preserve"> </w:t>
      </w:r>
    </w:p>
    <w:p>
      <w:pPr>
        <w:pStyle w:val="Normal"/>
      </w:pPr>
      <w:r>
        <w:t xml:space="preserve"> </w:t>
      </w:r>
    </w:p>
    <w:p>
      <w:pPr>
        <w:pStyle w:val="Normal"/>
      </w:pPr>
      <w:r>
        <w:t xml:space="preserve"> </w:t>
      </w:r>
    </w:p>
    <w:p>
      <w:pPr>
        <w:pStyle w:val="Normal"/>
      </w:pPr>
      <w:r>
        <w:t xml:space="preserve"> </w:t>
      </w:r>
    </w:p>
    <w:p>
      <w:pPr>
        <w:pStyle w:val="Normal"/>
      </w:pPr>
      <w:r>
        <w:t xml:space="preserve"> </w:t>
      </w:r>
    </w:p>
    <w:p>
      <w:pPr>
        <w:pStyle w:val="Normal"/>
      </w:pPr>
      <w:r>
        <w:t xml:space="preserve"> </w:t>
      </w:r>
    </w:p>
    <w:p>
      <w:pPr>
        <w:pStyle w:val="Normal"/>
      </w:pPr>
      <w:r>
        <w:t xml:space="preserve"> </w:t>
      </w:r>
    </w:p>
    <w:p>
      <w:pPr>
        <w:pStyle w:val="Normal"/>
      </w:pPr>
      <w:r>
        <w:t xml:space="preserve"> </w:t>
      </w:r>
    </w:p>
    <w:p>
      <w:pPr>
        <w:pStyle w:val="Normal"/>
      </w:pPr>
      <w:r>
        <w:rPr>
          <w:rStyle w:val="Strong"/>
        </w:rPr>
        <w:t xml:space="preserve">References</w:t>
      </w:r>
    </w:p>
    <w:p>
      <w:pPr>
        <w:pStyle w:val="Normal"/>
      </w:pPr>
      <w:r>
        <w:t xml:space="preserve">Baier, Kurt, 1958. </w:t>
      </w:r>
      <w:r>
        <w:rPr>
          <w:rStyle w:val="Emphasis"/>
        </w:rPr>
        <w:t xml:space="preserve">The Moral Point of View: A Rational Basis of Ethics</w:t>
      </w:r>
      <w:r>
        <w:t xml:space="preserve">, Ithaca, NY: Cornell University Press.</w:t>
      </w:r>
    </w:p>
    <w:p>
      <w:pPr>
        <w:pStyle w:val="Normal"/>
      </w:pPr>
      <w:r>
        <w:t xml:space="preserve">Care, 2022.</w:t>
      </w:r>
      <w:r>
        <w:rPr>
          <w:rStyle w:val="Emphasis"/>
        </w:rPr>
        <w:t xml:space="preserve"> Assessing Risks in Advocacy</w:t>
      </w:r>
      <w:r>
        <w:t xml:space="preserve">. Available at: </w:t>
      </w:r>
      <w:hyperlink xmlns:r="http://schemas.openxmlformats.org/officeDocument/2006/relationships" r:id="Rd9f7bd7bf6544b3c">
        <w:r>
          <w:rPr>
            <w:rStyle w:val="SwayHyperlink"/>
          </w:rPr>
          <w:t xml:space="preserve">8.2 Assessing risks of advocacy - CARE Toolkit (careemergencytoolkit.org)</w:t>
        </w:r>
      </w:hyperlink>
      <w:r>
        <w:t xml:space="preserve">. Accessed: 19th October 2022.</w:t>
      </w:r>
    </w:p>
    <w:p>
      <w:pPr>
        <w:pStyle w:val="Normal"/>
      </w:pPr>
      <w:r>
        <w:t xml:space="preserve">Gov.uk, 2021. </w:t>
      </w:r>
      <w:r>
        <w:rPr>
          <w:rStyle w:val="Emphasis"/>
        </w:rPr>
        <w:t xml:space="preserve">Supporting Families – 2021 – 2022 and Beyond</w:t>
      </w:r>
      <w:r>
        <w:t xml:space="preserve">. Available at: </w:t>
      </w:r>
      <w:hyperlink xmlns:r="http://schemas.openxmlformats.org/officeDocument/2006/relationships" r:id="R8f271a7df5694a95">
        <w:r>
          <w:rPr>
            <w:rStyle w:val="SwayHyperlink"/>
          </w:rPr>
          <w:t xml:space="preserve">Supporting Families - 2021-22 and beyond - GOV.UK (www.gov.uk)</w:t>
        </w:r>
      </w:hyperlink>
      <w:r>
        <w:t xml:space="preserve">. Accessed: 19th October 2022.</w:t>
      </w:r>
    </w:p>
    <w:p>
      <w:pPr>
        <w:pStyle w:val="Normal"/>
      </w:pPr>
      <w:r>
        <w:t xml:space="preserve">Harvard Business Review, (2022).</w:t>
      </w:r>
      <w:r>
        <w:rPr>
          <w:rStyle w:val="Emphasis"/>
        </w:rPr>
        <w:t xml:space="preserve"> Trust the Currency of Innovation</w:t>
      </w:r>
      <w:r>
        <w:t xml:space="preserve">. Available at: </w:t>
      </w:r>
      <w:hyperlink xmlns:r="http://schemas.openxmlformats.org/officeDocument/2006/relationships" r:id="R79da5f663d584b8d">
        <w:r>
          <w:rPr>
            <w:rStyle w:val="SwayHyperlink"/>
          </w:rPr>
          <w:t xml:space="preserve">Leaders, Stop Avoiding Hard Decisions (hbr.org)</w:t>
        </w:r>
      </w:hyperlink>
      <w:r>
        <w:t xml:space="preserve">. Accessed: 19th October 2022.</w:t>
      </w:r>
    </w:p>
    <w:p>
      <w:pPr>
        <w:pStyle w:val="Normal"/>
      </w:pPr>
      <w:r>
        <w:t xml:space="preserve">Mind, (2022). </w:t>
      </w:r>
      <w:r>
        <w:rPr>
          <w:rStyle w:val="Emphasis"/>
        </w:rPr>
        <w:t xml:space="preserve">Advocacy in Mental Health</w:t>
      </w:r>
      <w:r>
        <w:t xml:space="preserve">. Available at: </w:t>
      </w:r>
      <w:hyperlink xmlns:r="http://schemas.openxmlformats.org/officeDocument/2006/relationships" r:id="Rf9cb9f32c26342e7">
        <w:r>
          <w:rPr>
            <w:rStyle w:val="SwayHyperlink"/>
          </w:rPr>
          <w:t xml:space="preserve">Legal rights to advocacy - Mind</w:t>
        </w:r>
      </w:hyperlink>
      <w:r>
        <w:t xml:space="preserve">. Accessed: 17th October 2022.</w:t>
      </w:r>
    </w:p>
    <w:p>
      <w:pPr>
        <w:pStyle w:val="Normal"/>
      </w:pPr>
      <w:r>
        <w:t xml:space="preserve">Mind, (2022). </w:t>
      </w:r>
      <w:r>
        <w:rPr>
          <w:rStyle w:val="Emphasis"/>
        </w:rPr>
        <w:t xml:space="preserve">Advocacy in Mental Health</w:t>
      </w:r>
      <w:r>
        <w:t xml:space="preserve">. Available at: </w:t>
      </w:r>
      <w:hyperlink xmlns:r="http://schemas.openxmlformats.org/officeDocument/2006/relationships" r:id="R6f306f94f6dc41b1">
        <w:r>
          <w:rPr>
            <w:rStyle w:val="SwayHyperlink"/>
          </w:rPr>
          <w:t xml:space="preserve">What is advocacy? - Mind</w:t>
        </w:r>
      </w:hyperlink>
      <w:r>
        <w:t xml:space="preserve">. Accessed: 18th October 2022.</w:t>
      </w:r>
    </w:p>
    <w:p>
      <w:pPr>
        <w:pStyle w:val="Normal"/>
      </w:pPr>
      <w:r>
        <w:t xml:space="preserve">NHS, (2021). </w:t>
      </w:r>
      <w:r>
        <w:rPr>
          <w:rStyle w:val="Emphasis"/>
        </w:rPr>
        <w:t xml:space="preserve">Mental Capacity Act.</w:t>
      </w:r>
      <w:r>
        <w:t xml:space="preserve"> Available at: </w:t>
      </w:r>
      <w:hyperlink xmlns:r="http://schemas.openxmlformats.org/officeDocument/2006/relationships" r:id="R99210892e9934005">
        <w:r>
          <w:rPr>
            <w:rStyle w:val="SwayHyperlink"/>
          </w:rPr>
          <w:t xml:space="preserve">Mental Capacity Act - NHS (www.nhs.uk)</w:t>
        </w:r>
      </w:hyperlink>
      <w:r>
        <w:t xml:space="preserve">. Accessed 18th October 2022.</w:t>
      </w:r>
    </w:p>
    <w:p>
      <w:pPr>
        <w:pStyle w:val="Normal"/>
      </w:pPr>
      <w:r>
        <w:t xml:space="preserve">People First, (2021). </w:t>
      </w:r>
      <w:r>
        <w:rPr>
          <w:rStyle w:val="Emphasis"/>
        </w:rPr>
        <w:t xml:space="preserve">Making Your Own Decision (Mental Capacity Act 2005).</w:t>
      </w:r>
      <w:r>
        <w:t xml:space="preserve"> Available at: </w:t>
      </w:r>
      <w:hyperlink xmlns:r="http://schemas.openxmlformats.org/officeDocument/2006/relationships" r:id="R34106156ff664e1d">
        <w:r>
          <w:rPr>
            <w:rStyle w:val="SwayHyperlink"/>
          </w:rPr>
          <w:t xml:space="preserve">Making your own decisions (Mental Capacity Act 2005) | People First (peoplefirstinfo.org.uk)</w:t>
        </w:r>
      </w:hyperlink>
      <w:r>
        <w:t xml:space="preserve">. Accessed: 17th October 2022.</w:t>
      </w:r>
    </w:p>
    <w:p>
      <w:pPr>
        <w:pStyle w:val="Normal"/>
      </w:pPr>
      <w:r>
        <w:t xml:space="preserve">Share 4 Rare, (2022). </w:t>
      </w:r>
      <w:r>
        <w:rPr>
          <w:rStyle w:val="Emphasis"/>
        </w:rPr>
        <w:t xml:space="preserve">Risks in Advocacy</w:t>
      </w:r>
      <w:r>
        <w:t xml:space="preserve">. Available at: </w:t>
      </w:r>
      <w:hyperlink xmlns:r="http://schemas.openxmlformats.org/officeDocument/2006/relationships" r:id="Rfdb1d89cee8c487e">
        <w:r>
          <w:rPr>
            <w:rStyle w:val="SwayHyperlink"/>
          </w:rPr>
          <w:t xml:space="preserve">Risks in advocacy | Share4Rare</w:t>
        </w:r>
      </w:hyperlink>
      <w:r>
        <w:t xml:space="preserve">. Accessed: 19th October 2022.</w:t>
      </w:r>
    </w:p>
  </w:body>
</w:document>
</file>

<file path=word/styles.xml><?xml version="1.0" encoding="utf-8"?>
<w:styles xmlns:w="http://schemas.openxmlformats.org/wordprocessingml/2006/main">
  <w:style w:type="paragraph" w:styleId="Normal" w:default="false" w:customStyle="true">
    <w:aliases w:val="Normal"/>
    <w:autoRedefine w:val="off"/>
    <w:basedOn w:val="Normal"/>
    <w:link w:val="OverdueAmountChar"/>
    <w:locked w:val="off"/>
    <w:qFormat w:val="on"/>
    <w:hidden w:val="off"/>
    <w:semiHidden w:val="off"/>
    <w:name w:val="Normal"/>
    <w:next w:val="Normal"/>
    <w:uiPriority w:val="1"/>
    <w:unhideWhenUsed w:val="on"/>
    <w:pPr/>
    <w:rPr>
      <w:rFonts w:ascii="Calibri"/>
    </w:rPr>
  </w:style>
  <w:style w:type="paragraph" w:styleId="Title" w:default="false" w:customStyle="true">
    <w:aliases w:val="Title"/>
    <w:autoRedefine w:val="off"/>
    <w:basedOn w:val="Normal"/>
    <w:link w:val="OverdueAmountChar"/>
    <w:locked w:val="off"/>
    <w:qFormat w:val="on"/>
    <w:hidden w:val="off"/>
    <w:semiHidden w:val="off"/>
    <w:name w:val="Title"/>
    <w:next w:val="Normal"/>
    <w:uiPriority w:val="1"/>
    <w:unhideWhenUsed w:val="on"/>
    <w:pPr/>
    <w:rPr>
      <w:rFonts w:ascii="Calibri Light"/>
      <w:sz w:val="56"/>
      <w:pPr>
        <w:spacing w:line="240" w:lineRule="auto"/>
      </w:pPr>
    </w:rPr>
  </w:style>
  <w:style w:type="paragraph" w:styleId="Heading1" w:default="false" w:customStyle="true">
    <w:aliases w:val="Heading1"/>
    <w:autoRedefine w:val="off"/>
    <w:basedOn w:val="Normal"/>
    <w:link w:val="OverdueAmountChar"/>
    <w:locked w:val="off"/>
    <w:qFormat w:val="on"/>
    <w:hidden w:val="off"/>
    <w:semiHidden w:val="off"/>
    <w:name w:val="Heading1"/>
    <w:next w:val="Normal"/>
    <w:uiPriority w:val="1"/>
    <w:unhideWhenUsed w:val="on"/>
    <w:pPr>
      <w:spacing w:before="480" w:after="120"/>
      <w:outlineLvl w:val="0"/>
      <w:keepNext/>
    </w:pPr>
    <w:rPr>
      <w:rFonts w:ascii="Calibri Light"/>
      <w:color w:themeColor="accent1"/>
      <w:sz w:val="32"/>
    </w:rPr>
  </w:style>
  <w:style w:type="paragraph" w:styleId="Heading2" w:default="false" w:customStyle="true">
    <w:aliases w:val="Heading2"/>
    <w:autoRedefine w:val="off"/>
    <w:basedOn w:val="Normal"/>
    <w:link w:val="OverdueAmountChar"/>
    <w:locked w:val="off"/>
    <w:qFormat w:val="on"/>
    <w:hidden w:val="off"/>
    <w:semiHidden w:val="off"/>
    <w:name w:val="Heading2"/>
    <w:next w:val="Normal"/>
    <w:uiPriority w:val="1"/>
    <w:unhideWhenUsed w:val="on"/>
    <w:pPr>
      <w:spacing w:before="40" w:after="0"/>
      <w:outlineLvl w:val="1"/>
      <w:keepNext/>
    </w:pPr>
    <w:rPr>
      <w:rFonts w:ascii="Calibri Light"/>
      <w:color w:themeColor="accent1"/>
      <w:sz w:val="26"/>
    </w:rPr>
  </w:style>
  <w:style w:type="character" w:styleId="EmphasizeItalicize" w:default="false" w:customStyle="true">
    <w:aliases w:val="EmphasizeItalicize"/>
    <w:autoRedefine w:val="off"/>
    <w:basedOn w:val="Normal"/>
    <w:link w:val="OverdueAmountChar"/>
    <w:locked w:val="off"/>
    <w:qFormat w:val="on"/>
    <w:hidden w:val="off"/>
    <w:semiHidden w:val="off"/>
    <w:name w:val="EmphasizeItalicize"/>
    <w:next w:val="Normal"/>
    <w:uiPriority w:val="1"/>
    <w:unhideWhenUsed w:val="on"/>
    <w:pPr/>
    <w:rPr>
      <w:rFonts w:ascii="Calibri"/>
      <w:b/>
      <w:i/>
    </w:rPr>
  </w:style>
  <w:style w:type="character" w:styleId="Strong" w:default="false" w:customStyle="true">
    <w:aliases w:val="Strong"/>
    <w:autoRedefine w:val="off"/>
    <w:basedOn w:val="Normal"/>
    <w:link w:val="OverdueAmountChar"/>
    <w:locked w:val="off"/>
    <w:qFormat w:val="on"/>
    <w:hidden w:val="off"/>
    <w:semiHidden w:val="off"/>
    <w:name w:val="Strong"/>
    <w:next w:val="Normal"/>
    <w:uiPriority w:val="1"/>
    <w:unhideWhenUsed w:val="on"/>
    <w:pPr/>
    <w:rPr>
      <w:rFonts w:ascii="Calibri"/>
      <w:b/>
    </w:rPr>
  </w:style>
  <w:style w:type="character" w:styleId="Emphasis" w:default="false" w:customStyle="true">
    <w:aliases w:val="Emphasis"/>
    <w:autoRedefine w:val="off"/>
    <w:basedOn w:val="Normal"/>
    <w:link w:val="OverdueAmountChar"/>
    <w:locked w:val="off"/>
    <w:qFormat w:val="on"/>
    <w:hidden w:val="off"/>
    <w:semiHidden w:val="off"/>
    <w:name w:val="Emphasis"/>
    <w:next w:val="Normal"/>
    <w:uiPriority w:val="1"/>
    <w:unhideWhenUsed w:val="on"/>
    <w:pPr/>
    <w:rPr>
      <w:rFonts w:ascii="Calibri"/>
      <w:i/>
    </w:rPr>
  </w:style>
  <w:style w:type="character" w:styleId="SwayHyperlink" w:default="false" w:customStyle="true">
    <w:aliases w:val="SwayHyperlink"/>
    <w:autoRedefine w:val="off"/>
    <w:basedOn w:val="Normal"/>
    <w:link w:val="OverdueAmountChar"/>
    <w:locked w:val="off"/>
    <w:qFormat w:val="on"/>
    <w:hidden w:val="off"/>
    <w:semiHidden w:val="off"/>
    <w:name w:val="SwayHyperlink"/>
    <w:next w:val="Normal"/>
    <w:uiPriority w:val="1"/>
    <w:unhideWhenUsed w:val="on"/>
    <w:pPr/>
    <w:rPr>
      <w:rFonts w:ascii="Calibri"/>
      <w:u w:val="single"/>
      <w:color w:themeColor="hyperlink"/>
    </w:rPr>
  </w:style>
  <w:style w:type="character" w:styleId="BoldHyperlink" w:default="false" w:customStyle="true">
    <w:aliases w:val="BoldHyperlink"/>
    <w:autoRedefine w:val="off"/>
    <w:basedOn w:val="Normal"/>
    <w:link w:val="OverdueAmountChar"/>
    <w:locked w:val="off"/>
    <w:qFormat w:val="on"/>
    <w:hidden w:val="off"/>
    <w:semiHidden w:val="off"/>
    <w:name w:val="BoldHyperlink"/>
    <w:next w:val="Normal"/>
    <w:uiPriority w:val="1"/>
    <w:unhideWhenUsed w:val="on"/>
    <w:pPr/>
    <w:rPr>
      <w:rFonts w:ascii="Calibri"/>
      <w:b/>
      <w:u w:val="single"/>
      <w:color w:themeColor="hyperlink"/>
    </w:rPr>
  </w:style>
  <w:style w:type="character" w:styleId="ItalicHyperlink" w:default="false" w:customStyle="true">
    <w:aliases w:val="ItalicHyperlink"/>
    <w:autoRedefine w:val="off"/>
    <w:basedOn w:val="Normal"/>
    <w:link w:val="OverdueAmountChar"/>
    <w:locked w:val="off"/>
    <w:qFormat w:val="on"/>
    <w:hidden w:val="off"/>
    <w:semiHidden w:val="off"/>
    <w:name w:val="ItalicHyperlink"/>
    <w:next w:val="Normal"/>
    <w:uiPriority w:val="1"/>
    <w:unhideWhenUsed w:val="on"/>
    <w:pPr/>
    <w:rPr>
      <w:rFonts w:ascii="Calibri"/>
      <w:i/>
      <w:u w:val="single"/>
      <w:color w:themeColor="hyperlink"/>
    </w:rPr>
  </w:style>
  <w:style w:type="character" w:styleId="BoldItalicHyperlink" w:default="false" w:customStyle="true">
    <w:aliases w:val="BoldItalicHyperlink"/>
    <w:autoRedefine w:val="off"/>
    <w:basedOn w:val="Normal"/>
    <w:link w:val="OverdueAmountChar"/>
    <w:locked w:val="off"/>
    <w:qFormat w:val="on"/>
    <w:hidden w:val="off"/>
    <w:semiHidden w:val="off"/>
    <w:name w:val="BoldItalicHyperlink"/>
    <w:next w:val="Normal"/>
    <w:uiPriority w:val="1"/>
    <w:unhideWhenUsed w:val="on"/>
    <w:pPr/>
    <w:rPr>
      <w:rFonts w:ascii="Calibri"/>
      <w:b/>
      <w:i/>
      <w:u w:val="single"/>
      <w:color w:themeColor="hyperlink"/>
    </w:rPr>
  </w:style>
  <w:style w:type="paragraph" w:styleId="Caption" w:default="false" w:customStyle="true">
    <w:aliases w:val="Caption"/>
    <w:autoRedefine w:val="off"/>
    <w:basedOn w:val="Normal"/>
    <w:link w:val="OverdueAmountChar"/>
    <w:locked w:val="off"/>
    <w:qFormat w:val="on"/>
    <w:hidden w:val="off"/>
    <w:semiHidden w:val="off"/>
    <w:name w:val="Caption"/>
    <w:next w:val="Normal"/>
    <w:uiPriority w:val="1"/>
    <w:unhideWhenUsed w:val="on"/>
    <w:pPr/>
    <w:rPr>
      <w:rFonts w:ascii="Calibri"/>
      <w:i/>
      <w:pPr>
        <w:spacing w:after="200" w:line="240" w:lineRule="auto"/>
        <w:jc w:val="center"/>
      </w:pPr>
      <w:rPr>
        <w:color w:themeColor="text2"/>
        <w:sz w:val="18"/>
      </w:rPr>
    </w:rPr>
  </w:style>
  <w:style w:type="paragraph" w:styleId="FootnoteText" w:default="false" w:customStyle="true">
    <w:aliases w:val="FootnoteText"/>
    <w:autoRedefine w:val="off"/>
    <w:basedOn w:val="Normal"/>
    <w:link w:val="OverdueAmountChar"/>
    <w:locked w:val="off"/>
    <w:qFormat w:val="on"/>
    <w:hidden w:val="off"/>
    <w:semiHidden w:val="off"/>
    <w:name w:val="FootnoteText"/>
    <w:next w:val="Normal"/>
    <w:uiPriority w:val="1"/>
    <w:unhideWhenUsed w:val="on"/>
    <w:pPr/>
    <w:rPr>
      <w:rFonts w:ascii="Calibri"/>
      <w:pPr>
        <w:spacing w:after="0" w:line="240" w:lineRule="auto"/>
      </w:pPr>
      <w:rPr>
        <w:sz w:val="20"/>
      </w:rPr>
    </w:rPr>
  </w:style>
  <w:style w:type="paragraph" w:styleId="IntenseQuote" w:default="false" w:customStyle="true">
    <w:aliases w:val="IntenseQuote"/>
    <w:autoRedefine w:val="off"/>
    <w:basedOn w:val="Normal"/>
    <w:link w:val="OverdueAmountChar"/>
    <w:locked w:val="off"/>
    <w:qFormat w:val="on"/>
    <w:hidden w:val="off"/>
    <w:semiHidden w:val="off"/>
    <w:name w:val="IntenseQuote"/>
    <w:next w:val="Normal"/>
    <w:uiPriority w:val="1"/>
    <w:unhideWhenUsed w:val="on"/>
    <w:pPr>
      <w:pBdr>
        <w:top w:val="single" w:themeColor="accent1" w:sz="4" w:space="10"/>
        <w:bottom w:val="single" w:themeColor="accent1" w:sz="4" w:space="10"/>
      </w:pBdr>
      <w:spacing w:before="360" w:after="360"/>
      <w:ind w:left="0" w:right="0"/>
      <w:jc w:val="center"/>
    </w:pPr>
    <w:rPr>
      <w:rFonts w:ascii="Calibri"/>
      <w:i/>
      <w:rPr>
        <w:color w:themeColor="accent1"/>
      </w:rPr>
    </w:rPr>
  </w:style>
</w:styles>
</file>

<file path=word/_rels/document.xml.rels>&#65279;<?xml version="1.0" encoding="utf-8"?><Relationships xmlns="http://schemas.openxmlformats.org/package/2006/relationships"><Relationship Type="http://schemas.openxmlformats.org/officeDocument/2006/relationships/styles" Target="/word/styles.xml" Id="Reff2c484763047c1" /><Relationship Type="http://schemas.openxmlformats.org/officeDocument/2006/relationships/image" Target="/media/image.jpg" Id="R7afd2eb9e3274fe4" /><Relationship Type="http://schemas.openxmlformats.org/officeDocument/2006/relationships/hyperlink" Target="https://www.careemergencytoolkit.org/topics-issues/2-advocacy/8-criteria-for-deciding-to-engage-in-advocacy/8-2-assessing-risks-of-advocacy/" TargetMode="External" Id="Rd9f7bd7bf6544b3c" /><Relationship Type="http://schemas.openxmlformats.org/officeDocument/2006/relationships/hyperlink" Target="https://www.gov.uk/government/publications/supporting-families-2021-to-2022-and-beyond/supporting-families-2021-22-and-beyond" TargetMode="External" Id="R8f271a7df5694a95" /><Relationship Type="http://schemas.openxmlformats.org/officeDocument/2006/relationships/hyperlink" Target="https://hbr.org/2018/04/leaders-stop-avoiding-hard-decisions" TargetMode="External" Id="R79da5f663d584b8d" /><Relationship Type="http://schemas.openxmlformats.org/officeDocument/2006/relationships/hyperlink" Target="https://www.mind.org.uk/information-support/guides-to-support-and-services/advocacy/legal-rights-to-advocacy/" TargetMode="External" Id="Rf9cb9f32c26342e7" /><Relationship Type="http://schemas.openxmlformats.org/officeDocument/2006/relationships/hyperlink" Target="https://www.mind.org.uk/information-support/guides-to-support-and-services/advocacy/what-is-advocacy/" TargetMode="External" Id="R6f306f94f6dc41b1" /><Relationship Type="http://schemas.openxmlformats.org/officeDocument/2006/relationships/hyperlink" Target="https://www.nhs.uk/conditions/social-care-and-support-guide/making-decisions-for-someone-else/mental-capacity-act/" TargetMode="External" Id="R99210892e9934005" /><Relationship Type="http://schemas.openxmlformats.org/officeDocument/2006/relationships/hyperlink" Target="https://www.peoplefirstinfo.org.uk/money-and-legal/legal/making-your-own-decisions-mental-capacity-act-2005/" TargetMode="External" Id="R34106156ff664e1d" /><Relationship Type="http://schemas.openxmlformats.org/officeDocument/2006/relationships/hyperlink" Target="https://www.share4rare.org/library/share4rare-toolkit-patient-advocacy/risks-advocacy#:~:text=Advocacy Can Be Risky" TargetMode="External" Id="Rfdb1d89cee8c487e" /></Relationships>
</file>